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AA6282">
        <w:rPr>
          <w:rFonts w:ascii="Arial" w:hAnsi="Arial" w:cs="Arial"/>
          <w:b/>
          <w:bCs/>
          <w:color w:val="000080"/>
        </w:rPr>
        <w:t>27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AA6282">
        <w:rPr>
          <w:rFonts w:ascii="Arial" w:hAnsi="Arial" w:cs="Arial"/>
          <w:b/>
          <w:bCs/>
          <w:color w:val="000080"/>
        </w:rPr>
        <w:t>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DC6548">
        <w:rPr>
          <w:rFonts w:ascii="Arial" w:hAnsi="Arial" w:cs="Arial"/>
        </w:rPr>
        <w:t>, no uso da competência que lhe foi delegada pelo art. 1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>, inciso I e §</w:t>
      </w:r>
      <w:r>
        <w:rPr>
          <w:rFonts w:ascii="Arial" w:hAnsi="Arial" w:cs="Arial"/>
        </w:rPr>
        <w:t xml:space="preserve"> </w:t>
      </w:r>
      <w:r w:rsidRPr="00DC6548">
        <w:rPr>
          <w:rFonts w:ascii="Arial" w:hAnsi="Arial" w:cs="Arial"/>
        </w:rPr>
        <w:t>1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>, da Portaria MME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281, de 29 de junho de 2016, tendo em vista o disposto no art. 6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do Decreto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6.144, de 3 de julho de 2007, no art. 2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>, § 3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>, da Portaria MME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274, de 19 de agosto de 2013, e o que consta do Processo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48500.004315/2017-78, resolve: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1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19 do Leilão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05/2016-ANEEL, de titularidade da empresa TSM - Transmissora Serra da Mantiqueira S.A., inscrita no CNPJ/MF sob 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> 28.008.699/0001-55, detalhado no Anexo à presente Portaria.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 xml:space="preserve">Parágrafo único. O projeto de que trata o </w:t>
      </w:r>
      <w:r w:rsidRPr="00DC6548">
        <w:rPr>
          <w:rFonts w:ascii="Arial" w:hAnsi="Arial" w:cs="Arial"/>
          <w:b/>
          <w:bCs/>
        </w:rPr>
        <w:t>caput</w:t>
      </w:r>
      <w:r w:rsidRPr="00DC6548">
        <w:rPr>
          <w:rFonts w:ascii="Arial" w:hAnsi="Arial" w:cs="Arial"/>
        </w:rPr>
        <w:t>, objeto do Contrato de Concessão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37/2017-ANEEL, celebrado em 11 de agosto de 2017, é alcançado pelo art. 4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>, inciso II, da Portaria MME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274, de 19 de agosto de 2013.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2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As estimativas dos investimentos têm por base o mês de julho de 2017 e são de exclusiva responsabilidade da TSM - Transmissora Serra da Mantiqueira S.A., cuja razoabilidade foi atestada pela Agência Nacional de Energia Elétrica - ANEEL.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3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A TSM - Transmissora Serra da Mantiqueira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4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5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6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A TSM - Transmissora Serra da Mantiqueira S.A. deverá observar, no que couber, as disposições constantes na Lei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11.488, de 15 de junho de 2007, no Decreto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6.144, de 3 de julho de 2007, na Portaria MME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DC6548">
        <w:rPr>
          <w:rFonts w:ascii="Arial" w:hAnsi="Arial" w:cs="Arial"/>
        </w:rPr>
        <w:t>arts</w:t>
      </w:r>
      <w:proofErr w:type="spellEnd"/>
      <w:r w:rsidRPr="00DC6548">
        <w:rPr>
          <w:rFonts w:ascii="Arial" w:hAnsi="Arial" w:cs="Arial"/>
        </w:rPr>
        <w:t>. 9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e 14, do Decreto n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6.144, de 2007, sujeitas à fiscalização da Secretaria da Receita Federal do Brasil.</w:t>
      </w:r>
    </w:p>
    <w:p w:rsidR="00AA6282" w:rsidRDefault="00AA6282" w:rsidP="00AA6282">
      <w:pPr>
        <w:ind w:firstLine="1134"/>
        <w:jc w:val="both"/>
        <w:rPr>
          <w:rFonts w:ascii="Arial" w:hAnsi="Arial" w:cs="Arial"/>
        </w:rPr>
      </w:pPr>
    </w:p>
    <w:p w:rsidR="00AA6282" w:rsidRPr="00DC6548" w:rsidRDefault="00AA6282" w:rsidP="00AA6282">
      <w:pPr>
        <w:ind w:firstLine="1134"/>
        <w:jc w:val="both"/>
        <w:rPr>
          <w:rFonts w:ascii="Arial" w:hAnsi="Arial" w:cs="Arial"/>
        </w:rPr>
      </w:pPr>
      <w:r w:rsidRPr="00DC6548">
        <w:rPr>
          <w:rFonts w:ascii="Arial" w:hAnsi="Arial" w:cs="Arial"/>
        </w:rPr>
        <w:t>Art. 7</w:t>
      </w:r>
      <w:r w:rsidRPr="00AA6282">
        <w:rPr>
          <w:rFonts w:ascii="Arial" w:hAnsi="Arial" w:cs="Arial"/>
          <w:u w:val="words"/>
          <w:vertAlign w:val="superscript"/>
        </w:rPr>
        <w:t>o</w:t>
      </w:r>
      <w:r w:rsidRPr="00DC6548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AA6282" w:rsidRPr="00E06AEB" w:rsidRDefault="00AA6282" w:rsidP="00AA62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8B686D">
        <w:rPr>
          <w:rStyle w:val="Forte"/>
          <w:rFonts w:ascii="Arial" w:hAnsi="Arial" w:cs="Arial"/>
        </w:rPr>
        <w:t>MOACIR CARLOS BERTOL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AA6282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"/>
        <w:gridCol w:w="2472"/>
        <w:gridCol w:w="1922"/>
        <w:gridCol w:w="4111"/>
      </w:tblGrid>
      <w:tr w:rsidR="00AA6282" w:rsidRPr="00DC6548" w:rsidTr="00AA6282">
        <w:trPr>
          <w:trHeight w:val="360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PESSOA JURÍDICA TITULAR DO PROJETO</w:t>
            </w:r>
          </w:p>
        </w:tc>
      </w:tr>
      <w:tr w:rsidR="00AA6282" w:rsidRPr="00DC6548" w:rsidTr="00AA6282">
        <w:trPr>
          <w:trHeight w:val="225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01 - Nome Empresarial</w:t>
            </w:r>
          </w:p>
        </w:tc>
      </w:tr>
      <w:tr w:rsidR="00AA6282" w:rsidRPr="00DC6548" w:rsidTr="00AA6282">
        <w:trPr>
          <w:trHeight w:val="225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TSM - Transmissora Serra da Mantiqueira S.A.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02 - CNPJ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03 - Telefone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28.008.699/0001-55.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(11) 4571-2400.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04 - DADOS DO PROJETO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Nome do Projeto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Lote 19 do Leilão n</w:t>
            </w:r>
            <w:r w:rsidRPr="00AA628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C6548">
              <w:rPr>
                <w:rFonts w:ascii="Arial" w:hAnsi="Arial" w:cs="Arial"/>
              </w:rPr>
              <w:t xml:space="preserve"> 05/2016-ANEEL (Contrato de Concessão n</w:t>
            </w:r>
            <w:r w:rsidRPr="00AA628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C6548">
              <w:rPr>
                <w:rFonts w:ascii="Arial" w:hAnsi="Arial" w:cs="Arial"/>
              </w:rPr>
              <w:t xml:space="preserve"> 37/2017-ANEEL, celebrado em 11 de agosto de 2017).</w:t>
            </w:r>
          </w:p>
        </w:tc>
      </w:tr>
      <w:tr w:rsidR="00AA6282" w:rsidRPr="00DC6548" w:rsidTr="00AA6282">
        <w:trPr>
          <w:trHeight w:val="465"/>
          <w:tblCellSpacing w:w="0" w:type="dxa"/>
          <w:jc w:val="center"/>
        </w:trPr>
        <w:tc>
          <w:tcPr>
            <w:tcW w:w="24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Projeto de Transmissão de Energia Elétrica, relativo ao Lote 19 do Leilão n</w:t>
            </w:r>
            <w:r w:rsidRPr="00AA628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C6548">
              <w:rPr>
                <w:rFonts w:ascii="Arial" w:hAnsi="Arial" w:cs="Arial"/>
              </w:rPr>
              <w:t xml:space="preserve"> 05/2016-ANEEL, compreendendo: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I - Circuito 1 da Linha de Transmissão Fernão Dias - Terminal Rio, em 500 kV, em Circuito Simples, com extensão aproximada de trezentos e trinta quilômetros, com origem na Subestação Fernão Dias e término na Subestação Terminal Rio;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 xml:space="preserve">II - Bancos de Reatores de Linha de 3x45,3 </w:t>
            </w:r>
            <w:proofErr w:type="spellStart"/>
            <w:r w:rsidRPr="00DC6548">
              <w:rPr>
                <w:rFonts w:ascii="Arial" w:hAnsi="Arial" w:cs="Arial"/>
              </w:rPr>
              <w:t>Mvar</w:t>
            </w:r>
            <w:proofErr w:type="spellEnd"/>
            <w:r w:rsidRPr="00DC6548">
              <w:rPr>
                <w:rFonts w:ascii="Arial" w:hAnsi="Arial" w:cs="Arial"/>
              </w:rPr>
              <w:t xml:space="preserve"> em ambos os Terminais de Linha; e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III - Entradas de Linha, Interligações de Barramentos, extensão de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De 11/8/2017 a 11/8/2022.</w:t>
            </w:r>
          </w:p>
        </w:tc>
      </w:tr>
      <w:tr w:rsidR="00AA6282" w:rsidRPr="00DC6548" w:rsidTr="00AA6282">
        <w:trPr>
          <w:trHeight w:val="270"/>
          <w:tblCellSpacing w:w="0" w:type="dxa"/>
          <w:jc w:val="center"/>
        </w:trPr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AA628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 xml:space="preserve">Municípios de Atibaia, Bragança Paulista, Piracaia, Igaratá, São José dos Campos, Monteiro Lobato, Caçapava, Taubaté, Tremembé, Pindamonhangaba, Potim, Guaratinguetá, Lorena, Cachoeira Paulista, Cruzeiro, </w:t>
            </w:r>
            <w:proofErr w:type="spellStart"/>
            <w:r w:rsidRPr="00DC6548">
              <w:rPr>
                <w:rFonts w:ascii="Arial" w:hAnsi="Arial" w:cs="Arial"/>
              </w:rPr>
              <w:t>Lavrinhas</w:t>
            </w:r>
            <w:proofErr w:type="spellEnd"/>
            <w:r w:rsidRPr="00DC6548">
              <w:rPr>
                <w:rFonts w:ascii="Arial" w:hAnsi="Arial" w:cs="Arial"/>
              </w:rPr>
              <w:t xml:space="preserve">, </w:t>
            </w:r>
            <w:proofErr w:type="spellStart"/>
            <w:r w:rsidRPr="00DC6548">
              <w:rPr>
                <w:rFonts w:ascii="Arial" w:hAnsi="Arial" w:cs="Arial"/>
              </w:rPr>
              <w:t>Silveiras</w:t>
            </w:r>
            <w:proofErr w:type="spellEnd"/>
            <w:r w:rsidRPr="00DC6548">
              <w:rPr>
                <w:rFonts w:ascii="Arial" w:hAnsi="Arial" w:cs="Arial"/>
              </w:rPr>
              <w:t xml:space="preserve">, </w:t>
            </w:r>
            <w:proofErr w:type="spellStart"/>
            <w:r w:rsidRPr="00DC6548">
              <w:rPr>
                <w:rFonts w:ascii="Arial" w:hAnsi="Arial" w:cs="Arial"/>
              </w:rPr>
              <w:t>Queluz</w:t>
            </w:r>
            <w:proofErr w:type="spellEnd"/>
            <w:r w:rsidRPr="00DC6548">
              <w:rPr>
                <w:rFonts w:ascii="Arial" w:hAnsi="Arial" w:cs="Arial"/>
              </w:rPr>
              <w:t xml:space="preserve">, Areias, São José do Barreiro, Bananal e </w:t>
            </w:r>
            <w:proofErr w:type="spellStart"/>
            <w:r w:rsidRPr="00DC6548">
              <w:rPr>
                <w:rFonts w:ascii="Arial" w:hAnsi="Arial" w:cs="Arial"/>
              </w:rPr>
              <w:t>Arapeí</w:t>
            </w:r>
            <w:proofErr w:type="spellEnd"/>
            <w:r w:rsidRPr="00DC6548">
              <w:rPr>
                <w:rFonts w:ascii="Arial" w:hAnsi="Arial" w:cs="Arial"/>
              </w:rPr>
              <w:t>, Estado de São Paulo; Resende, Barra Mansa, Volta Redonda, Piraí e Paracambi, Estado de Rio de Janeiro.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05 - REPRESENTANTES, RESPONSÁVEL TÉCNICO E CONTADOR DA PESSOA JURÍDICA</w:t>
            </w:r>
          </w:p>
        </w:tc>
      </w:tr>
      <w:tr w:rsidR="00AA6282" w:rsidRPr="00DC6548" w:rsidTr="00AA6282">
        <w:trPr>
          <w:trHeight w:val="285"/>
          <w:tblCellSpacing w:w="0" w:type="dxa"/>
          <w:jc w:val="center"/>
        </w:trPr>
        <w:tc>
          <w:tcPr>
            <w:tcW w:w="48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Nome: Marcelo Patrício Fernandes Costa.</w:t>
            </w:r>
          </w:p>
        </w:tc>
        <w:tc>
          <w:tcPr>
            <w:tcW w:w="6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CPF: 719.034.614-72.</w:t>
            </w:r>
          </w:p>
        </w:tc>
      </w:tr>
      <w:tr w:rsidR="00AA6282" w:rsidRPr="00DC6548" w:rsidTr="00AA6282">
        <w:trPr>
          <w:trHeight w:val="285"/>
          <w:tblCellSpacing w:w="0" w:type="dxa"/>
          <w:jc w:val="center"/>
        </w:trPr>
        <w:tc>
          <w:tcPr>
            <w:tcW w:w="48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Nome: Carlos Manuel da Silva Graça.</w:t>
            </w:r>
          </w:p>
        </w:tc>
        <w:tc>
          <w:tcPr>
            <w:tcW w:w="6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CPF: 430.095.497-68.</w:t>
            </w:r>
          </w:p>
        </w:tc>
      </w:tr>
      <w:tr w:rsidR="00AA6282" w:rsidRPr="00DC6548" w:rsidTr="00AA6282">
        <w:trPr>
          <w:trHeight w:val="285"/>
          <w:tblCellSpacing w:w="0" w:type="dxa"/>
          <w:jc w:val="center"/>
        </w:trPr>
        <w:tc>
          <w:tcPr>
            <w:tcW w:w="48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 xml:space="preserve">Nome: Alberto </w:t>
            </w:r>
            <w:proofErr w:type="spellStart"/>
            <w:r w:rsidRPr="00DC6548">
              <w:rPr>
                <w:rFonts w:ascii="Arial" w:hAnsi="Arial" w:cs="Arial"/>
              </w:rPr>
              <w:t>Buttler</w:t>
            </w:r>
            <w:proofErr w:type="spellEnd"/>
            <w:r w:rsidRPr="00DC6548">
              <w:rPr>
                <w:rFonts w:ascii="Arial" w:hAnsi="Arial" w:cs="Arial"/>
              </w:rPr>
              <w:t xml:space="preserve"> Ribeiro.</w:t>
            </w:r>
          </w:p>
        </w:tc>
        <w:tc>
          <w:tcPr>
            <w:tcW w:w="6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CPF: 014.212.038-39.</w:t>
            </w:r>
          </w:p>
        </w:tc>
      </w:tr>
      <w:tr w:rsidR="00AA6282" w:rsidRPr="00DC6548" w:rsidTr="00AA6282">
        <w:trPr>
          <w:trHeight w:val="285"/>
          <w:tblCellSpacing w:w="0" w:type="dxa"/>
          <w:jc w:val="center"/>
        </w:trPr>
        <w:tc>
          <w:tcPr>
            <w:tcW w:w="48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Nome: Renata Ferreira de Carvalho.</w:t>
            </w:r>
          </w:p>
        </w:tc>
        <w:tc>
          <w:tcPr>
            <w:tcW w:w="6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CPF: 170.034.758-63.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Bens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258.336.726,00.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Serviços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251.544.208,00.</w:t>
            </w:r>
          </w:p>
        </w:tc>
      </w:tr>
      <w:tr w:rsidR="00AA6282" w:rsidRPr="00DC6548" w:rsidTr="00AA6282">
        <w:trPr>
          <w:trHeight w:val="15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Outros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170.671.795,00.</w:t>
            </w:r>
          </w:p>
        </w:tc>
      </w:tr>
      <w:tr w:rsidR="00AA6282" w:rsidRPr="00DC6548" w:rsidTr="00AA6282">
        <w:trPr>
          <w:trHeight w:val="13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  <w:b/>
                <w:bCs/>
              </w:rPr>
              <w:t>680.552.729,00.</w:t>
            </w:r>
          </w:p>
        </w:tc>
      </w:tr>
      <w:tr w:rsidR="00AA6282" w:rsidRPr="00DC6548" w:rsidTr="00AA6282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AA6282" w:rsidRPr="00DC6548" w:rsidTr="00AA6282">
        <w:trPr>
          <w:trHeight w:val="10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Bens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234.440.578,00.</w:t>
            </w:r>
          </w:p>
        </w:tc>
      </w:tr>
      <w:tr w:rsidR="00AA6282" w:rsidRPr="00DC6548" w:rsidTr="00AA6282">
        <w:trPr>
          <w:trHeight w:val="225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Serviços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242.362.845,00.</w:t>
            </w:r>
          </w:p>
        </w:tc>
      </w:tr>
      <w:tr w:rsidR="00AA6282" w:rsidRPr="00DC6548" w:rsidTr="00AA6282">
        <w:trPr>
          <w:trHeight w:val="9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Outros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</w:rPr>
              <w:t>170.671.795,00.</w:t>
            </w:r>
          </w:p>
        </w:tc>
      </w:tr>
      <w:tr w:rsidR="00AA6282" w:rsidRPr="00DC6548" w:rsidTr="00AA6282">
        <w:trPr>
          <w:trHeight w:val="90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C6548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7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6282" w:rsidRPr="00DC6548" w:rsidRDefault="00AA6282" w:rsidP="009946EA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DC6548">
              <w:rPr>
                <w:rFonts w:ascii="Arial" w:hAnsi="Arial" w:cs="Arial"/>
                <w:b/>
                <w:bCs/>
              </w:rPr>
              <w:t>647.475.218,00.</w:t>
            </w:r>
          </w:p>
        </w:tc>
      </w:tr>
    </w:tbl>
    <w:p w:rsidR="00BB206C" w:rsidRPr="00D517EF" w:rsidRDefault="00BB206C" w:rsidP="00AA6282">
      <w:pPr>
        <w:jc w:val="center"/>
        <w:rPr>
          <w:rFonts w:ascii="Arial" w:hAnsi="Arial" w:cs="Arial"/>
          <w:sz w:val="2"/>
          <w:szCs w:val="2"/>
        </w:rPr>
      </w:pPr>
    </w:p>
    <w:sectPr w:rsidR="00BB206C" w:rsidRPr="00D517EF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AA6282">
      <w:rPr>
        <w:rFonts w:ascii="Arial" w:hAnsi="Arial" w:cs="Arial"/>
      </w:rPr>
      <w:t>27</w:t>
    </w:r>
    <w:r w:rsidRPr="00804BC7">
      <w:rPr>
        <w:rFonts w:ascii="Arial" w:hAnsi="Arial" w:cs="Arial"/>
      </w:rPr>
      <w:t xml:space="preserve">, de </w:t>
    </w:r>
    <w:r w:rsidR="00AA6282">
      <w:rPr>
        <w:rFonts w:ascii="Arial" w:hAnsi="Arial" w:cs="Arial"/>
      </w:rPr>
      <w:t>3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AA6282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01"/>
    <o:shapelayout v:ext="edit">
      <o:idmap v:ext="edit" data="1"/>
    </o:shapelayout>
  </w:shapeDefaults>
  <w:decimalSymbol w:val=","/>
  <w:listSeparator w:val=";"/>
  <w14:docId w14:val="6735436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BC12-C788-4A36-9965-956A8D2B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2017-11-06T11:58:00Z</dcterms:created>
  <dcterms:modified xsi:type="dcterms:W3CDTF">2017-11-06T11:58:00Z</dcterms:modified>
</cp:coreProperties>
</file>