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C7235D">
        <w:rPr>
          <w:rFonts w:ascii="Arial" w:hAnsi="Arial" w:cs="Arial"/>
          <w:b/>
          <w:bCs/>
          <w:color w:val="000080"/>
        </w:rPr>
        <w:t>1</w:t>
      </w:r>
      <w:r w:rsidR="00084D10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C7235D">
        <w:rPr>
          <w:rFonts w:ascii="Arial" w:hAnsi="Arial" w:cs="Arial"/>
          <w:b/>
          <w:bCs/>
          <w:color w:val="000080"/>
        </w:rPr>
        <w:t>26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F1244B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84D10" w:rsidRPr="00B75D61" w:rsidRDefault="00084D10" w:rsidP="00084D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75D61">
        <w:rPr>
          <w:rFonts w:ascii="Arial" w:hAnsi="Arial" w:cs="Arial"/>
          <w:b/>
        </w:rPr>
        <w:t>O SECRETÁRIO DE PLANEJAMENTO E DESENVOLVIMENTO ENERGÉTICO DO MINISTÉRIO DE MINAS E ENERGIA</w:t>
      </w:r>
      <w:r w:rsidRPr="00B75D61">
        <w:rPr>
          <w:rFonts w:ascii="Arial" w:hAnsi="Arial" w:cs="Arial"/>
        </w:rPr>
        <w:t>, no uso da competência que lhe foi delegada pelo art. 1</w:t>
      </w:r>
      <w:bookmarkStart w:id="0" w:name="_GoBack"/>
      <w:r w:rsidRPr="00084D10">
        <w:rPr>
          <w:rFonts w:ascii="Arial" w:hAnsi="Arial" w:cs="Arial"/>
          <w:u w:val="words"/>
          <w:vertAlign w:val="superscript"/>
        </w:rPr>
        <w:t>o</w:t>
      </w:r>
      <w:bookmarkEnd w:id="0"/>
      <w:r w:rsidRPr="00B75D61">
        <w:rPr>
          <w:rFonts w:ascii="Arial" w:hAnsi="Arial" w:cs="Arial"/>
        </w:rPr>
        <w:t>, inciso I, da Portaria MME n</w:t>
      </w:r>
      <w:r w:rsidRPr="00084D10">
        <w:rPr>
          <w:rFonts w:ascii="Arial" w:hAnsi="Arial" w:cs="Arial"/>
          <w:u w:val="words"/>
          <w:vertAlign w:val="superscript"/>
        </w:rPr>
        <w:t>o</w:t>
      </w:r>
      <w:r w:rsidRPr="00B75D61">
        <w:rPr>
          <w:rFonts w:ascii="Arial" w:hAnsi="Arial" w:cs="Arial"/>
        </w:rPr>
        <w:t xml:space="preserve"> 281, de 29 de junho de 2016, tendo em vista o disposto no art. 6</w:t>
      </w:r>
      <w:r w:rsidRPr="00084D10">
        <w:rPr>
          <w:rFonts w:ascii="Arial" w:hAnsi="Arial" w:cs="Arial"/>
          <w:u w:val="words"/>
          <w:vertAlign w:val="superscript"/>
        </w:rPr>
        <w:t>o</w:t>
      </w:r>
      <w:r w:rsidRPr="00B75D61">
        <w:rPr>
          <w:rFonts w:ascii="Arial" w:hAnsi="Arial" w:cs="Arial"/>
        </w:rPr>
        <w:t xml:space="preserve"> do Decreto n</w:t>
      </w:r>
      <w:r w:rsidRPr="00084D10">
        <w:rPr>
          <w:rFonts w:ascii="Arial" w:hAnsi="Arial" w:cs="Arial"/>
          <w:u w:val="words"/>
          <w:vertAlign w:val="superscript"/>
        </w:rPr>
        <w:t>o</w:t>
      </w:r>
      <w:r w:rsidRPr="00B75D61">
        <w:rPr>
          <w:rFonts w:ascii="Arial" w:hAnsi="Arial" w:cs="Arial"/>
        </w:rPr>
        <w:t xml:space="preserve"> 6.144, de 3 de julho de 2007, no art. 2</w:t>
      </w:r>
      <w:r w:rsidRPr="00084D10">
        <w:rPr>
          <w:rFonts w:ascii="Arial" w:hAnsi="Arial" w:cs="Arial"/>
          <w:u w:val="words"/>
          <w:vertAlign w:val="superscript"/>
        </w:rPr>
        <w:t>o</w:t>
      </w:r>
      <w:r w:rsidRPr="00B75D61">
        <w:rPr>
          <w:rFonts w:ascii="Arial" w:hAnsi="Arial" w:cs="Arial"/>
        </w:rPr>
        <w:t>, § 3</w:t>
      </w:r>
      <w:r w:rsidRPr="00084D10">
        <w:rPr>
          <w:rFonts w:ascii="Arial" w:hAnsi="Arial" w:cs="Arial"/>
          <w:u w:val="words"/>
          <w:vertAlign w:val="superscript"/>
        </w:rPr>
        <w:t>o</w:t>
      </w:r>
      <w:r w:rsidRPr="00B75D61">
        <w:rPr>
          <w:rFonts w:ascii="Arial" w:hAnsi="Arial" w:cs="Arial"/>
        </w:rPr>
        <w:t>, da Portaria MME n</w:t>
      </w:r>
      <w:r w:rsidRPr="00084D10">
        <w:rPr>
          <w:rFonts w:ascii="Arial" w:hAnsi="Arial" w:cs="Arial"/>
          <w:u w:val="words"/>
          <w:vertAlign w:val="superscript"/>
        </w:rPr>
        <w:t>o</w:t>
      </w:r>
      <w:r w:rsidRPr="00B75D61">
        <w:rPr>
          <w:rFonts w:ascii="Arial" w:hAnsi="Arial" w:cs="Arial"/>
        </w:rPr>
        <w:t xml:space="preserve"> 274, de 19 de agosto de 2013, e o que consta do Processo n</w:t>
      </w:r>
      <w:r w:rsidRPr="00084D10">
        <w:rPr>
          <w:rFonts w:ascii="Arial" w:hAnsi="Arial" w:cs="Arial"/>
          <w:u w:val="words"/>
          <w:vertAlign w:val="superscript"/>
        </w:rPr>
        <w:t>o</w:t>
      </w:r>
      <w:r w:rsidRPr="00B75D61">
        <w:rPr>
          <w:rFonts w:ascii="Arial" w:hAnsi="Arial" w:cs="Arial"/>
        </w:rPr>
        <w:t xml:space="preserve"> </w:t>
      </w:r>
      <w:r w:rsidRPr="00B75D61">
        <w:rPr>
          <w:rFonts w:ascii="Arial" w:hAnsi="Arial" w:cs="Arial"/>
          <w:bCs/>
          <w:noProof/>
        </w:rPr>
        <w:t>48500.004021/2017-46</w:t>
      </w:r>
      <w:r w:rsidRPr="00B75D61">
        <w:rPr>
          <w:rFonts w:ascii="Arial" w:hAnsi="Arial" w:cs="Arial"/>
        </w:rPr>
        <w:t>, resolve:</w:t>
      </w:r>
    </w:p>
    <w:p w:rsidR="00084D10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4D10" w:rsidRPr="00B75D61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75D61">
        <w:rPr>
          <w:rFonts w:ascii="Arial" w:hAnsi="Arial" w:cs="Arial"/>
          <w:color w:val="000000"/>
        </w:rPr>
        <w:t>Art. 1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18 do Leilão n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</w:t>
      </w:r>
      <w:r w:rsidRPr="00B75D61">
        <w:rPr>
          <w:rFonts w:ascii="Arial" w:hAnsi="Arial" w:cs="Arial"/>
          <w:noProof/>
          <w:color w:val="000000"/>
        </w:rPr>
        <w:t>05/2016-ANEEL</w:t>
      </w:r>
      <w:r w:rsidRPr="00B75D61">
        <w:rPr>
          <w:rFonts w:ascii="Arial" w:hAnsi="Arial" w:cs="Arial"/>
          <w:color w:val="000000"/>
        </w:rPr>
        <w:t xml:space="preserve">, de titularidade da empresa </w:t>
      </w:r>
      <w:r w:rsidRPr="00B75D61">
        <w:rPr>
          <w:rFonts w:ascii="Arial" w:hAnsi="Arial" w:cs="Arial"/>
          <w:noProof/>
          <w:color w:val="000000"/>
        </w:rPr>
        <w:t>EDP Transmissão SP-MG S.A.</w:t>
      </w:r>
      <w:r w:rsidRPr="00B75D61">
        <w:rPr>
          <w:rFonts w:ascii="Arial" w:hAnsi="Arial" w:cs="Arial"/>
          <w:color w:val="000000"/>
        </w:rPr>
        <w:t>, inscrita no CNPJ/MF sob o n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> </w:t>
      </w:r>
      <w:r w:rsidRPr="00B75D61">
        <w:rPr>
          <w:rFonts w:ascii="Arial" w:hAnsi="Arial" w:cs="Arial"/>
          <w:noProof/>
          <w:color w:val="000000"/>
        </w:rPr>
        <w:t>27.821.748/0001-01</w:t>
      </w:r>
      <w:r w:rsidRPr="00B75D61">
        <w:rPr>
          <w:rFonts w:ascii="Arial" w:hAnsi="Arial" w:cs="Arial"/>
          <w:color w:val="000000"/>
        </w:rPr>
        <w:t>, detalhado no Anexo à presente Portaria.</w:t>
      </w:r>
    </w:p>
    <w:p w:rsidR="00084D10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4D10" w:rsidRPr="00B75D61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75D61">
        <w:rPr>
          <w:rFonts w:ascii="Arial" w:hAnsi="Arial" w:cs="Arial"/>
          <w:color w:val="000000"/>
        </w:rPr>
        <w:t xml:space="preserve">Parágrafo único. O projeto de que trata o </w:t>
      </w:r>
      <w:r w:rsidRPr="00B75D61">
        <w:rPr>
          <w:rFonts w:ascii="Arial" w:hAnsi="Arial" w:cs="Arial"/>
          <w:b/>
          <w:color w:val="000000"/>
        </w:rPr>
        <w:t>caput</w:t>
      </w:r>
      <w:r w:rsidRPr="00B75D61">
        <w:rPr>
          <w:rFonts w:ascii="Arial" w:hAnsi="Arial" w:cs="Arial"/>
          <w:color w:val="000000"/>
        </w:rPr>
        <w:t xml:space="preserve">, objeto do </w:t>
      </w:r>
      <w:r w:rsidRPr="00B75D61">
        <w:rPr>
          <w:rFonts w:ascii="Arial" w:hAnsi="Arial" w:cs="Arial"/>
        </w:rPr>
        <w:t>Contrato de Concessão n</w:t>
      </w:r>
      <w:r w:rsidRPr="00084D10">
        <w:rPr>
          <w:rFonts w:ascii="Arial" w:hAnsi="Arial" w:cs="Arial"/>
          <w:u w:val="words"/>
          <w:vertAlign w:val="superscript"/>
        </w:rPr>
        <w:t>o</w:t>
      </w:r>
      <w:r w:rsidRPr="00B75D61">
        <w:rPr>
          <w:rFonts w:ascii="Arial" w:hAnsi="Arial" w:cs="Arial"/>
        </w:rPr>
        <w:t xml:space="preserve"> </w:t>
      </w:r>
      <w:r w:rsidRPr="00B75D61">
        <w:rPr>
          <w:rFonts w:ascii="Arial" w:hAnsi="Arial" w:cs="Arial"/>
          <w:noProof/>
        </w:rPr>
        <w:t>36/2017-ANEEL</w:t>
      </w:r>
      <w:r w:rsidRPr="00B75D61">
        <w:rPr>
          <w:rFonts w:ascii="Arial" w:hAnsi="Arial" w:cs="Arial"/>
        </w:rPr>
        <w:t xml:space="preserve">, celebrado em </w:t>
      </w:r>
      <w:r w:rsidRPr="00B75D61">
        <w:rPr>
          <w:rFonts w:ascii="Arial" w:hAnsi="Arial" w:cs="Arial"/>
          <w:noProof/>
        </w:rPr>
        <w:t>11 de agosto de 2017</w:t>
      </w:r>
      <w:r w:rsidRPr="00B75D61">
        <w:rPr>
          <w:rFonts w:ascii="Arial" w:hAnsi="Arial" w:cs="Arial"/>
          <w:color w:val="000000"/>
        </w:rPr>
        <w:t xml:space="preserve">, é alcançado pelo art. </w:t>
      </w:r>
      <w:r w:rsidRPr="00B75D61">
        <w:rPr>
          <w:rFonts w:ascii="Arial" w:hAnsi="Arial" w:cs="Arial"/>
        </w:rPr>
        <w:t>4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>, inciso II, da Portaria MME n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274, de 19 de agosto de 2013.</w:t>
      </w:r>
    </w:p>
    <w:p w:rsidR="00084D10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4D10" w:rsidRPr="00B75D61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75D61">
        <w:rPr>
          <w:rFonts w:ascii="Arial" w:hAnsi="Arial" w:cs="Arial"/>
          <w:color w:val="000000"/>
        </w:rPr>
        <w:t>Art. 2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As estimativas dos investimentos têm por base o mês de </w:t>
      </w:r>
      <w:r w:rsidRPr="00B75D61">
        <w:rPr>
          <w:rFonts w:ascii="Arial" w:hAnsi="Arial" w:cs="Arial"/>
          <w:noProof/>
          <w:color w:val="000000"/>
        </w:rPr>
        <w:t>julho de 2017</w:t>
      </w:r>
      <w:r w:rsidRPr="00B75D61">
        <w:rPr>
          <w:rFonts w:ascii="Arial" w:hAnsi="Arial" w:cs="Arial"/>
          <w:color w:val="000000"/>
        </w:rPr>
        <w:t xml:space="preserve"> e são de exclusiva responsabilidade da </w:t>
      </w:r>
      <w:r w:rsidRPr="00B75D61">
        <w:rPr>
          <w:rFonts w:ascii="Arial" w:hAnsi="Arial" w:cs="Arial"/>
          <w:noProof/>
          <w:color w:val="000000"/>
        </w:rPr>
        <w:t>EDP Transmissão SP-MG S.A.</w:t>
      </w:r>
      <w:r w:rsidRPr="00B75D61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84D10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4D10" w:rsidRPr="00B75D61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75D61">
        <w:rPr>
          <w:rFonts w:ascii="Arial" w:hAnsi="Arial" w:cs="Arial"/>
          <w:color w:val="000000"/>
        </w:rPr>
        <w:t>Art. 3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A </w:t>
      </w:r>
      <w:r w:rsidRPr="00B75D61">
        <w:rPr>
          <w:rFonts w:ascii="Arial" w:hAnsi="Arial" w:cs="Arial"/>
          <w:noProof/>
          <w:color w:val="000000"/>
        </w:rPr>
        <w:t xml:space="preserve">EDP Transmissão SP-MG S.A. </w:t>
      </w:r>
      <w:r w:rsidRPr="00B75D61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84D10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4D10" w:rsidRPr="00B75D61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75D61">
        <w:rPr>
          <w:rFonts w:ascii="Arial" w:hAnsi="Arial" w:cs="Arial"/>
          <w:color w:val="000000"/>
        </w:rPr>
        <w:t>Art. 4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Alterações técnicas ou de titularidade do projeto</w:t>
      </w:r>
      <w:r w:rsidRPr="00B75D61">
        <w:rPr>
          <w:rFonts w:ascii="Arial" w:hAnsi="Arial" w:cs="Arial"/>
          <w:color w:val="FF0000"/>
        </w:rPr>
        <w:t xml:space="preserve"> </w:t>
      </w:r>
      <w:r w:rsidRPr="00B75D61">
        <w:rPr>
          <w:rFonts w:ascii="Arial" w:hAnsi="Arial" w:cs="Arial"/>
        </w:rPr>
        <w:t>de que trata esta Portaria</w:t>
      </w:r>
      <w:r w:rsidRPr="00B75D61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084D10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4D10" w:rsidRPr="00B75D61" w:rsidRDefault="00084D10" w:rsidP="00084D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75D61">
        <w:rPr>
          <w:rFonts w:ascii="Arial" w:hAnsi="Arial" w:cs="Arial"/>
          <w:color w:val="000000"/>
        </w:rPr>
        <w:t>Art. 5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84D10" w:rsidRDefault="00084D10" w:rsidP="00084D1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084D10" w:rsidRPr="00B75D61" w:rsidRDefault="00084D10" w:rsidP="00084D1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B75D61">
        <w:rPr>
          <w:rFonts w:ascii="Arial" w:hAnsi="Arial" w:cs="Arial"/>
          <w:color w:val="000000"/>
        </w:rPr>
        <w:t>Art. 6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A </w:t>
      </w:r>
      <w:r w:rsidRPr="00B75D61">
        <w:rPr>
          <w:rFonts w:ascii="Arial" w:hAnsi="Arial" w:cs="Arial"/>
          <w:noProof/>
          <w:color w:val="000000"/>
        </w:rPr>
        <w:t xml:space="preserve">EDP Transmissão SP-MG S.A. </w:t>
      </w:r>
      <w:r w:rsidRPr="00B75D61">
        <w:rPr>
          <w:rFonts w:ascii="Arial" w:hAnsi="Arial" w:cs="Arial"/>
          <w:color w:val="000000"/>
        </w:rPr>
        <w:t>deverá observar, no que couber, as disposições constantes na Lei n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11.488, de 15 de junho de 2007, no Decreto n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6.144, de 3 de julho de 2007, na Portaria MME </w:t>
      </w:r>
      <w:r w:rsidRPr="00B75D61">
        <w:rPr>
          <w:rFonts w:ascii="Arial" w:hAnsi="Arial" w:cs="Arial"/>
        </w:rPr>
        <w:t>n</w:t>
      </w:r>
      <w:r w:rsidRPr="00084D10">
        <w:rPr>
          <w:rFonts w:ascii="Arial" w:hAnsi="Arial" w:cs="Arial"/>
          <w:u w:val="words"/>
          <w:vertAlign w:val="superscript"/>
        </w:rPr>
        <w:t>o</w:t>
      </w:r>
      <w:r w:rsidRPr="00B75D61">
        <w:rPr>
          <w:rFonts w:ascii="Arial" w:hAnsi="Arial" w:cs="Arial"/>
        </w:rPr>
        <w:t xml:space="preserve"> 274, de 2013</w:t>
      </w:r>
      <w:r w:rsidRPr="00B75D61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B75D61">
        <w:rPr>
          <w:rFonts w:ascii="Arial" w:hAnsi="Arial" w:cs="Arial"/>
          <w:color w:val="000000"/>
        </w:rPr>
        <w:t>arts</w:t>
      </w:r>
      <w:proofErr w:type="spellEnd"/>
      <w:r w:rsidRPr="00B75D61">
        <w:rPr>
          <w:rFonts w:ascii="Arial" w:hAnsi="Arial" w:cs="Arial"/>
          <w:color w:val="000000"/>
        </w:rPr>
        <w:t>. 9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e 14, do Decreto n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84D10" w:rsidRDefault="00084D10" w:rsidP="00084D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4D10" w:rsidRPr="00B75D61" w:rsidRDefault="00084D10" w:rsidP="00084D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75D61">
        <w:rPr>
          <w:rFonts w:ascii="Arial" w:hAnsi="Arial" w:cs="Arial"/>
          <w:color w:val="000000"/>
        </w:rPr>
        <w:t>Art. 7</w:t>
      </w:r>
      <w:r w:rsidRPr="00084D10">
        <w:rPr>
          <w:rFonts w:ascii="Arial" w:hAnsi="Arial" w:cs="Arial"/>
          <w:color w:val="000000"/>
          <w:u w:val="words"/>
          <w:vertAlign w:val="superscript"/>
        </w:rPr>
        <w:t>o</w:t>
      </w:r>
      <w:r w:rsidRPr="00B75D6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C7235D">
        <w:rPr>
          <w:rFonts w:ascii="Arial" w:hAnsi="Arial" w:cs="Arial"/>
          <w:color w:val="FF0000"/>
        </w:rPr>
        <w:t>30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692"/>
        <w:gridCol w:w="1484"/>
        <w:gridCol w:w="4183"/>
      </w:tblGrid>
      <w:tr w:rsidR="00084D10" w:rsidRPr="00B75D61" w:rsidTr="00084D10">
        <w:trPr>
          <w:trHeight w:val="360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75D6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84D10" w:rsidRPr="00B75D61" w:rsidTr="00084D1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10" w:type="dxa"/>
            <w:gridSpan w:val="4"/>
            <w:vAlign w:val="center"/>
          </w:tcPr>
          <w:p w:rsidR="00084D10" w:rsidRPr="00B75D61" w:rsidRDefault="00084D10" w:rsidP="003C2A80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B75D61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084D10" w:rsidRPr="00B75D61" w:rsidTr="00084D10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75D61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84D10" w:rsidRPr="00B75D61" w:rsidTr="00084D10">
        <w:trPr>
          <w:trHeight w:val="223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01 - Nome Empresarial</w:t>
            </w:r>
          </w:p>
        </w:tc>
      </w:tr>
      <w:tr w:rsidR="00084D10" w:rsidRPr="00B75D61" w:rsidTr="00084D10">
        <w:trPr>
          <w:trHeight w:val="227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  <w:noProof/>
                <w:szCs w:val="22"/>
              </w:rPr>
              <w:t xml:space="preserve">EDP Transmissão SP-MG S.A. </w:t>
            </w:r>
          </w:p>
        </w:tc>
      </w:tr>
      <w:tr w:rsidR="00084D10" w:rsidRPr="00B75D61" w:rsidTr="00084D10">
        <w:trPr>
          <w:jc w:val="center"/>
        </w:trPr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 xml:space="preserve">02 - CNPJ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03 - Telefone</w:t>
            </w:r>
          </w:p>
        </w:tc>
      </w:tr>
      <w:tr w:rsidR="00084D10" w:rsidRPr="00B75D61" w:rsidTr="00084D10">
        <w:trPr>
          <w:jc w:val="center"/>
        </w:trPr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  <w:color w:val="000000"/>
              </w:rPr>
              <w:fldChar w:fldCharType="begin"/>
            </w:r>
            <w:r w:rsidRPr="00B75D61">
              <w:rPr>
                <w:rFonts w:ascii="Arial" w:hAnsi="Arial" w:cs="Arial"/>
                <w:color w:val="000000"/>
              </w:rPr>
              <w:instrText xml:space="preserve"> MERGEFIELD CNPJ </w:instrText>
            </w:r>
            <w:r w:rsidRPr="00B75D61">
              <w:rPr>
                <w:rFonts w:ascii="Arial" w:hAnsi="Arial" w:cs="Arial"/>
                <w:color w:val="000000"/>
              </w:rPr>
              <w:fldChar w:fldCharType="separate"/>
            </w:r>
            <w:r w:rsidRPr="00B75D61">
              <w:rPr>
                <w:rFonts w:ascii="Arial" w:hAnsi="Arial" w:cs="Arial"/>
                <w:noProof/>
                <w:color w:val="000000"/>
              </w:rPr>
              <w:t>27.821.748/0001-01</w:t>
            </w:r>
            <w:r w:rsidRPr="00B75D61">
              <w:rPr>
                <w:rFonts w:ascii="Arial" w:hAnsi="Arial" w:cs="Arial"/>
                <w:color w:val="000000"/>
              </w:rPr>
              <w:fldChar w:fldCharType="end"/>
            </w:r>
            <w:r w:rsidRPr="00B75D61">
              <w:rPr>
                <w:rFonts w:ascii="Arial" w:hAnsi="Arial" w:cs="Arial"/>
                <w:noProof/>
                <w:color w:val="000000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(11) 2185-5045.</w:t>
            </w:r>
          </w:p>
        </w:tc>
      </w:tr>
      <w:tr w:rsidR="00084D10" w:rsidRPr="00B75D61" w:rsidTr="00084D1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10" w:type="dxa"/>
            <w:gridSpan w:val="4"/>
          </w:tcPr>
          <w:p w:rsidR="00084D10" w:rsidRPr="00B75D61" w:rsidRDefault="00084D10" w:rsidP="003C2A80">
            <w:pPr>
              <w:jc w:val="both"/>
              <w:rPr>
                <w:rFonts w:ascii="Arial" w:hAnsi="Arial" w:cs="Arial"/>
                <w:bCs/>
              </w:rPr>
            </w:pPr>
            <w:r w:rsidRPr="00B75D61">
              <w:rPr>
                <w:rFonts w:ascii="Arial" w:hAnsi="Arial" w:cs="Arial"/>
              </w:rPr>
              <w:t xml:space="preserve">04 - </w:t>
            </w:r>
            <w:r w:rsidRPr="00B75D61">
              <w:rPr>
                <w:rFonts w:ascii="Arial" w:hAnsi="Arial" w:cs="Arial"/>
                <w:bCs/>
              </w:rPr>
              <w:t>DADOS DO PROJETO</w:t>
            </w:r>
          </w:p>
        </w:tc>
      </w:tr>
      <w:tr w:rsidR="00084D10" w:rsidRPr="00B75D61" w:rsidTr="00084D1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  <w:b/>
              </w:rPr>
            </w:pPr>
            <w:r w:rsidRPr="00B75D6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:rsidR="00084D10" w:rsidRPr="00B75D61" w:rsidRDefault="00084D10" w:rsidP="003C2A80">
            <w:pPr>
              <w:jc w:val="both"/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  <w:szCs w:val="22"/>
              </w:rPr>
              <w:t>Lote 18 do Leilão n</w:t>
            </w:r>
            <w:r w:rsidRPr="00084D10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B75D61">
              <w:rPr>
                <w:rFonts w:ascii="Arial" w:hAnsi="Arial" w:cs="Arial"/>
                <w:szCs w:val="22"/>
              </w:rPr>
              <w:t xml:space="preserve"> </w:t>
            </w:r>
            <w:r w:rsidRPr="00B75D61">
              <w:rPr>
                <w:rFonts w:ascii="Arial" w:hAnsi="Arial" w:cs="Arial"/>
                <w:noProof/>
                <w:szCs w:val="22"/>
              </w:rPr>
              <w:t>05/2016-ANEEL</w:t>
            </w:r>
            <w:r w:rsidRPr="00B75D61">
              <w:rPr>
                <w:rFonts w:ascii="Arial" w:hAnsi="Arial" w:cs="Arial"/>
                <w:szCs w:val="22"/>
              </w:rPr>
              <w:t xml:space="preserve"> (</w:t>
            </w:r>
            <w:r w:rsidRPr="00B75D61">
              <w:rPr>
                <w:rFonts w:ascii="Arial" w:hAnsi="Arial" w:cs="Arial"/>
              </w:rPr>
              <w:t>Contrato de Concessão n</w:t>
            </w:r>
            <w:r w:rsidRPr="00084D1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75D61">
              <w:rPr>
                <w:rFonts w:ascii="Arial" w:hAnsi="Arial" w:cs="Arial"/>
              </w:rPr>
              <w:t xml:space="preserve"> </w:t>
            </w:r>
            <w:r w:rsidRPr="00B75D61">
              <w:rPr>
                <w:rFonts w:ascii="Arial" w:hAnsi="Arial" w:cs="Arial"/>
                <w:noProof/>
              </w:rPr>
              <w:t>36/2017-ANEEL</w:t>
            </w:r>
            <w:r w:rsidRPr="00B75D61">
              <w:rPr>
                <w:rFonts w:ascii="Arial" w:hAnsi="Arial" w:cs="Arial"/>
              </w:rPr>
              <w:t xml:space="preserve">, celebrado em </w:t>
            </w:r>
            <w:r w:rsidRPr="00B75D61">
              <w:rPr>
                <w:rFonts w:ascii="Arial" w:hAnsi="Arial" w:cs="Arial"/>
                <w:noProof/>
              </w:rPr>
              <w:t>11 de agosto de 2017).</w:t>
            </w:r>
          </w:p>
        </w:tc>
      </w:tr>
      <w:tr w:rsidR="00084D10" w:rsidRPr="00B75D61" w:rsidTr="00084D10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vMerge w:val="restart"/>
          </w:tcPr>
          <w:p w:rsidR="00084D10" w:rsidRPr="00B75D61" w:rsidRDefault="00084D10" w:rsidP="003C2A80">
            <w:pPr>
              <w:rPr>
                <w:rFonts w:ascii="Arial" w:hAnsi="Arial" w:cs="Arial"/>
                <w:b/>
              </w:rPr>
            </w:pPr>
            <w:r w:rsidRPr="00B75D6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gridSpan w:val="3"/>
          </w:tcPr>
          <w:p w:rsidR="00084D10" w:rsidRPr="00B75D61" w:rsidRDefault="00084D10" w:rsidP="003C2A80">
            <w:pPr>
              <w:jc w:val="both"/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Projeto de Transmissão de Energia Elétrica, relativo ao Lote 18 do Leilão n</w:t>
            </w:r>
            <w:r w:rsidRPr="00084D1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75D61">
              <w:rPr>
                <w:rFonts w:ascii="Arial" w:hAnsi="Arial" w:cs="Arial"/>
              </w:rPr>
              <w:t xml:space="preserve"> 05/2016-ANEEL, compreendendo:</w:t>
            </w:r>
          </w:p>
        </w:tc>
      </w:tr>
      <w:tr w:rsidR="00084D10" w:rsidRPr="00B75D61" w:rsidTr="00084D1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vMerge/>
          </w:tcPr>
          <w:p w:rsidR="00084D10" w:rsidRPr="00B75D61" w:rsidRDefault="00084D10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4D10" w:rsidRPr="00B75D61" w:rsidRDefault="00084D10" w:rsidP="003C2A80">
            <w:pPr>
              <w:jc w:val="both"/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I - Circuitos 1 e 2 da Linha de Transmissão Estreito - Cachoeira Paulista, em 500 kV, ambos em Circuito Simples, com extensão aproximada de trezentos e setenta e cinco quilômetros, com origem na Subestação Estreito e término na Subestação Cachoeira Paulista;</w:t>
            </w:r>
          </w:p>
        </w:tc>
      </w:tr>
      <w:tr w:rsidR="00084D10" w:rsidRPr="00B75D61" w:rsidTr="00084D1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vMerge/>
          </w:tcPr>
          <w:p w:rsidR="00084D10" w:rsidRPr="00B75D61" w:rsidRDefault="00084D10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4D10" w:rsidRPr="00B75D61" w:rsidRDefault="00084D10" w:rsidP="003C2A80">
            <w:pPr>
              <w:jc w:val="both"/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 xml:space="preserve">II - Bancos de Reatores de Linha de 7x80 </w:t>
            </w:r>
            <w:proofErr w:type="spellStart"/>
            <w:r w:rsidRPr="00B75D61">
              <w:rPr>
                <w:rFonts w:ascii="Arial" w:hAnsi="Arial" w:cs="Arial"/>
              </w:rPr>
              <w:t>Mvar</w:t>
            </w:r>
            <w:proofErr w:type="spellEnd"/>
            <w:r w:rsidRPr="00B75D61">
              <w:rPr>
                <w:rFonts w:ascii="Arial" w:hAnsi="Arial" w:cs="Arial"/>
              </w:rPr>
              <w:t xml:space="preserve"> em ambos os Terminais de Linha; e</w:t>
            </w:r>
          </w:p>
        </w:tc>
      </w:tr>
      <w:tr w:rsidR="00084D10" w:rsidRPr="00B75D61" w:rsidTr="00084D1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4D10" w:rsidRPr="00B75D61" w:rsidRDefault="00084D10" w:rsidP="003C2A80">
            <w:pPr>
              <w:jc w:val="both"/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III - Entradas de Linha, Interligações de Barramentos, extensão de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084D10" w:rsidRPr="00B75D61" w:rsidTr="00084D10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</w:tcPr>
          <w:p w:rsidR="00084D10" w:rsidRPr="00B75D61" w:rsidRDefault="00084D10" w:rsidP="003C2A80">
            <w:pPr>
              <w:jc w:val="both"/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  <w:szCs w:val="22"/>
              </w:rPr>
              <w:t>De 11/8/2017 a 11/8/2022.</w:t>
            </w:r>
          </w:p>
        </w:tc>
      </w:tr>
      <w:tr w:rsidR="00084D10" w:rsidRPr="00B75D61" w:rsidTr="00084D10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63" w:type="dxa"/>
            <w:gridSpan w:val="3"/>
          </w:tcPr>
          <w:p w:rsidR="00084D10" w:rsidRPr="00B75D61" w:rsidRDefault="00084D10" w:rsidP="003C2A80">
            <w:pPr>
              <w:jc w:val="both"/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  <w:szCs w:val="22"/>
              </w:rPr>
              <w:t xml:space="preserve">Municípios de Guaratinguetá, Piquete e Lorena, Estado de São Paulo; </w:t>
            </w:r>
            <w:proofErr w:type="spellStart"/>
            <w:r w:rsidRPr="00B75D61">
              <w:rPr>
                <w:rFonts w:ascii="Arial" w:hAnsi="Arial" w:cs="Arial"/>
                <w:szCs w:val="22"/>
              </w:rPr>
              <w:t>Ibiraci</w:t>
            </w:r>
            <w:proofErr w:type="spellEnd"/>
            <w:r w:rsidRPr="00B75D61">
              <w:rPr>
                <w:rFonts w:ascii="Arial" w:hAnsi="Arial" w:cs="Arial"/>
                <w:szCs w:val="22"/>
              </w:rPr>
              <w:t xml:space="preserve">, Cássia, Passos, Bom Jesus da Penha, Muzambinho, </w:t>
            </w:r>
            <w:proofErr w:type="spellStart"/>
            <w:r w:rsidRPr="00B75D61">
              <w:rPr>
                <w:rFonts w:ascii="Arial" w:hAnsi="Arial" w:cs="Arial"/>
                <w:szCs w:val="22"/>
              </w:rPr>
              <w:t>Juruaia</w:t>
            </w:r>
            <w:proofErr w:type="spellEnd"/>
            <w:r w:rsidRPr="00B75D61">
              <w:rPr>
                <w:rFonts w:ascii="Arial" w:hAnsi="Arial" w:cs="Arial"/>
                <w:szCs w:val="22"/>
              </w:rPr>
              <w:t xml:space="preserve">, Nova Resende, Cabo Verde, Monte Belo, Campestre, Divisa Nova, Poço Fundo, Pouso Alegre, Espírito Santo do Dourado, </w:t>
            </w:r>
            <w:proofErr w:type="spellStart"/>
            <w:r w:rsidRPr="00B75D61">
              <w:rPr>
                <w:rFonts w:ascii="Arial" w:hAnsi="Arial" w:cs="Arial"/>
                <w:szCs w:val="22"/>
              </w:rPr>
              <w:t>Ipuiúna</w:t>
            </w:r>
            <w:proofErr w:type="spellEnd"/>
            <w:r w:rsidRPr="00B75D61">
              <w:rPr>
                <w:rFonts w:ascii="Arial" w:hAnsi="Arial" w:cs="Arial"/>
                <w:szCs w:val="22"/>
              </w:rPr>
              <w:t xml:space="preserve">, Cachoeira de Minas, São Sebastião da Bela Vista, Santa Rita do Sapucaí, Brasópolis, Piranguinho, </w:t>
            </w:r>
            <w:proofErr w:type="spellStart"/>
            <w:r w:rsidRPr="00B75D61">
              <w:rPr>
                <w:rFonts w:ascii="Arial" w:hAnsi="Arial" w:cs="Arial"/>
                <w:szCs w:val="22"/>
              </w:rPr>
              <w:t>Piranguçu</w:t>
            </w:r>
            <w:proofErr w:type="spellEnd"/>
            <w:r w:rsidRPr="00B75D61">
              <w:rPr>
                <w:rFonts w:ascii="Arial" w:hAnsi="Arial" w:cs="Arial"/>
                <w:szCs w:val="22"/>
              </w:rPr>
              <w:t>, Itajubá, Wenceslau Braz, Delfim Moreira e Itaú de Minas, Estado de Minas Gerais.</w:t>
            </w:r>
          </w:p>
        </w:tc>
      </w:tr>
      <w:tr w:rsidR="00084D10" w:rsidRPr="00B75D61" w:rsidTr="00084D10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  <w:bCs/>
              </w:rPr>
            </w:pPr>
            <w:r w:rsidRPr="00B75D61">
              <w:rPr>
                <w:rFonts w:ascii="Arial" w:hAnsi="Arial" w:cs="Arial"/>
              </w:rPr>
              <w:t xml:space="preserve">05 - </w:t>
            </w:r>
            <w:r w:rsidRPr="00B75D61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084D10" w:rsidRPr="00B75D61" w:rsidTr="00084D10">
        <w:trPr>
          <w:trHeight w:hRule="exact" w:val="28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Nome: Luiz Otavio Assis Henriques.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CPF: 024.750.768-79.</w:t>
            </w:r>
          </w:p>
        </w:tc>
      </w:tr>
      <w:tr w:rsidR="00084D10" w:rsidRPr="00B75D61" w:rsidTr="00084D10">
        <w:trPr>
          <w:trHeight w:hRule="exact" w:val="28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Nome: André Luiz de Castro Pereira.</w:t>
            </w:r>
          </w:p>
        </w:tc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CPF: 157.453.778-44.</w:t>
            </w:r>
          </w:p>
        </w:tc>
      </w:tr>
      <w:tr w:rsidR="00084D10" w:rsidRPr="00B75D61" w:rsidTr="00084D10">
        <w:trPr>
          <w:trHeight w:hRule="exact" w:val="28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Nome: Leonardo Nery dos Santos.</w:t>
            </w:r>
          </w:p>
        </w:tc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 xml:space="preserve">CPF: 297.911.868-04. </w:t>
            </w:r>
          </w:p>
        </w:tc>
      </w:tr>
      <w:tr w:rsidR="00084D10" w:rsidRPr="00B75D61" w:rsidTr="00084D10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  <w:bCs/>
              </w:rPr>
            </w:pPr>
            <w:r w:rsidRPr="00B75D61">
              <w:rPr>
                <w:rFonts w:ascii="Arial" w:hAnsi="Arial" w:cs="Arial"/>
              </w:rPr>
              <w:t xml:space="preserve">06 - </w:t>
            </w:r>
            <w:r w:rsidRPr="00B75D61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084D10" w:rsidRPr="00B75D61" w:rsidTr="00084D10">
        <w:trPr>
          <w:trHeight w:val="14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Bens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715.041.304,00.</w:t>
            </w:r>
          </w:p>
        </w:tc>
      </w:tr>
      <w:tr w:rsidR="00084D10" w:rsidRPr="00B75D61" w:rsidTr="00084D10">
        <w:trPr>
          <w:trHeight w:val="1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Serviços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636.429.007,00.</w:t>
            </w:r>
          </w:p>
        </w:tc>
      </w:tr>
      <w:tr w:rsidR="00084D10" w:rsidRPr="00B75D61" w:rsidTr="00084D10">
        <w:trPr>
          <w:trHeight w:val="15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Outros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528.196.206,00.</w:t>
            </w:r>
          </w:p>
        </w:tc>
      </w:tr>
      <w:tr w:rsidR="00084D10" w:rsidRPr="00B75D61" w:rsidTr="00084D10">
        <w:trPr>
          <w:trHeight w:val="1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  <w:b/>
              </w:rPr>
            </w:pPr>
            <w:r w:rsidRPr="00B75D61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75D61">
              <w:rPr>
                <w:rFonts w:ascii="Arial" w:hAnsi="Arial" w:cs="Arial"/>
                <w:b/>
                <w:szCs w:val="22"/>
              </w:rPr>
              <w:t>1.879.666.517,00.</w:t>
            </w:r>
          </w:p>
        </w:tc>
      </w:tr>
      <w:tr w:rsidR="00084D10" w:rsidRPr="00B75D61" w:rsidTr="00084D10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10" w:rsidRPr="00B75D61" w:rsidRDefault="00084D10" w:rsidP="003C2A80">
            <w:pPr>
              <w:rPr>
                <w:rFonts w:ascii="Arial" w:hAnsi="Arial" w:cs="Arial"/>
                <w:bCs/>
              </w:rPr>
            </w:pPr>
            <w:r w:rsidRPr="00B75D61">
              <w:rPr>
                <w:rFonts w:ascii="Arial" w:hAnsi="Arial" w:cs="Arial"/>
              </w:rPr>
              <w:t xml:space="preserve">07 - </w:t>
            </w:r>
            <w:r w:rsidRPr="00B75D61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084D10" w:rsidRPr="00B75D61" w:rsidTr="00084D10">
        <w:trPr>
          <w:trHeight w:val="9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Bens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656.908.446,00.</w:t>
            </w:r>
          </w:p>
        </w:tc>
      </w:tr>
      <w:tr w:rsidR="00084D10" w:rsidRPr="00B75D61" w:rsidTr="00084D10">
        <w:trPr>
          <w:trHeight w:val="2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Serviços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613.199.348,00.</w:t>
            </w:r>
          </w:p>
        </w:tc>
      </w:tr>
      <w:tr w:rsidR="00084D10" w:rsidRPr="00B75D61" w:rsidTr="00084D10">
        <w:trPr>
          <w:trHeight w:val="9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</w:rPr>
            </w:pPr>
            <w:r w:rsidRPr="00B75D61">
              <w:rPr>
                <w:rFonts w:ascii="Arial" w:hAnsi="Arial" w:cs="Arial"/>
              </w:rPr>
              <w:t>Outros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B75D61">
              <w:rPr>
                <w:rFonts w:ascii="Arial" w:hAnsi="Arial" w:cs="Arial"/>
                <w:szCs w:val="22"/>
              </w:rPr>
              <w:t>528.196.206,00.</w:t>
            </w:r>
          </w:p>
        </w:tc>
      </w:tr>
      <w:tr w:rsidR="00084D10" w:rsidRPr="00B75D61" w:rsidTr="00084D10">
        <w:trPr>
          <w:trHeight w:val="8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rPr>
                <w:rFonts w:ascii="Arial" w:hAnsi="Arial" w:cs="Arial"/>
                <w:b/>
              </w:rPr>
            </w:pPr>
            <w:r w:rsidRPr="00B75D61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10" w:rsidRPr="00B75D61" w:rsidRDefault="00084D10" w:rsidP="003C2A8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75D61">
              <w:rPr>
                <w:rFonts w:ascii="Arial" w:hAnsi="Arial" w:cs="Arial"/>
                <w:b/>
                <w:szCs w:val="22"/>
              </w:rPr>
              <w:t>1.798.304.000,00.</w:t>
            </w:r>
          </w:p>
        </w:tc>
      </w:tr>
    </w:tbl>
    <w:p w:rsidR="00BB206C" w:rsidRPr="00D517EF" w:rsidRDefault="00BB206C" w:rsidP="00084D10">
      <w:pPr>
        <w:jc w:val="center"/>
        <w:rPr>
          <w:rFonts w:ascii="Arial" w:hAnsi="Arial" w:cs="Arial"/>
          <w:sz w:val="2"/>
          <w:szCs w:val="2"/>
        </w:rPr>
      </w:pPr>
    </w:p>
    <w:sectPr w:rsidR="00BB206C" w:rsidRPr="00D517EF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12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C7235D">
      <w:rPr>
        <w:rFonts w:ascii="Arial" w:hAnsi="Arial" w:cs="Arial"/>
      </w:rPr>
      <w:t>1</w:t>
    </w:r>
    <w:r w:rsidR="00084D10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C7235D">
      <w:rPr>
        <w:rFonts w:ascii="Arial" w:hAnsi="Arial" w:cs="Arial"/>
      </w:rPr>
      <w:t>26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F1244B">
      <w:rPr>
        <w:rFonts w:ascii="Arial" w:hAnsi="Arial" w:cs="Arial"/>
      </w:rPr>
      <w:t>outubro</w:t>
    </w:r>
    <w:r w:rsidR="00984C50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84D1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8353"/>
    <o:shapelayout v:ext="edit">
      <o:idmap v:ext="edit" data="1"/>
    </o:shapelayout>
  </w:shapeDefaults>
  <w:decimalSymbol w:val=","/>
  <w:listSeparator w:val=";"/>
  <w14:docId w14:val="5BEA6AA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B39D-D313-43D4-A440-ACF4BC0C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2017-10-30T10:06:00Z</dcterms:created>
  <dcterms:modified xsi:type="dcterms:W3CDTF">2017-10-30T10:06:00Z</dcterms:modified>
</cp:coreProperties>
</file>