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C7235D">
        <w:rPr>
          <w:rFonts w:ascii="Arial" w:hAnsi="Arial" w:cs="Arial"/>
          <w:b/>
          <w:bCs/>
          <w:color w:val="000080"/>
        </w:rPr>
        <w:t>13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C7235D">
        <w:rPr>
          <w:rFonts w:ascii="Arial" w:hAnsi="Arial" w:cs="Arial"/>
          <w:b/>
          <w:bCs/>
          <w:color w:val="000080"/>
        </w:rPr>
        <w:t>26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F1244B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7235D" w:rsidRPr="00036CE7" w:rsidRDefault="00C7235D" w:rsidP="00C7235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36CE7">
        <w:rPr>
          <w:rFonts w:ascii="Arial" w:hAnsi="Arial" w:cs="Arial"/>
          <w:b/>
        </w:rPr>
        <w:t>O SECRETÁRIO DE PLANEJAMENTO E DESENVOLVIMENTO ENERGÉTICO DO MINISTÉRIO DE MINAS E ENERGIA</w:t>
      </w:r>
      <w:r w:rsidRPr="00036CE7">
        <w:rPr>
          <w:rFonts w:ascii="Arial" w:hAnsi="Arial" w:cs="Arial"/>
        </w:rPr>
        <w:t>, no uso da competência que lhe foi delegada pelo art. 1</w:t>
      </w:r>
      <w:bookmarkStart w:id="0" w:name="_GoBack"/>
      <w:r w:rsidRPr="00C7235D">
        <w:rPr>
          <w:rFonts w:ascii="Arial" w:hAnsi="Arial" w:cs="Arial"/>
          <w:u w:val="words"/>
          <w:vertAlign w:val="superscript"/>
        </w:rPr>
        <w:t>o</w:t>
      </w:r>
      <w:bookmarkEnd w:id="0"/>
      <w:r w:rsidRPr="00036CE7">
        <w:rPr>
          <w:rFonts w:ascii="Arial" w:hAnsi="Arial" w:cs="Arial"/>
        </w:rPr>
        <w:t>, inciso I, da Portaria MME n</w:t>
      </w:r>
      <w:r w:rsidRPr="00C7235D">
        <w:rPr>
          <w:rFonts w:ascii="Arial" w:hAnsi="Arial" w:cs="Arial"/>
          <w:u w:val="words"/>
          <w:vertAlign w:val="superscript"/>
        </w:rPr>
        <w:t>o</w:t>
      </w:r>
      <w:r w:rsidRPr="00036CE7">
        <w:rPr>
          <w:rFonts w:ascii="Arial" w:hAnsi="Arial" w:cs="Arial"/>
        </w:rPr>
        <w:t xml:space="preserve"> 281, de 29 de junho de 2016, tendo em vista o disposto no art. 6</w:t>
      </w:r>
      <w:r w:rsidRPr="00C7235D">
        <w:rPr>
          <w:rFonts w:ascii="Arial" w:hAnsi="Arial" w:cs="Arial"/>
          <w:u w:val="words"/>
          <w:vertAlign w:val="superscript"/>
        </w:rPr>
        <w:t>o</w:t>
      </w:r>
      <w:r w:rsidRPr="00036CE7">
        <w:rPr>
          <w:rFonts w:ascii="Arial" w:hAnsi="Arial" w:cs="Arial"/>
        </w:rPr>
        <w:t xml:space="preserve"> do Decreto n</w:t>
      </w:r>
      <w:r w:rsidRPr="00C7235D">
        <w:rPr>
          <w:rFonts w:ascii="Arial" w:hAnsi="Arial" w:cs="Arial"/>
          <w:u w:val="words"/>
          <w:vertAlign w:val="superscript"/>
        </w:rPr>
        <w:t>o</w:t>
      </w:r>
      <w:r w:rsidRPr="00036CE7">
        <w:rPr>
          <w:rFonts w:ascii="Arial" w:hAnsi="Arial" w:cs="Arial"/>
        </w:rPr>
        <w:t xml:space="preserve"> 6.144, de 3 de julho de 2007, no art. 2</w:t>
      </w:r>
      <w:r w:rsidRPr="00C7235D">
        <w:rPr>
          <w:rFonts w:ascii="Arial" w:hAnsi="Arial" w:cs="Arial"/>
          <w:u w:val="words"/>
          <w:vertAlign w:val="superscript"/>
        </w:rPr>
        <w:t>o</w:t>
      </w:r>
      <w:r w:rsidRPr="00036CE7">
        <w:rPr>
          <w:rFonts w:ascii="Arial" w:hAnsi="Arial" w:cs="Arial"/>
        </w:rPr>
        <w:t>, § 3</w:t>
      </w:r>
      <w:r w:rsidRPr="00C7235D">
        <w:rPr>
          <w:rFonts w:ascii="Arial" w:hAnsi="Arial" w:cs="Arial"/>
          <w:u w:val="words"/>
          <w:vertAlign w:val="superscript"/>
        </w:rPr>
        <w:t>o</w:t>
      </w:r>
      <w:r w:rsidRPr="00036CE7">
        <w:rPr>
          <w:rFonts w:ascii="Arial" w:hAnsi="Arial" w:cs="Arial"/>
        </w:rPr>
        <w:t>, da Portaria MME n</w:t>
      </w:r>
      <w:r w:rsidRPr="00C7235D">
        <w:rPr>
          <w:rFonts w:ascii="Arial" w:hAnsi="Arial" w:cs="Arial"/>
          <w:u w:val="words"/>
          <w:vertAlign w:val="superscript"/>
        </w:rPr>
        <w:t>o</w:t>
      </w:r>
      <w:r w:rsidRPr="00036CE7">
        <w:rPr>
          <w:rFonts w:ascii="Arial" w:hAnsi="Arial" w:cs="Arial"/>
        </w:rPr>
        <w:t xml:space="preserve"> 274, de 19 de agosto de 2013, e o que consta do Processo n</w:t>
      </w:r>
      <w:r w:rsidRPr="00C7235D">
        <w:rPr>
          <w:rFonts w:ascii="Arial" w:hAnsi="Arial" w:cs="Arial"/>
          <w:u w:val="words"/>
          <w:vertAlign w:val="superscript"/>
        </w:rPr>
        <w:t>o</w:t>
      </w:r>
      <w:r w:rsidRPr="00036CE7">
        <w:rPr>
          <w:rFonts w:ascii="Arial" w:hAnsi="Arial" w:cs="Arial"/>
        </w:rPr>
        <w:t xml:space="preserve"> </w:t>
      </w:r>
      <w:r w:rsidRPr="00036CE7">
        <w:rPr>
          <w:rFonts w:ascii="Arial" w:hAnsi="Arial" w:cs="Arial"/>
          <w:bCs/>
          <w:noProof/>
        </w:rPr>
        <w:t>48500.003967/2017-95</w:t>
      </w:r>
      <w:r w:rsidRPr="00036CE7">
        <w:rPr>
          <w:rFonts w:ascii="Arial" w:hAnsi="Arial" w:cs="Arial"/>
        </w:rPr>
        <w:t>, resolve:</w:t>
      </w:r>
    </w:p>
    <w:p w:rsidR="00C7235D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235D" w:rsidRPr="00036CE7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36CE7">
        <w:rPr>
          <w:rFonts w:ascii="Arial" w:hAnsi="Arial" w:cs="Arial"/>
          <w:color w:val="000000"/>
        </w:rPr>
        <w:t>Art. 1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036CE7">
        <w:rPr>
          <w:rFonts w:ascii="Arial" w:hAnsi="Arial" w:cs="Arial"/>
          <w:noProof/>
          <w:color w:val="000000"/>
        </w:rPr>
        <w:t>21</w:t>
      </w:r>
      <w:r w:rsidRPr="00036CE7">
        <w:rPr>
          <w:rFonts w:ascii="Arial" w:hAnsi="Arial" w:cs="Arial"/>
          <w:color w:val="000000"/>
        </w:rPr>
        <w:t xml:space="preserve"> do Leilão n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</w:t>
      </w:r>
      <w:r w:rsidRPr="00036CE7">
        <w:rPr>
          <w:rFonts w:ascii="Arial" w:hAnsi="Arial" w:cs="Arial"/>
          <w:noProof/>
          <w:color w:val="000000"/>
        </w:rPr>
        <w:t>05/2016-ANEEL</w:t>
      </w:r>
      <w:r w:rsidRPr="00036CE7">
        <w:rPr>
          <w:rFonts w:ascii="Arial" w:hAnsi="Arial" w:cs="Arial"/>
          <w:color w:val="000000"/>
        </w:rPr>
        <w:t xml:space="preserve">, de titularidade da empresa </w:t>
      </w:r>
      <w:r w:rsidRPr="00036CE7">
        <w:rPr>
          <w:rFonts w:ascii="Arial" w:hAnsi="Arial" w:cs="Arial"/>
          <w:noProof/>
          <w:color w:val="000000"/>
        </w:rPr>
        <w:t>EDP Transmissão Aliança SC S.A.</w:t>
      </w:r>
      <w:r w:rsidRPr="00036CE7">
        <w:rPr>
          <w:rFonts w:ascii="Arial" w:hAnsi="Arial" w:cs="Arial"/>
          <w:color w:val="000000"/>
        </w:rPr>
        <w:t>, inscrita no CNPJ/MF sob o n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> </w:t>
      </w:r>
      <w:r w:rsidRPr="00036CE7">
        <w:rPr>
          <w:rFonts w:ascii="Arial" w:hAnsi="Arial" w:cs="Arial"/>
          <w:noProof/>
          <w:color w:val="000000"/>
        </w:rPr>
        <w:t>27.831.352/0001-45</w:t>
      </w:r>
      <w:r w:rsidRPr="00036CE7">
        <w:rPr>
          <w:rFonts w:ascii="Arial" w:hAnsi="Arial" w:cs="Arial"/>
          <w:color w:val="000000"/>
        </w:rPr>
        <w:t>, detalhado no Anexo à presente Portaria.</w:t>
      </w:r>
    </w:p>
    <w:p w:rsidR="00C7235D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235D" w:rsidRPr="00036CE7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36CE7">
        <w:rPr>
          <w:rFonts w:ascii="Arial" w:hAnsi="Arial" w:cs="Arial"/>
          <w:color w:val="000000"/>
        </w:rPr>
        <w:t xml:space="preserve">Parágrafo único. O projeto de que trata o </w:t>
      </w:r>
      <w:r w:rsidRPr="00036CE7">
        <w:rPr>
          <w:rFonts w:ascii="Arial" w:hAnsi="Arial" w:cs="Arial"/>
          <w:b/>
          <w:color w:val="000000"/>
        </w:rPr>
        <w:t>caput</w:t>
      </w:r>
      <w:r w:rsidRPr="00036CE7">
        <w:rPr>
          <w:rFonts w:ascii="Arial" w:hAnsi="Arial" w:cs="Arial"/>
          <w:color w:val="000000"/>
        </w:rPr>
        <w:t xml:space="preserve">, objeto do </w:t>
      </w:r>
      <w:r w:rsidRPr="00036CE7">
        <w:rPr>
          <w:rFonts w:ascii="Arial" w:hAnsi="Arial" w:cs="Arial"/>
        </w:rPr>
        <w:t>Contrato de Concessão n</w:t>
      </w:r>
      <w:r w:rsidRPr="00C7235D">
        <w:rPr>
          <w:rFonts w:ascii="Arial" w:hAnsi="Arial" w:cs="Arial"/>
          <w:u w:val="words"/>
          <w:vertAlign w:val="superscript"/>
        </w:rPr>
        <w:t>o</w:t>
      </w:r>
      <w:r w:rsidRPr="00036CE7">
        <w:rPr>
          <w:rFonts w:ascii="Arial" w:hAnsi="Arial" w:cs="Arial"/>
        </w:rPr>
        <w:t xml:space="preserve"> </w:t>
      </w:r>
      <w:r w:rsidRPr="00036CE7">
        <w:rPr>
          <w:rFonts w:ascii="Arial" w:hAnsi="Arial" w:cs="Arial"/>
          <w:noProof/>
        </w:rPr>
        <w:t>39/2017-ANEEL</w:t>
      </w:r>
      <w:r w:rsidRPr="00036CE7">
        <w:rPr>
          <w:rFonts w:ascii="Arial" w:hAnsi="Arial" w:cs="Arial"/>
        </w:rPr>
        <w:t xml:space="preserve">, celebrado em </w:t>
      </w:r>
      <w:r w:rsidRPr="00036CE7">
        <w:rPr>
          <w:rFonts w:ascii="Arial" w:hAnsi="Arial" w:cs="Arial"/>
          <w:noProof/>
        </w:rPr>
        <w:t>11 de agosto de 2017</w:t>
      </w:r>
      <w:r w:rsidRPr="00036CE7">
        <w:rPr>
          <w:rFonts w:ascii="Arial" w:hAnsi="Arial" w:cs="Arial"/>
          <w:color w:val="000000"/>
        </w:rPr>
        <w:t xml:space="preserve">, é alcançado pelo art. </w:t>
      </w:r>
      <w:r w:rsidRPr="00036CE7">
        <w:rPr>
          <w:rFonts w:ascii="Arial" w:hAnsi="Arial" w:cs="Arial"/>
        </w:rPr>
        <w:t>4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>, inciso II, da Portaria MME n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274, de 19 de agosto de 2013.</w:t>
      </w:r>
    </w:p>
    <w:p w:rsidR="00C7235D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235D" w:rsidRPr="00036CE7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36CE7">
        <w:rPr>
          <w:rFonts w:ascii="Arial" w:hAnsi="Arial" w:cs="Arial"/>
          <w:color w:val="000000"/>
        </w:rPr>
        <w:t>Art. 2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As estimativas dos investimentos têm por base o mês de </w:t>
      </w:r>
      <w:r w:rsidRPr="00036CE7">
        <w:rPr>
          <w:rFonts w:ascii="Arial" w:hAnsi="Arial" w:cs="Arial"/>
          <w:noProof/>
          <w:color w:val="000000"/>
        </w:rPr>
        <w:t>julho de 2017</w:t>
      </w:r>
      <w:r w:rsidRPr="00036CE7">
        <w:rPr>
          <w:rFonts w:ascii="Arial" w:hAnsi="Arial" w:cs="Arial"/>
          <w:color w:val="000000"/>
        </w:rPr>
        <w:t xml:space="preserve"> e são de exclusiva responsabilidade da </w:t>
      </w:r>
      <w:r w:rsidRPr="00036CE7">
        <w:rPr>
          <w:rFonts w:ascii="Arial" w:hAnsi="Arial" w:cs="Arial"/>
          <w:noProof/>
          <w:color w:val="000000"/>
        </w:rPr>
        <w:t>EDP Transmissão Aliança SC S.A.</w:t>
      </w:r>
      <w:r w:rsidRPr="00036CE7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7235D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235D" w:rsidRPr="00036CE7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36CE7">
        <w:rPr>
          <w:rFonts w:ascii="Arial" w:hAnsi="Arial" w:cs="Arial"/>
          <w:color w:val="000000"/>
        </w:rPr>
        <w:t>Art. 3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A </w:t>
      </w:r>
      <w:r w:rsidRPr="00036CE7">
        <w:rPr>
          <w:rFonts w:ascii="Arial" w:hAnsi="Arial" w:cs="Arial"/>
          <w:noProof/>
          <w:color w:val="000000"/>
        </w:rPr>
        <w:t>EDP Transmissão Aliança SC S.A.</w:t>
      </w:r>
      <w:r w:rsidRPr="00036CE7">
        <w:rPr>
          <w:rFonts w:ascii="Arial" w:hAnsi="Arial" w:cs="Arial"/>
        </w:rPr>
        <w:t xml:space="preserve"> </w:t>
      </w:r>
      <w:r w:rsidRPr="00036CE7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7235D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235D" w:rsidRPr="00036CE7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36CE7">
        <w:rPr>
          <w:rFonts w:ascii="Arial" w:hAnsi="Arial" w:cs="Arial"/>
          <w:color w:val="000000"/>
        </w:rPr>
        <w:t>Art. 4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Alterações técnicas ou de titularidade do projeto</w:t>
      </w:r>
      <w:r w:rsidRPr="00036CE7">
        <w:rPr>
          <w:rFonts w:ascii="Arial" w:hAnsi="Arial" w:cs="Arial"/>
          <w:color w:val="FF0000"/>
        </w:rPr>
        <w:t xml:space="preserve"> </w:t>
      </w:r>
      <w:r w:rsidRPr="00036CE7">
        <w:rPr>
          <w:rFonts w:ascii="Arial" w:hAnsi="Arial" w:cs="Arial"/>
        </w:rPr>
        <w:t>de que trata esta Portaria</w:t>
      </w:r>
      <w:r w:rsidRPr="00036CE7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C7235D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235D" w:rsidRPr="00036CE7" w:rsidRDefault="00C7235D" w:rsidP="00C7235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36CE7">
        <w:rPr>
          <w:rFonts w:ascii="Arial" w:hAnsi="Arial" w:cs="Arial"/>
          <w:color w:val="000000"/>
        </w:rPr>
        <w:t>Art. 5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7235D" w:rsidRDefault="00C7235D" w:rsidP="00C7235D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C7235D" w:rsidRPr="00036CE7" w:rsidRDefault="00C7235D" w:rsidP="00C7235D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036CE7">
        <w:rPr>
          <w:rFonts w:ascii="Arial" w:hAnsi="Arial" w:cs="Arial"/>
          <w:color w:val="000000"/>
        </w:rPr>
        <w:t>Art. 6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A </w:t>
      </w:r>
      <w:r w:rsidRPr="00036CE7">
        <w:rPr>
          <w:rFonts w:ascii="Arial" w:hAnsi="Arial" w:cs="Arial"/>
          <w:noProof/>
          <w:color w:val="000000"/>
        </w:rPr>
        <w:t xml:space="preserve">EDP Transmissão Aliança SC S.A. </w:t>
      </w:r>
      <w:r w:rsidRPr="00036CE7">
        <w:rPr>
          <w:rFonts w:ascii="Arial" w:hAnsi="Arial" w:cs="Arial"/>
          <w:color w:val="000000"/>
        </w:rPr>
        <w:t>deverá observar, no que couber, as disposições constantes na Lei n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11.488, de 15 de junho de 2007, no Decreto n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6.144, de 3 de julho de 2007, na Portaria MME </w:t>
      </w:r>
      <w:r w:rsidRPr="00036CE7">
        <w:rPr>
          <w:rFonts w:ascii="Arial" w:hAnsi="Arial" w:cs="Arial"/>
        </w:rPr>
        <w:t>n</w:t>
      </w:r>
      <w:r w:rsidRPr="00C7235D">
        <w:rPr>
          <w:rFonts w:ascii="Arial" w:hAnsi="Arial" w:cs="Arial"/>
          <w:u w:val="words"/>
          <w:vertAlign w:val="superscript"/>
        </w:rPr>
        <w:t>o</w:t>
      </w:r>
      <w:r w:rsidRPr="00036CE7">
        <w:rPr>
          <w:rFonts w:ascii="Arial" w:hAnsi="Arial" w:cs="Arial"/>
        </w:rPr>
        <w:t xml:space="preserve"> 274, de 2013</w:t>
      </w:r>
      <w:r w:rsidRPr="00036CE7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036CE7">
        <w:rPr>
          <w:rFonts w:ascii="Arial" w:hAnsi="Arial" w:cs="Arial"/>
          <w:color w:val="000000"/>
        </w:rPr>
        <w:t>arts</w:t>
      </w:r>
      <w:proofErr w:type="spellEnd"/>
      <w:r w:rsidRPr="00036CE7">
        <w:rPr>
          <w:rFonts w:ascii="Arial" w:hAnsi="Arial" w:cs="Arial"/>
          <w:color w:val="000000"/>
        </w:rPr>
        <w:t>. 9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e 14, do Decreto n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C7235D" w:rsidRDefault="00C7235D" w:rsidP="00C7235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235D" w:rsidRPr="00036CE7" w:rsidRDefault="00C7235D" w:rsidP="00C7235D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36CE7">
        <w:rPr>
          <w:rFonts w:ascii="Arial" w:hAnsi="Arial" w:cs="Arial"/>
          <w:color w:val="000000"/>
        </w:rPr>
        <w:t>Art. 7</w:t>
      </w:r>
      <w:r w:rsidRPr="00C7235D">
        <w:rPr>
          <w:rFonts w:ascii="Arial" w:hAnsi="Arial" w:cs="Arial"/>
          <w:color w:val="000000"/>
          <w:u w:val="words"/>
          <w:vertAlign w:val="superscript"/>
        </w:rPr>
        <w:t>o</w:t>
      </w:r>
      <w:r w:rsidRPr="00036CE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124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C7235D">
        <w:rPr>
          <w:rFonts w:ascii="Arial" w:hAnsi="Arial" w:cs="Arial"/>
          <w:color w:val="FF0000"/>
        </w:rPr>
        <w:t>30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692"/>
        <w:gridCol w:w="1484"/>
        <w:gridCol w:w="4041"/>
      </w:tblGrid>
      <w:tr w:rsidR="00C7235D" w:rsidRPr="00036CE7" w:rsidTr="00C7235D">
        <w:trPr>
          <w:trHeight w:val="36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36CE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768" w:type="dxa"/>
            <w:gridSpan w:val="4"/>
            <w:vAlign w:val="center"/>
          </w:tcPr>
          <w:p w:rsidR="00C7235D" w:rsidRPr="00036CE7" w:rsidRDefault="00C7235D" w:rsidP="003C2A80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036CE7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C7235D" w:rsidRPr="00036CE7" w:rsidTr="00C7235D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36CE7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C7235D" w:rsidRPr="00036CE7" w:rsidTr="00C7235D">
        <w:trPr>
          <w:trHeight w:val="223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01 - Nome Empresarial</w:t>
            </w:r>
          </w:p>
        </w:tc>
      </w:tr>
      <w:tr w:rsidR="00C7235D" w:rsidRPr="00036CE7" w:rsidTr="00C7235D">
        <w:trPr>
          <w:trHeight w:val="227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  <w:noProof/>
                <w:szCs w:val="22"/>
              </w:rPr>
              <w:t>EDP Transmissão Aliança SC S.A.</w:t>
            </w:r>
          </w:p>
        </w:tc>
      </w:tr>
      <w:tr w:rsidR="00C7235D" w:rsidRPr="00036CE7" w:rsidTr="00C7235D">
        <w:trPr>
          <w:jc w:val="center"/>
        </w:trPr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 xml:space="preserve">02 - CNPJ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03 - Telefone</w:t>
            </w:r>
          </w:p>
        </w:tc>
      </w:tr>
      <w:tr w:rsidR="00C7235D" w:rsidRPr="00036CE7" w:rsidTr="00C7235D">
        <w:trPr>
          <w:jc w:val="center"/>
        </w:trPr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  <w:color w:val="000000"/>
              </w:rPr>
              <w:fldChar w:fldCharType="begin"/>
            </w:r>
            <w:r w:rsidRPr="00036CE7">
              <w:rPr>
                <w:rFonts w:ascii="Arial" w:hAnsi="Arial" w:cs="Arial"/>
                <w:color w:val="000000"/>
              </w:rPr>
              <w:instrText xml:space="preserve"> MERGEFIELD CNPJ </w:instrText>
            </w:r>
            <w:r w:rsidRPr="00036CE7">
              <w:rPr>
                <w:rFonts w:ascii="Arial" w:hAnsi="Arial" w:cs="Arial"/>
                <w:color w:val="000000"/>
              </w:rPr>
              <w:fldChar w:fldCharType="separate"/>
            </w:r>
            <w:r w:rsidRPr="00036CE7">
              <w:rPr>
                <w:rFonts w:ascii="Arial" w:hAnsi="Arial" w:cs="Arial"/>
                <w:noProof/>
                <w:color w:val="000000"/>
              </w:rPr>
              <w:t>27.831.352/0001-45</w:t>
            </w:r>
            <w:r w:rsidRPr="00036CE7">
              <w:rPr>
                <w:rFonts w:ascii="Arial" w:hAnsi="Arial" w:cs="Arial"/>
                <w:color w:val="000000"/>
              </w:rPr>
              <w:fldChar w:fldCharType="end"/>
            </w:r>
            <w:r w:rsidRPr="00036CE7">
              <w:rPr>
                <w:rFonts w:ascii="Arial" w:hAnsi="Arial" w:cs="Arial"/>
                <w:noProof/>
                <w:color w:val="00000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(11) 2185-5045.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768" w:type="dxa"/>
            <w:gridSpan w:val="4"/>
          </w:tcPr>
          <w:p w:rsidR="00C7235D" w:rsidRPr="00036CE7" w:rsidRDefault="00C7235D" w:rsidP="003C2A80">
            <w:pPr>
              <w:jc w:val="both"/>
              <w:rPr>
                <w:rFonts w:ascii="Arial" w:hAnsi="Arial" w:cs="Arial"/>
                <w:bCs/>
              </w:rPr>
            </w:pPr>
            <w:r w:rsidRPr="00036CE7">
              <w:rPr>
                <w:rFonts w:ascii="Arial" w:hAnsi="Arial" w:cs="Arial"/>
              </w:rPr>
              <w:t xml:space="preserve">04 - </w:t>
            </w:r>
            <w:r w:rsidRPr="00036CE7">
              <w:rPr>
                <w:rFonts w:ascii="Arial" w:hAnsi="Arial" w:cs="Arial"/>
                <w:bCs/>
              </w:rPr>
              <w:t>DADOS DO PROJETO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  <w:r w:rsidRPr="00036CE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:rsidR="00C7235D" w:rsidRPr="00036CE7" w:rsidRDefault="00C7235D" w:rsidP="003C2A80">
            <w:pPr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  <w:szCs w:val="22"/>
              </w:rPr>
              <w:t xml:space="preserve">Lote </w:t>
            </w:r>
            <w:r w:rsidRPr="00036CE7">
              <w:rPr>
                <w:rFonts w:ascii="Arial" w:hAnsi="Arial" w:cs="Arial"/>
                <w:noProof/>
                <w:szCs w:val="22"/>
              </w:rPr>
              <w:t>21</w:t>
            </w:r>
            <w:r w:rsidRPr="00036CE7">
              <w:rPr>
                <w:rFonts w:ascii="Arial" w:hAnsi="Arial" w:cs="Arial"/>
                <w:szCs w:val="22"/>
              </w:rPr>
              <w:t xml:space="preserve"> do Leilão n</w:t>
            </w:r>
            <w:r w:rsidRPr="00C7235D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036CE7">
              <w:rPr>
                <w:rFonts w:ascii="Arial" w:hAnsi="Arial" w:cs="Arial"/>
                <w:szCs w:val="22"/>
              </w:rPr>
              <w:t xml:space="preserve"> </w:t>
            </w:r>
            <w:r w:rsidRPr="00036CE7">
              <w:rPr>
                <w:rFonts w:ascii="Arial" w:hAnsi="Arial" w:cs="Arial"/>
                <w:noProof/>
                <w:szCs w:val="22"/>
              </w:rPr>
              <w:t>05/2016-ANEEL</w:t>
            </w:r>
            <w:r w:rsidRPr="00036CE7">
              <w:rPr>
                <w:rFonts w:ascii="Arial" w:hAnsi="Arial" w:cs="Arial"/>
                <w:szCs w:val="22"/>
              </w:rPr>
              <w:t xml:space="preserve"> (</w:t>
            </w:r>
            <w:r w:rsidRPr="00036CE7">
              <w:rPr>
                <w:rFonts w:ascii="Arial" w:hAnsi="Arial" w:cs="Arial"/>
              </w:rPr>
              <w:t>Contrato de Concessão n</w:t>
            </w:r>
            <w:r w:rsidRPr="00C7235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36CE7">
              <w:rPr>
                <w:rFonts w:ascii="Arial" w:hAnsi="Arial" w:cs="Arial"/>
              </w:rPr>
              <w:t xml:space="preserve"> </w:t>
            </w:r>
            <w:r w:rsidRPr="00036CE7">
              <w:rPr>
                <w:rFonts w:ascii="Arial" w:hAnsi="Arial" w:cs="Arial"/>
                <w:noProof/>
              </w:rPr>
              <w:t>39/2017-ANEEL</w:t>
            </w:r>
            <w:r w:rsidRPr="00036CE7">
              <w:rPr>
                <w:rFonts w:ascii="Arial" w:hAnsi="Arial" w:cs="Arial"/>
              </w:rPr>
              <w:t xml:space="preserve">, celebrado em </w:t>
            </w:r>
            <w:r w:rsidRPr="00036CE7">
              <w:rPr>
                <w:rFonts w:ascii="Arial" w:hAnsi="Arial" w:cs="Arial"/>
                <w:noProof/>
              </w:rPr>
              <w:t>11 de agosto de 2017).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51" w:type="dxa"/>
            <w:vMerge w:val="restart"/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  <w:r w:rsidRPr="00036CE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17" w:type="dxa"/>
            <w:gridSpan w:val="3"/>
          </w:tcPr>
          <w:p w:rsidR="00C7235D" w:rsidRPr="00036CE7" w:rsidRDefault="00C7235D" w:rsidP="003C2A80">
            <w:pPr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036CE7">
              <w:rPr>
                <w:rFonts w:ascii="Arial" w:hAnsi="Arial" w:cs="Arial"/>
                <w:noProof/>
              </w:rPr>
              <w:t>21</w:t>
            </w:r>
            <w:r w:rsidRPr="00036CE7">
              <w:rPr>
                <w:rFonts w:ascii="Arial" w:hAnsi="Arial" w:cs="Arial"/>
              </w:rPr>
              <w:t xml:space="preserve"> do Leilão n</w:t>
            </w:r>
            <w:r w:rsidRPr="00C7235D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036CE7">
              <w:rPr>
                <w:rFonts w:ascii="Arial" w:hAnsi="Arial" w:cs="Arial"/>
              </w:rPr>
              <w:t xml:space="preserve"> </w:t>
            </w:r>
            <w:r w:rsidRPr="00036CE7">
              <w:rPr>
                <w:rFonts w:ascii="Arial" w:hAnsi="Arial" w:cs="Arial"/>
                <w:noProof/>
              </w:rPr>
              <w:t>05/2016-ANEEL</w:t>
            </w:r>
            <w:r w:rsidRPr="00036CE7">
              <w:rPr>
                <w:rFonts w:ascii="Arial" w:hAnsi="Arial" w:cs="Arial"/>
              </w:rPr>
              <w:t>, compreendendo: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235D" w:rsidRPr="00036CE7" w:rsidRDefault="00C7235D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 xml:space="preserve">I - Primeiro Circuito da Linha de Transmissão em 525 kV entre as Subestações Biguaçu e Siderópolis 2, em Circuito Simples, com extensão aproximada de cento e quarenta e nove quilômetros; 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235D" w:rsidRPr="00036CE7" w:rsidRDefault="00C7235D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 xml:space="preserve">II - Primeiro e Segundo Circuitos da Linha de Transmissão em 525 kV entre as Subestações </w:t>
            </w:r>
            <w:proofErr w:type="spellStart"/>
            <w:r w:rsidRPr="00036CE7">
              <w:rPr>
                <w:rFonts w:ascii="Arial" w:hAnsi="Arial" w:cs="Arial"/>
              </w:rPr>
              <w:t>Abdon</w:t>
            </w:r>
            <w:proofErr w:type="spellEnd"/>
            <w:r w:rsidRPr="00036CE7">
              <w:rPr>
                <w:rFonts w:ascii="Arial" w:hAnsi="Arial" w:cs="Arial"/>
              </w:rPr>
              <w:t xml:space="preserve"> Batista e Siderópolis 2, em Circuito Duplo, com extensão aproximada de duzentos e sessenta e um quilômetros; 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235D" w:rsidRPr="00036CE7" w:rsidRDefault="00C7235D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 xml:space="preserve">III - Segundo Circuito da Linha de Transmissão em 525 kV entre as Subestações Campos Novos e </w:t>
            </w:r>
            <w:proofErr w:type="spellStart"/>
            <w:r w:rsidRPr="00036CE7">
              <w:rPr>
                <w:rFonts w:ascii="Arial" w:hAnsi="Arial" w:cs="Arial"/>
              </w:rPr>
              <w:t>Abdon</w:t>
            </w:r>
            <w:proofErr w:type="spellEnd"/>
            <w:r w:rsidRPr="00036CE7">
              <w:rPr>
                <w:rFonts w:ascii="Arial" w:hAnsi="Arial" w:cs="Arial"/>
              </w:rPr>
              <w:t xml:space="preserve"> Batista, em Circuito Simples, com extensão aproximada de trinta e nove quilômetros; 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235D" w:rsidRPr="00036CE7" w:rsidRDefault="00C7235D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 xml:space="preserve">IV - Primeiro e Segundo Circuitos da Linha de Transmissão em 230 kV entre as Subestações Siderópolis 2 e Siderópolis, em Circuito Duplo, com extensão aproximada de sete quilômetros e quinhentos metros; 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235D" w:rsidRPr="00036CE7" w:rsidRDefault="00C7235D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 xml:space="preserve">V - Primeiro Circuito da Linha de Transmissão em 230 kV entre as Subestações Siderópolis 2 e Forquilhinha, em Circuito Simples, com extensão aproximada de vinte e oito quilômetros; 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235D" w:rsidRPr="00036CE7" w:rsidRDefault="00C7235D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VI - Subestação 525/230 kV Siderópolis 2, com dois Bancos de Transformação de 672 MVA, formado por sete Unidades Monofásicas de 224 MVA, sendo uma Unidade de Reserva; e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235D" w:rsidRPr="00036CE7" w:rsidRDefault="00C7235D" w:rsidP="003C2A8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VII - Conexões de Unidades de Transformação, Entradas de Linha, Interligações de Barramentos, Conexões de Unidades de Reatores de Barra e de Linha,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:rsidR="00C7235D" w:rsidRPr="00036CE7" w:rsidRDefault="00C7235D" w:rsidP="003C2A80">
            <w:pPr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  <w:szCs w:val="22"/>
              </w:rPr>
              <w:t>De 11/8/2017 a 11/8/2022.</w:t>
            </w:r>
          </w:p>
        </w:tc>
      </w:tr>
      <w:tr w:rsidR="00C7235D" w:rsidRPr="00036CE7" w:rsidTr="00C7235D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17" w:type="dxa"/>
            <w:gridSpan w:val="3"/>
          </w:tcPr>
          <w:p w:rsidR="00C7235D" w:rsidRPr="00036CE7" w:rsidRDefault="00C7235D" w:rsidP="003C2A80">
            <w:pPr>
              <w:jc w:val="both"/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  <w:szCs w:val="22"/>
              </w:rPr>
              <w:t xml:space="preserve">Municípios de Bom Jesus e São José dos Ausentes, Estado do Rio Grande do Sul; Campos Novos, </w:t>
            </w:r>
            <w:proofErr w:type="spellStart"/>
            <w:r w:rsidRPr="00036CE7">
              <w:rPr>
                <w:rFonts w:ascii="Arial" w:hAnsi="Arial" w:cs="Arial"/>
                <w:szCs w:val="22"/>
              </w:rPr>
              <w:t>Abdon</w:t>
            </w:r>
            <w:proofErr w:type="spellEnd"/>
            <w:r w:rsidRPr="00036CE7">
              <w:rPr>
                <w:rFonts w:ascii="Arial" w:hAnsi="Arial" w:cs="Arial"/>
                <w:szCs w:val="22"/>
              </w:rPr>
              <w:t xml:space="preserve"> Batista, Anita Garibaldi, Campo Belo do Sul, Capão Alto, Cerro Negro, Lages, São Joaquim, Meleiro, Morro Grande, Turvo, </w:t>
            </w:r>
            <w:proofErr w:type="spellStart"/>
            <w:r w:rsidRPr="00036CE7">
              <w:rPr>
                <w:rFonts w:ascii="Arial" w:hAnsi="Arial" w:cs="Arial"/>
                <w:szCs w:val="22"/>
              </w:rPr>
              <w:t>Timbé</w:t>
            </w:r>
            <w:proofErr w:type="spellEnd"/>
            <w:r w:rsidRPr="00036CE7">
              <w:rPr>
                <w:rFonts w:ascii="Arial" w:hAnsi="Arial" w:cs="Arial"/>
                <w:szCs w:val="22"/>
              </w:rPr>
              <w:t xml:space="preserve"> do Sul, Forquilhinha, Nova Veneza, Siderópolis, </w:t>
            </w:r>
            <w:proofErr w:type="spellStart"/>
            <w:r w:rsidRPr="00036CE7">
              <w:rPr>
                <w:rFonts w:ascii="Arial" w:hAnsi="Arial" w:cs="Arial"/>
                <w:szCs w:val="22"/>
              </w:rPr>
              <w:t>Treviso</w:t>
            </w:r>
            <w:proofErr w:type="spellEnd"/>
            <w:r w:rsidRPr="00036CE7">
              <w:rPr>
                <w:rFonts w:ascii="Arial" w:hAnsi="Arial" w:cs="Arial"/>
                <w:szCs w:val="22"/>
              </w:rPr>
              <w:t>, Cocal do Sul, Antônio Carlos, Biguaçu, São Pedro de Alcântara, Águas Mornas, São Bonifácio, Braço do Norte, Grão Pará, Orleans, Rio Fortuna, São Ludgero, São Martinho e Urussanga, Estado de Santa Catarina.</w:t>
            </w:r>
          </w:p>
        </w:tc>
      </w:tr>
      <w:tr w:rsidR="00C7235D" w:rsidRPr="00036CE7" w:rsidTr="00C7235D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  <w:bCs/>
              </w:rPr>
            </w:pPr>
            <w:r w:rsidRPr="00036CE7">
              <w:rPr>
                <w:rFonts w:ascii="Arial" w:hAnsi="Arial" w:cs="Arial"/>
              </w:rPr>
              <w:t xml:space="preserve">05 - </w:t>
            </w:r>
            <w:r w:rsidRPr="00036CE7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C7235D" w:rsidRPr="00036CE7" w:rsidTr="00C7235D">
        <w:trPr>
          <w:trHeight w:hRule="exact" w:val="284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Nome: Luiz Otavio Assis Henriques.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CPF: 024.750.768-79.</w:t>
            </w:r>
          </w:p>
        </w:tc>
      </w:tr>
      <w:tr w:rsidR="00C7235D" w:rsidRPr="00036CE7" w:rsidTr="00C7235D">
        <w:trPr>
          <w:trHeight w:hRule="exact" w:val="284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Nome: André Luiz de Castro Pereira.</w:t>
            </w:r>
          </w:p>
        </w:tc>
        <w:tc>
          <w:tcPr>
            <w:tcW w:w="5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CPF: 157.453.778-44.</w:t>
            </w:r>
          </w:p>
        </w:tc>
      </w:tr>
      <w:tr w:rsidR="00C7235D" w:rsidRPr="00036CE7" w:rsidTr="00C7235D">
        <w:trPr>
          <w:trHeight w:hRule="exact" w:val="284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Nome: Leonardo Nery dos Santos.</w:t>
            </w:r>
          </w:p>
        </w:tc>
        <w:tc>
          <w:tcPr>
            <w:tcW w:w="5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 xml:space="preserve">CPF: 297.911.868-04. </w:t>
            </w:r>
          </w:p>
        </w:tc>
      </w:tr>
      <w:tr w:rsidR="00C7235D" w:rsidRPr="00036CE7" w:rsidTr="00C7235D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  <w:bCs/>
              </w:rPr>
            </w:pPr>
            <w:r w:rsidRPr="00036CE7">
              <w:rPr>
                <w:rFonts w:ascii="Arial" w:hAnsi="Arial" w:cs="Arial"/>
              </w:rPr>
              <w:lastRenderedPageBreak/>
              <w:t xml:space="preserve">06 - </w:t>
            </w:r>
            <w:r w:rsidRPr="00036CE7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C7235D" w:rsidRPr="00036CE7" w:rsidTr="00C7235D">
        <w:trPr>
          <w:trHeight w:val="143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Bens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474.658.167,00.</w:t>
            </w:r>
          </w:p>
        </w:tc>
      </w:tr>
      <w:tr w:rsidR="00C7235D" w:rsidRPr="00036CE7" w:rsidTr="00C7235D">
        <w:trPr>
          <w:trHeight w:val="147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Serviços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568.798.367,00.</w:t>
            </w:r>
          </w:p>
        </w:tc>
      </w:tr>
      <w:tr w:rsidR="00C7235D" w:rsidRPr="00036CE7" w:rsidTr="00C7235D">
        <w:trPr>
          <w:trHeight w:val="15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Outros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281.188.315,00.</w:t>
            </w:r>
          </w:p>
        </w:tc>
      </w:tr>
      <w:tr w:rsidR="00C7235D" w:rsidRPr="00036CE7" w:rsidTr="00C7235D">
        <w:trPr>
          <w:trHeight w:val="141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  <w:r w:rsidRPr="00036CE7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036CE7">
              <w:rPr>
                <w:rFonts w:ascii="Arial" w:hAnsi="Arial" w:cs="Arial"/>
                <w:b/>
                <w:szCs w:val="22"/>
              </w:rPr>
              <w:t>1.324.644.849,00.</w:t>
            </w:r>
          </w:p>
        </w:tc>
      </w:tr>
      <w:tr w:rsidR="00C7235D" w:rsidRPr="00036CE7" w:rsidTr="00C7235D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5D" w:rsidRPr="00036CE7" w:rsidRDefault="00C7235D" w:rsidP="003C2A80">
            <w:pPr>
              <w:rPr>
                <w:rFonts w:ascii="Arial" w:hAnsi="Arial" w:cs="Arial"/>
                <w:bCs/>
              </w:rPr>
            </w:pPr>
            <w:r w:rsidRPr="00036CE7">
              <w:rPr>
                <w:rFonts w:ascii="Arial" w:hAnsi="Arial" w:cs="Arial"/>
              </w:rPr>
              <w:t xml:space="preserve">07 - </w:t>
            </w:r>
            <w:r w:rsidRPr="00036CE7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C7235D" w:rsidRPr="00036CE7" w:rsidTr="00C7235D">
        <w:trPr>
          <w:trHeight w:val="99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Bens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436.068.458,00.</w:t>
            </w:r>
          </w:p>
        </w:tc>
      </w:tr>
      <w:tr w:rsidR="00C7235D" w:rsidRPr="00036CE7" w:rsidTr="00C7235D">
        <w:trPr>
          <w:trHeight w:val="232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Serviços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548.037.227,00.</w:t>
            </w:r>
          </w:p>
        </w:tc>
      </w:tr>
      <w:tr w:rsidR="00C7235D" w:rsidRPr="00036CE7" w:rsidTr="00C7235D">
        <w:trPr>
          <w:trHeight w:val="93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</w:rPr>
            </w:pPr>
            <w:r w:rsidRPr="00036CE7">
              <w:rPr>
                <w:rFonts w:ascii="Arial" w:hAnsi="Arial" w:cs="Arial"/>
              </w:rPr>
              <w:t>Outros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jc w:val="right"/>
              <w:rPr>
                <w:rFonts w:ascii="Arial" w:hAnsi="Arial" w:cs="Arial"/>
                <w:szCs w:val="22"/>
              </w:rPr>
            </w:pPr>
            <w:r w:rsidRPr="00036CE7">
              <w:rPr>
                <w:rFonts w:ascii="Arial" w:hAnsi="Arial" w:cs="Arial"/>
                <w:szCs w:val="22"/>
              </w:rPr>
              <w:t>281.188.315,00.</w:t>
            </w:r>
          </w:p>
        </w:tc>
      </w:tr>
      <w:tr w:rsidR="00C7235D" w:rsidRPr="00036CE7" w:rsidTr="00C7235D">
        <w:trPr>
          <w:trHeight w:val="84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rPr>
                <w:rFonts w:ascii="Arial" w:hAnsi="Arial" w:cs="Arial"/>
                <w:b/>
              </w:rPr>
            </w:pPr>
            <w:r w:rsidRPr="00036CE7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5D" w:rsidRPr="00036CE7" w:rsidRDefault="00C7235D" w:rsidP="003C2A8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036CE7">
              <w:rPr>
                <w:rFonts w:ascii="Arial" w:hAnsi="Arial" w:cs="Arial"/>
                <w:b/>
                <w:szCs w:val="22"/>
              </w:rPr>
              <w:t>1.265.294.000,00.</w:t>
            </w:r>
          </w:p>
        </w:tc>
      </w:tr>
    </w:tbl>
    <w:p w:rsidR="00BB206C" w:rsidRPr="00251A4E" w:rsidRDefault="00BB206C" w:rsidP="00C7235D">
      <w:pPr>
        <w:jc w:val="center"/>
        <w:rPr>
          <w:rFonts w:ascii="Arial" w:hAnsi="Arial" w:cs="Arial"/>
          <w:sz w:val="16"/>
          <w:szCs w:val="16"/>
        </w:rPr>
      </w:pPr>
    </w:p>
    <w:sectPr w:rsidR="00BB206C" w:rsidRPr="00251A4E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12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C7235D">
      <w:rPr>
        <w:rFonts w:ascii="Arial" w:hAnsi="Arial" w:cs="Arial"/>
      </w:rPr>
      <w:t>13</w:t>
    </w:r>
    <w:r w:rsidRPr="00804BC7">
      <w:rPr>
        <w:rFonts w:ascii="Arial" w:hAnsi="Arial" w:cs="Arial"/>
      </w:rPr>
      <w:t xml:space="preserve">, de </w:t>
    </w:r>
    <w:r w:rsidR="00C7235D">
      <w:rPr>
        <w:rFonts w:ascii="Arial" w:hAnsi="Arial" w:cs="Arial"/>
      </w:rPr>
      <w:t>26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F1244B">
      <w:rPr>
        <w:rFonts w:ascii="Arial" w:hAnsi="Arial" w:cs="Arial"/>
      </w:rPr>
      <w:t>outubro</w:t>
    </w:r>
    <w:r w:rsidR="00984C50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C7235D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8353"/>
    <o:shapelayout v:ext="edit">
      <o:idmap v:ext="edit" data="1"/>
    </o:shapelayout>
  </w:shapeDefaults>
  <w:decimalSymbol w:val=","/>
  <w:listSeparator w:val=";"/>
  <w14:docId w14:val="5BEA6AA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071C-F491-4CA4-83C7-9716CC4D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2017-10-30T09:55:00Z</dcterms:created>
  <dcterms:modified xsi:type="dcterms:W3CDTF">2017-10-30T09:55:00Z</dcterms:modified>
</cp:coreProperties>
</file>