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D37">
        <w:rPr>
          <w:rFonts w:ascii="Arial" w:hAnsi="Arial" w:cs="Arial"/>
          <w:b/>
          <w:bCs/>
          <w:color w:val="000080"/>
        </w:rPr>
        <w:t>5</w:t>
      </w:r>
      <w:r w:rsidR="00984C50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F219B">
        <w:rPr>
          <w:rFonts w:ascii="Arial" w:hAnsi="Arial" w:cs="Arial"/>
          <w:b/>
          <w:bCs/>
          <w:color w:val="000080"/>
        </w:rPr>
        <w:t>1</w:t>
      </w:r>
      <w:r w:rsidR="00984C50" w:rsidRPr="00984C50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84C50">
        <w:rPr>
          <w:rFonts w:ascii="Arial" w:hAnsi="Arial" w:cs="Arial"/>
          <w:b/>
          <w:bCs/>
          <w:color w:val="000080"/>
        </w:rPr>
        <w:t xml:space="preserve">SETEMBRO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r w:rsidRPr="00984C50">
        <w:rPr>
          <w:rFonts w:ascii="Arial" w:hAnsi="Arial" w:cs="Arial"/>
          <w:b/>
        </w:rPr>
        <w:t>O SECRETÁRIO DE PLANEJAMENTO E DESENVOLVIMENTO ENERGÉTICO DO MINISTÉRIO DE MINAS E ENERGIA</w:t>
      </w:r>
      <w:r w:rsidRPr="004B6261">
        <w:rPr>
          <w:rFonts w:ascii="Arial" w:hAnsi="Arial" w:cs="Arial"/>
        </w:rPr>
        <w:t>, no uso da competência que lhe foi delegada pelo art. 1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>, inciso I, da Portaria MME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281, de 29 de junho de 2016, tendo em vista o disposto no art. 6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do Decreto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6.144, de 3 de julho de 2007, no art. 2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>, § 3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>, da Portaria MME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274, de 19 de agosto de 2013, e o que consta do Processo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48500.003013/2017-82, resolve:</w:t>
      </w:r>
    </w:p>
    <w:p w:rsidR="00984C50" w:rsidRDefault="00984C50" w:rsidP="00984C50">
      <w:pPr>
        <w:ind w:firstLine="1134"/>
        <w:jc w:val="both"/>
        <w:rPr>
          <w:rFonts w:ascii="Arial" w:hAnsi="Arial" w:cs="Arial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4B6261">
        <w:rPr>
          <w:rFonts w:ascii="Arial" w:hAnsi="Arial" w:cs="Arial"/>
        </w:rPr>
        <w:t>Art. 1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5.824, de 10 de maio de 2016, de titularidade da empresa Companhia </w:t>
      </w:r>
      <w:proofErr w:type="gramStart"/>
      <w:r w:rsidRPr="004B6261">
        <w:rPr>
          <w:rFonts w:ascii="Arial" w:hAnsi="Arial" w:cs="Arial"/>
        </w:rPr>
        <w:t>Hidro Elétrica</w:t>
      </w:r>
      <w:proofErr w:type="gramEnd"/>
      <w:r w:rsidRPr="004B6261">
        <w:rPr>
          <w:rFonts w:ascii="Arial" w:hAnsi="Arial" w:cs="Arial"/>
        </w:rPr>
        <w:t xml:space="preserve"> do São Francisco - CHESF, inscrita no CNPJ/MF sob o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> 33.541.368/0001-16, detalhado no Anexo à presente Portaria</w:t>
      </w:r>
    </w:p>
    <w:p w:rsidR="00984C50" w:rsidRDefault="00984C50" w:rsidP="00984C50">
      <w:pPr>
        <w:ind w:firstLine="1134"/>
        <w:jc w:val="both"/>
        <w:rPr>
          <w:rFonts w:ascii="Arial" w:hAnsi="Arial" w:cs="Arial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r w:rsidRPr="004B6261">
        <w:rPr>
          <w:rFonts w:ascii="Arial" w:hAnsi="Arial" w:cs="Arial"/>
        </w:rPr>
        <w:t xml:space="preserve">Parágrafo único. O projeto de que trata o </w:t>
      </w:r>
      <w:r w:rsidRPr="004B6261">
        <w:rPr>
          <w:rFonts w:ascii="Arial" w:hAnsi="Arial" w:cs="Arial"/>
          <w:b/>
          <w:bCs/>
        </w:rPr>
        <w:t>caput</w:t>
      </w:r>
      <w:r w:rsidRPr="004B6261">
        <w:rPr>
          <w:rFonts w:ascii="Arial" w:hAnsi="Arial" w:cs="Arial"/>
        </w:rPr>
        <w:t xml:space="preserve"> é alcançado pelo art. 4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>, inciso III, da Portaria MME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274, de 19 de agosto de 2013.</w:t>
      </w:r>
    </w:p>
    <w:p w:rsidR="00984C50" w:rsidRDefault="00984C50" w:rsidP="00984C50">
      <w:pPr>
        <w:ind w:firstLine="1134"/>
        <w:jc w:val="both"/>
        <w:rPr>
          <w:rFonts w:ascii="Arial" w:hAnsi="Arial" w:cs="Arial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r w:rsidRPr="004B6261">
        <w:rPr>
          <w:rFonts w:ascii="Arial" w:hAnsi="Arial" w:cs="Arial"/>
        </w:rPr>
        <w:t>Art. 2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As estimativas dos investimentos têm por base o mês de maio de 2017 e são de exclusiva responsabilidade da Companhia </w:t>
      </w:r>
      <w:proofErr w:type="gramStart"/>
      <w:r w:rsidRPr="004B6261">
        <w:rPr>
          <w:rFonts w:ascii="Arial" w:hAnsi="Arial" w:cs="Arial"/>
        </w:rPr>
        <w:t>Hidro Elétrica</w:t>
      </w:r>
      <w:proofErr w:type="gramEnd"/>
      <w:r w:rsidRPr="004B6261">
        <w:rPr>
          <w:rFonts w:ascii="Arial" w:hAnsi="Arial" w:cs="Arial"/>
        </w:rPr>
        <w:t xml:space="preserve"> do São Francisco - CHESF, cuja razoabilidade foi atestada pela Agência Nacional de Energia Elétrica - ANEEL.</w:t>
      </w:r>
    </w:p>
    <w:p w:rsidR="00984C50" w:rsidRDefault="00984C50" w:rsidP="00984C50">
      <w:pPr>
        <w:ind w:firstLine="1134"/>
        <w:jc w:val="both"/>
        <w:rPr>
          <w:rFonts w:ascii="Arial" w:hAnsi="Arial" w:cs="Arial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r w:rsidRPr="004B6261">
        <w:rPr>
          <w:rFonts w:ascii="Arial" w:hAnsi="Arial" w:cs="Arial"/>
        </w:rPr>
        <w:t>Art. 3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A Companhia </w:t>
      </w:r>
      <w:proofErr w:type="gramStart"/>
      <w:r w:rsidRPr="004B6261">
        <w:rPr>
          <w:rFonts w:ascii="Arial" w:hAnsi="Arial" w:cs="Arial"/>
        </w:rPr>
        <w:t>Hidro Elétrica</w:t>
      </w:r>
      <w:proofErr w:type="gramEnd"/>
      <w:r w:rsidRPr="004B6261">
        <w:rPr>
          <w:rFonts w:ascii="Arial" w:hAnsi="Arial" w:cs="Arial"/>
        </w:rPr>
        <w:t xml:space="preserve"> do São Francisco - CHESF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84C50" w:rsidRDefault="00984C50" w:rsidP="00984C50">
      <w:pPr>
        <w:ind w:firstLine="1134"/>
        <w:jc w:val="both"/>
        <w:rPr>
          <w:rFonts w:ascii="Arial" w:hAnsi="Arial" w:cs="Arial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r w:rsidRPr="004B6261">
        <w:rPr>
          <w:rFonts w:ascii="Arial" w:hAnsi="Arial" w:cs="Arial"/>
        </w:rPr>
        <w:t>Art. 4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984C50" w:rsidRDefault="00984C50" w:rsidP="00984C50">
      <w:pPr>
        <w:ind w:firstLine="1134"/>
        <w:jc w:val="both"/>
        <w:rPr>
          <w:rFonts w:ascii="Arial" w:hAnsi="Arial" w:cs="Arial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r w:rsidRPr="004B6261">
        <w:rPr>
          <w:rFonts w:ascii="Arial" w:hAnsi="Arial" w:cs="Arial"/>
        </w:rPr>
        <w:t>Art. 5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84C50" w:rsidRDefault="00984C50" w:rsidP="00984C50">
      <w:pPr>
        <w:ind w:firstLine="1134"/>
        <w:jc w:val="both"/>
        <w:rPr>
          <w:rFonts w:ascii="Arial" w:hAnsi="Arial" w:cs="Arial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r w:rsidRPr="004B6261">
        <w:rPr>
          <w:rFonts w:ascii="Arial" w:hAnsi="Arial" w:cs="Arial"/>
        </w:rPr>
        <w:t>Art. 6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A Companhia </w:t>
      </w:r>
      <w:proofErr w:type="gramStart"/>
      <w:r w:rsidRPr="004B6261">
        <w:rPr>
          <w:rFonts w:ascii="Arial" w:hAnsi="Arial" w:cs="Arial"/>
        </w:rPr>
        <w:t>Hidro Elétrica</w:t>
      </w:r>
      <w:proofErr w:type="gramEnd"/>
      <w:r w:rsidRPr="004B6261">
        <w:rPr>
          <w:rFonts w:ascii="Arial" w:hAnsi="Arial" w:cs="Arial"/>
        </w:rPr>
        <w:t xml:space="preserve"> do São Francisco - CHESF deverá observar, no que couber, as disposições constantes na Lei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11.488, de 15 de junho de 2007, no Decreto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6.144, de 3 de julho de 2007, na Portaria MME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4B6261">
        <w:rPr>
          <w:rFonts w:ascii="Arial" w:hAnsi="Arial" w:cs="Arial"/>
        </w:rPr>
        <w:t>arts</w:t>
      </w:r>
      <w:proofErr w:type="spellEnd"/>
      <w:r w:rsidRPr="004B6261">
        <w:rPr>
          <w:rFonts w:ascii="Arial" w:hAnsi="Arial" w:cs="Arial"/>
        </w:rPr>
        <w:t>. 9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e 14, do Decreto n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6.144, de 2007, sujeitas à fiscalização da Secretaria da Receita Federal do Brasil.</w:t>
      </w:r>
    </w:p>
    <w:p w:rsidR="00984C50" w:rsidRDefault="00984C50" w:rsidP="00984C50">
      <w:pPr>
        <w:ind w:firstLine="1134"/>
        <w:jc w:val="both"/>
        <w:rPr>
          <w:rFonts w:ascii="Arial" w:hAnsi="Arial" w:cs="Arial"/>
        </w:rPr>
      </w:pPr>
    </w:p>
    <w:p w:rsidR="00984C50" w:rsidRPr="004B6261" w:rsidRDefault="00984C50" w:rsidP="00984C50">
      <w:pPr>
        <w:ind w:firstLine="1134"/>
        <w:jc w:val="both"/>
        <w:rPr>
          <w:rFonts w:ascii="Arial" w:hAnsi="Arial" w:cs="Arial"/>
        </w:rPr>
      </w:pPr>
      <w:r w:rsidRPr="004B6261">
        <w:rPr>
          <w:rFonts w:ascii="Arial" w:hAnsi="Arial" w:cs="Arial"/>
        </w:rPr>
        <w:t>Art. 7</w:t>
      </w:r>
      <w:r w:rsidRPr="00984C50">
        <w:rPr>
          <w:rFonts w:ascii="Arial" w:hAnsi="Arial" w:cs="Arial"/>
          <w:u w:val="words"/>
          <w:vertAlign w:val="superscript"/>
        </w:rPr>
        <w:t>o</w:t>
      </w:r>
      <w:r w:rsidRPr="004B6261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984C50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F219B" w:rsidRDefault="000F219B" w:rsidP="000F21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9"/>
        <w:gridCol w:w="2268"/>
        <w:gridCol w:w="156"/>
        <w:gridCol w:w="2679"/>
        <w:gridCol w:w="3119"/>
      </w:tblGrid>
      <w:tr w:rsidR="00984C50" w:rsidRPr="004B6261" w:rsidTr="00984C50">
        <w:trPr>
          <w:trHeight w:val="396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PESSOA JURÍDICA TITULAR DO PROJETO</w:t>
            </w:r>
          </w:p>
        </w:tc>
      </w:tr>
      <w:tr w:rsidR="00984C50" w:rsidRPr="004B6261" w:rsidTr="00984C50">
        <w:trPr>
          <w:trHeight w:val="247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02 - CNPJ</w:t>
            </w:r>
          </w:p>
        </w:tc>
      </w:tr>
      <w:tr w:rsidR="00984C50" w:rsidRPr="004B6261" w:rsidTr="00984C50">
        <w:trPr>
          <w:trHeight w:val="247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Companhia Hidro Elétrica do São Francisco - CHESF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33.541.368/0001-16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03 - Logradouro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04 - Número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7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Rua Delmiro Gouveia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333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05 - Complemento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07 - CEP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San Martin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50761-901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08 - Município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09 - UF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10 - Telefone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4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Recife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Pernambuco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081 3229-2330</w:t>
            </w:r>
          </w:p>
        </w:tc>
      </w:tr>
      <w:tr w:rsidR="00984C50" w:rsidRPr="004B6261" w:rsidTr="00984C50">
        <w:trPr>
          <w:trHeight w:val="158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11 - DADOS DO PROJETO</w:t>
            </w:r>
          </w:p>
        </w:tc>
      </w:tr>
      <w:tr w:rsidR="00984C50" w:rsidRPr="004B6261" w:rsidTr="00984C50">
        <w:trPr>
          <w:trHeight w:val="165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Nome do Projeto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Reforços em Instalações de Transmissão de Energia Elétrica</w:t>
            </w:r>
            <w:r>
              <w:rPr>
                <w:rFonts w:ascii="Arial" w:hAnsi="Arial" w:cs="Arial"/>
              </w:rPr>
              <w:t xml:space="preserve"> </w:t>
            </w:r>
            <w:r w:rsidRPr="004B6261">
              <w:rPr>
                <w:rFonts w:ascii="Arial" w:hAnsi="Arial" w:cs="Arial"/>
              </w:rPr>
              <w:t>(Resolução Autorizativa ANEEL n° 5.824, de 10 de maio de 2016).          </w:t>
            </w:r>
          </w:p>
        </w:tc>
      </w:tr>
      <w:tr w:rsidR="00984C50" w:rsidRPr="004B6261" w:rsidTr="00984C50">
        <w:trPr>
          <w:trHeight w:val="446"/>
          <w:tblCellSpacing w:w="0" w:type="dxa"/>
          <w:jc w:val="center"/>
        </w:trPr>
        <w:tc>
          <w:tcPr>
            <w:tcW w:w="2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Reforços em Instalação de Transmissão de Energia Elétrica, relativos à</w:t>
            </w:r>
          </w:p>
        </w:tc>
      </w:tr>
      <w:tr w:rsidR="00984C50" w:rsidRPr="004B6261" w:rsidTr="00984C50">
        <w:trPr>
          <w:trHeight w:val="446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I - Linha de Transmissão 230 kV Paulo Afonso III - Angelim Cl:</w:t>
            </w:r>
            <w:r w:rsidRPr="004B6261">
              <w:rPr>
                <w:rFonts w:ascii="Arial" w:hAnsi="Arial" w:cs="Arial"/>
                <w:b/>
                <w:bCs/>
              </w:rPr>
              <w:t xml:space="preserve"> </w:t>
            </w:r>
            <w:r w:rsidRPr="004B6261">
              <w:rPr>
                <w:rFonts w:ascii="Arial" w:hAnsi="Arial" w:cs="Arial"/>
              </w:rPr>
              <w:t>aumento do limite de curta duração de 516 A para 621 A, pela eliminação de fator limitante ativo (restauração da altura mínima de segurança);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II - Linha de Transmissão 230 kV Garanhuns II - Angelim C l e C2: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a) aumento do limite de curta duração de 437 A para 621 A, pela eliminação de fator limitante ativo (restauração da altura mínima de segurança) C1;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b) aumento do limite de curta duração de 437 A para 621 A, pela eliminação de fator limitante ativo (restauração da altura mínima de segurança) C2.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III - Subestação Barreiras I: complemento do Módulo de Manobra associado ao Banco de Reatores de linha da Linha de Transmissão 230 kV Bom Jesus da Lapa I - Barreiras I Cl, remanejado para o barramento dessa subestação;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IV - Subestação Barreiras II: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a) remanejamento de um Banco de Reatores de linha da Linha de Transmissão 230 kV Bom Jesus da Lapa I -  Barreiras I Cl, instalado na extremidade da Subestação Barreiras I, para outra extremidade após secionamento nessa subestação;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b) complemento do Módulo de Manobra associado ao Banco de Reatores de Linha remanejado da Subestação Barreiras I para essa subestação;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c) remanejamento de fase reserva do Banco de Reatores de Linha da Linha de Transmissão 230 kV Bom Jesus da Lapa I - Barreiras I Cl, instalado na extremidade da SE Barreiras I, para outra extremidade após secionamento nessa subestação;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d) substituição do disjuntor do Módulo de Interligação de barras em 230 kV, associado ao Banco de Reatores de Linha da Linha de Transmissão 230 kV Bom Jesus da Lapa I – Barreiras I remanejado  para a Barra na subestação Barreiras I.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 xml:space="preserve">e) instalação de Módulo de Infraestrutura Geral para </w:t>
            </w:r>
            <w:proofErr w:type="spellStart"/>
            <w:r w:rsidRPr="004B6261">
              <w:rPr>
                <w:rFonts w:ascii="Arial" w:hAnsi="Arial" w:cs="Arial"/>
              </w:rPr>
              <w:t>acessante</w:t>
            </w:r>
            <w:proofErr w:type="spellEnd"/>
            <w:r w:rsidRPr="004B6261">
              <w:rPr>
                <w:rFonts w:ascii="Arial" w:hAnsi="Arial" w:cs="Arial"/>
              </w:rPr>
              <w:t xml:space="preserve"> em 230 kV, associado ao remanejamento de um Banco de Reatores de linha em 230 kV;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254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rPr>
                <w:rFonts w:ascii="Arial" w:hAnsi="Arial" w:cs="Arial"/>
              </w:rPr>
            </w:pP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f) instalação do Módulo de Infraestrutura de Manobra associado ao Banco de Reatores de Linha remanejado da subestação Barreiras I para essa subestação.</w:t>
            </w:r>
          </w:p>
        </w:tc>
      </w:tr>
      <w:tr w:rsidR="00984C50" w:rsidRPr="004B6261" w:rsidTr="00984C50">
        <w:trPr>
          <w:trHeight w:val="165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De   16/5/2016      a      16/11/2018.</w:t>
            </w:r>
          </w:p>
        </w:tc>
      </w:tr>
      <w:tr w:rsidR="00984C50" w:rsidRPr="004B6261" w:rsidTr="00984C50">
        <w:trPr>
          <w:trHeight w:val="297"/>
          <w:tblCellSpacing w:w="0" w:type="dxa"/>
          <w:jc w:val="center"/>
        </w:trPr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 xml:space="preserve">Municípios de Delmiro Gouveia, </w:t>
            </w:r>
            <w:proofErr w:type="spellStart"/>
            <w:r w:rsidRPr="004B6261">
              <w:rPr>
                <w:rFonts w:ascii="Arial" w:hAnsi="Arial" w:cs="Arial"/>
              </w:rPr>
              <w:t>Pariconha</w:t>
            </w:r>
            <w:proofErr w:type="spellEnd"/>
            <w:r w:rsidRPr="004B6261">
              <w:rPr>
                <w:rFonts w:ascii="Arial" w:hAnsi="Arial" w:cs="Arial"/>
              </w:rPr>
              <w:t xml:space="preserve">, Água Branca, Inhapi, Canapi e Maravilha, Estado de Alagoas; Itaíba, Águas Belas, </w:t>
            </w:r>
            <w:proofErr w:type="spellStart"/>
            <w:r w:rsidRPr="004B6261">
              <w:rPr>
                <w:rFonts w:ascii="Arial" w:hAnsi="Arial" w:cs="Arial"/>
              </w:rPr>
              <w:t>Iati</w:t>
            </w:r>
            <w:proofErr w:type="spellEnd"/>
            <w:r w:rsidRPr="004B6261">
              <w:rPr>
                <w:rFonts w:ascii="Arial" w:hAnsi="Arial" w:cs="Arial"/>
              </w:rPr>
              <w:t xml:space="preserve">, </w:t>
            </w:r>
            <w:proofErr w:type="spellStart"/>
            <w:r w:rsidRPr="004B6261">
              <w:rPr>
                <w:rFonts w:ascii="Arial" w:hAnsi="Arial" w:cs="Arial"/>
              </w:rPr>
              <w:t>Saloá</w:t>
            </w:r>
            <w:proofErr w:type="spellEnd"/>
            <w:r w:rsidRPr="004B6261">
              <w:rPr>
                <w:rFonts w:ascii="Arial" w:hAnsi="Arial" w:cs="Arial"/>
              </w:rPr>
              <w:t>, Bom Conselho, Terezinha, Garanhuns, Brejão, São João e Angelim, Estado de Pernambuco; e Barreiras, Estado da Bahia.</w:t>
            </w:r>
          </w:p>
        </w:tc>
      </w:tr>
      <w:tr w:rsidR="00984C50" w:rsidRPr="004B6261" w:rsidTr="00984C50">
        <w:trPr>
          <w:trHeight w:val="612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49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 xml:space="preserve">Nome: Sinval </w:t>
            </w:r>
            <w:proofErr w:type="spellStart"/>
            <w:r w:rsidRPr="004B6261">
              <w:rPr>
                <w:rFonts w:ascii="Arial" w:hAnsi="Arial" w:cs="Arial"/>
              </w:rPr>
              <w:t>Zaidan</w:t>
            </w:r>
            <w:proofErr w:type="spellEnd"/>
            <w:r w:rsidRPr="004B6261">
              <w:rPr>
                <w:rFonts w:ascii="Arial" w:hAnsi="Arial" w:cs="Arial"/>
              </w:rPr>
              <w:t xml:space="preserve"> Gama</w:t>
            </w:r>
          </w:p>
        </w:tc>
        <w:tc>
          <w:tcPr>
            <w:tcW w:w="5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CPF: 034.022.663-34.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49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Nome: Roberto Sampaio Pires Ferreira.</w:t>
            </w:r>
          </w:p>
        </w:tc>
        <w:tc>
          <w:tcPr>
            <w:tcW w:w="5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CPF: 172.565.854-20.</w:t>
            </w:r>
          </w:p>
        </w:tc>
      </w:tr>
      <w:tr w:rsidR="00984C50" w:rsidRPr="004B6261" w:rsidTr="00984C50">
        <w:trPr>
          <w:trHeight w:val="313"/>
          <w:tblCellSpacing w:w="0" w:type="dxa"/>
          <w:jc w:val="center"/>
        </w:trPr>
        <w:tc>
          <w:tcPr>
            <w:tcW w:w="49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Nome: Fernando Antônio Cavalcanti Teixeira</w:t>
            </w:r>
          </w:p>
        </w:tc>
        <w:tc>
          <w:tcPr>
            <w:tcW w:w="5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CPF: 515.436.304-30.</w:t>
            </w:r>
          </w:p>
        </w:tc>
      </w:tr>
      <w:tr w:rsidR="00984C50" w:rsidRPr="004B6261" w:rsidTr="00984C50">
        <w:trPr>
          <w:trHeight w:val="612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984C50" w:rsidRPr="004B6261" w:rsidTr="00984C50">
        <w:trPr>
          <w:trHeight w:val="16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14.377.832,36.</w:t>
            </w:r>
          </w:p>
        </w:tc>
      </w:tr>
      <w:tr w:rsidR="00984C50" w:rsidRPr="004B6261" w:rsidTr="00984C50">
        <w:trPr>
          <w:trHeight w:val="16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4.547.483,79.</w:t>
            </w:r>
          </w:p>
        </w:tc>
      </w:tr>
      <w:tr w:rsidR="00984C50" w:rsidRPr="004B6261" w:rsidTr="00984C50">
        <w:trPr>
          <w:trHeight w:val="16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0,00.</w:t>
            </w:r>
          </w:p>
        </w:tc>
      </w:tr>
      <w:tr w:rsidR="00984C50" w:rsidRPr="004B6261" w:rsidTr="00984C50">
        <w:trPr>
          <w:trHeight w:val="148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18.925.316,15.</w:t>
            </w:r>
          </w:p>
        </w:tc>
      </w:tr>
      <w:tr w:rsidR="00984C50" w:rsidRPr="004B6261" w:rsidTr="00984C50">
        <w:trPr>
          <w:trHeight w:val="612"/>
          <w:tblCellSpacing w:w="0" w:type="dxa"/>
          <w:jc w:val="center"/>
        </w:trPr>
        <w:tc>
          <w:tcPr>
            <w:tcW w:w="10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984C50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984C50" w:rsidRPr="004B6261" w:rsidTr="00984C50">
        <w:trPr>
          <w:trHeight w:val="11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13.047.882,86.</w:t>
            </w:r>
          </w:p>
        </w:tc>
      </w:tr>
      <w:tr w:rsidR="00984C50" w:rsidRPr="004B6261" w:rsidTr="00984C50">
        <w:trPr>
          <w:trHeight w:val="247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4.349.294,29.</w:t>
            </w:r>
          </w:p>
        </w:tc>
      </w:tr>
      <w:tr w:rsidR="00984C50" w:rsidRPr="004B6261" w:rsidTr="00984C50">
        <w:trPr>
          <w:trHeight w:val="99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0,00.</w:t>
            </w:r>
          </w:p>
        </w:tc>
      </w:tr>
      <w:tr w:rsidR="00984C50" w:rsidRPr="004B6261" w:rsidTr="00984C50">
        <w:trPr>
          <w:trHeight w:val="99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9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50" w:rsidRPr="004B6261" w:rsidRDefault="00984C50" w:rsidP="000D5F70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4B6261">
              <w:rPr>
                <w:rFonts w:ascii="Arial" w:hAnsi="Arial" w:cs="Arial"/>
              </w:rPr>
              <w:t>17.397.177,15.</w:t>
            </w:r>
          </w:p>
        </w:tc>
      </w:tr>
    </w:tbl>
    <w:p w:rsidR="00AC475F" w:rsidRPr="003E05A7" w:rsidRDefault="00AC475F" w:rsidP="00984C5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sectPr w:rsidR="00AC475F" w:rsidRPr="003E05A7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0E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D37">
      <w:rPr>
        <w:rFonts w:ascii="Arial" w:hAnsi="Arial" w:cs="Arial"/>
      </w:rPr>
      <w:t>5</w:t>
    </w:r>
    <w:r w:rsidR="00984C50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B812AC">
      <w:rPr>
        <w:rFonts w:ascii="Arial" w:hAnsi="Arial" w:cs="Arial"/>
      </w:rPr>
      <w:t>1</w:t>
    </w:r>
    <w:r w:rsidR="00984C50">
      <w:rPr>
        <w:rFonts w:ascii="Arial" w:hAnsi="Arial" w:cs="Arial"/>
        <w:u w:val="single"/>
        <w:vertAlign w:val="superscript"/>
      </w:rPr>
      <w:t>o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84C50">
      <w:rPr>
        <w:rFonts w:ascii="Arial" w:hAnsi="Arial" w:cs="Arial"/>
      </w:rPr>
      <w:t xml:space="preserve">setembro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84C50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4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729"/>
    <o:shapelayout v:ext="edit">
      <o:idmap v:ext="edit" data="1"/>
    </o:shapelayout>
  </w:shapeDefaults>
  <w:decimalSymbol w:val=","/>
  <w:listSeparator w:val=";"/>
  <w14:docId w14:val="00C1937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A5F4-9DF4-47F4-80F8-642CDE7D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2017-09-05T12:20:00Z</dcterms:created>
  <dcterms:modified xsi:type="dcterms:W3CDTF">2017-09-05T12:20:00Z</dcterms:modified>
</cp:coreProperties>
</file>