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E144DB">
        <w:rPr>
          <w:rFonts w:ascii="Arial" w:hAnsi="Arial" w:cs="Arial"/>
          <w:b/>
          <w:bCs/>
          <w:color w:val="000080"/>
        </w:rPr>
        <w:t>41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E144DB">
        <w:rPr>
          <w:rFonts w:ascii="Arial" w:hAnsi="Arial" w:cs="Arial"/>
          <w:b/>
          <w:bCs/>
          <w:color w:val="000080"/>
        </w:rPr>
        <w:t>16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144DB" w:rsidRPr="00EA59B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  <w:b/>
          <w:bCs/>
        </w:rPr>
        <w:t>O SECRETÁRIO DE PLANEJAMENTO E DESENVOLVIMENTO ENERGÉTICO</w:t>
      </w:r>
      <w:r w:rsidRPr="00EA59B6">
        <w:rPr>
          <w:rFonts w:ascii="Arial" w:hAnsi="Arial" w:cs="Arial"/>
        </w:rPr>
        <w:t xml:space="preserve"> </w:t>
      </w:r>
      <w:r w:rsidRPr="00E144DB">
        <w:rPr>
          <w:rFonts w:ascii="Arial" w:hAnsi="Arial" w:cs="Arial"/>
          <w:b/>
        </w:rPr>
        <w:t>DO MINISTÉRIO DE MINAS E ENERGIA</w:t>
      </w:r>
      <w:r w:rsidRPr="00EA59B6">
        <w:rPr>
          <w:rFonts w:ascii="Arial" w:hAnsi="Arial" w:cs="Arial"/>
        </w:rPr>
        <w:t>, no uso da competência que lhe foi delegada pelo art. 1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>, inciso I, da Portaria MME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281, de 29 de junho de 2016, tendo em vista o disposto no art. 6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do Decreto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6.144, de 3 de julho de 2007, no art. 2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>, § 3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>, da Portaria MME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274, de 19 de agosto de 2013, e o que consta do Processo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48500.004600/2016-16, resolve:</w:t>
      </w:r>
    </w:p>
    <w:p w:rsidR="00E144DB" w:rsidRDefault="00E144DB" w:rsidP="00E144DB">
      <w:pPr>
        <w:ind w:firstLine="1134"/>
        <w:jc w:val="both"/>
        <w:rPr>
          <w:rFonts w:ascii="Arial" w:hAnsi="Arial" w:cs="Arial"/>
        </w:rPr>
      </w:pPr>
    </w:p>
    <w:p w:rsidR="00E144DB" w:rsidRPr="00EA59B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</w:rPr>
        <w:t>Art. 1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5.861, de 31 de maio de 2016 (Parcial), de titularidade da empresa Furnas Centrais Elétricas S.A., inscrita no CNPJ/MF sob o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23.274.194/0001-19, detalhado no Anexo à presente Portaria.</w:t>
      </w:r>
    </w:p>
    <w:p w:rsidR="00E144DB" w:rsidRDefault="00E144DB" w:rsidP="00E144DB">
      <w:pPr>
        <w:ind w:firstLine="1134"/>
        <w:jc w:val="both"/>
        <w:rPr>
          <w:rFonts w:ascii="Arial" w:hAnsi="Arial" w:cs="Arial"/>
        </w:rPr>
      </w:pPr>
    </w:p>
    <w:p w:rsidR="00E144DB" w:rsidRPr="00EA59B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</w:rPr>
        <w:t>Parágrafo único. O projeto de que trata o caput é alcançado pelo art. 4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>, inciso III, da Portaria MME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274, de 19 de agosto de 2013.</w:t>
      </w:r>
    </w:p>
    <w:p w:rsidR="00E144DB" w:rsidRDefault="00E144DB" w:rsidP="00E144DB">
      <w:pPr>
        <w:ind w:firstLine="1134"/>
        <w:jc w:val="both"/>
        <w:rPr>
          <w:rFonts w:ascii="Arial" w:hAnsi="Arial" w:cs="Arial"/>
        </w:rPr>
      </w:pPr>
    </w:p>
    <w:p w:rsidR="00E144DB" w:rsidRPr="00EA59B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</w:rPr>
        <w:t>Art. 2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As estimativas dos investimentos têm por base o mês de agosto de 2016 e são de exclusiva responsabilidade da Furnas Centrais Elétricas S.A., cuja razoabilidade foi atestada </w:t>
      </w:r>
      <w:proofErr w:type="gramStart"/>
      <w:r w:rsidRPr="00EA59B6">
        <w:rPr>
          <w:rFonts w:ascii="Arial" w:hAnsi="Arial" w:cs="Arial"/>
        </w:rPr>
        <w:t>pela</w:t>
      </w:r>
      <w:proofErr w:type="gramEnd"/>
      <w:r w:rsidRPr="00EA59B6">
        <w:rPr>
          <w:rFonts w:ascii="Arial" w:hAnsi="Arial" w:cs="Arial"/>
        </w:rPr>
        <w:t xml:space="preserve"> Agência Nacional de Energia Elétrica - ANEEL.</w:t>
      </w:r>
    </w:p>
    <w:p w:rsidR="00E144DB" w:rsidRDefault="00E144DB" w:rsidP="00E144DB">
      <w:pPr>
        <w:ind w:firstLine="1134"/>
        <w:jc w:val="both"/>
        <w:rPr>
          <w:rFonts w:ascii="Arial" w:hAnsi="Arial" w:cs="Arial"/>
        </w:rPr>
      </w:pPr>
    </w:p>
    <w:p w:rsidR="00E144DB" w:rsidRPr="00EA59B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</w:rPr>
        <w:t>Art. 3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A Furnas Centrais Elétricas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E144DB" w:rsidRDefault="00E144DB" w:rsidP="00E144DB">
      <w:pPr>
        <w:ind w:firstLine="1134"/>
        <w:jc w:val="both"/>
        <w:rPr>
          <w:rFonts w:ascii="Arial" w:hAnsi="Arial" w:cs="Arial"/>
        </w:rPr>
      </w:pPr>
    </w:p>
    <w:p w:rsidR="00E144DB" w:rsidRPr="00EA59B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</w:rPr>
        <w:t>Art. 4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E144DB" w:rsidRDefault="00E144DB" w:rsidP="00E144DB">
      <w:pPr>
        <w:ind w:firstLine="1134"/>
        <w:jc w:val="both"/>
        <w:rPr>
          <w:rFonts w:ascii="Arial" w:hAnsi="Arial" w:cs="Arial"/>
        </w:rPr>
      </w:pPr>
    </w:p>
    <w:p w:rsidR="00E144DB" w:rsidRPr="00EA59B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</w:rPr>
        <w:t>Art. 5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144DB" w:rsidRDefault="00E144DB" w:rsidP="00E144DB">
      <w:pPr>
        <w:ind w:firstLine="1134"/>
        <w:jc w:val="both"/>
        <w:rPr>
          <w:rFonts w:ascii="Arial" w:hAnsi="Arial" w:cs="Arial"/>
        </w:rPr>
      </w:pPr>
    </w:p>
    <w:p w:rsidR="00E144DB" w:rsidRPr="00EA59B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</w:rPr>
        <w:t>Art. 6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A Furnas Centrais Elétricas S.A. deverá observar, no que couber, as disposições constantes na Lei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11.488, de 15 de junho de 2007, no Decreto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6.144, de 3 de julho de 2007, na Portaria MME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EA59B6">
        <w:rPr>
          <w:rFonts w:ascii="Arial" w:hAnsi="Arial" w:cs="Arial"/>
        </w:rPr>
        <w:t>arts</w:t>
      </w:r>
      <w:proofErr w:type="spellEnd"/>
      <w:r w:rsidRPr="00EA59B6">
        <w:rPr>
          <w:rFonts w:ascii="Arial" w:hAnsi="Arial" w:cs="Arial"/>
        </w:rPr>
        <w:t>. 9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e 14, do Decreto n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6.144, de 2007, sujeitas à fiscalização da Secretaria da Receita Federal do Brasil.</w:t>
      </w:r>
    </w:p>
    <w:p w:rsidR="00E144DB" w:rsidRDefault="00E144DB" w:rsidP="00E144DB">
      <w:pPr>
        <w:ind w:firstLine="1134"/>
        <w:jc w:val="both"/>
        <w:rPr>
          <w:rFonts w:ascii="Arial" w:hAnsi="Arial" w:cs="Arial"/>
        </w:rPr>
      </w:pPr>
    </w:p>
    <w:p w:rsidR="00DD6211" w:rsidRPr="00636A06" w:rsidRDefault="00E144DB" w:rsidP="00E144DB">
      <w:pPr>
        <w:ind w:firstLine="1134"/>
        <w:jc w:val="both"/>
        <w:rPr>
          <w:rFonts w:ascii="Arial" w:hAnsi="Arial" w:cs="Arial"/>
        </w:rPr>
      </w:pPr>
      <w:r w:rsidRPr="00EA59B6">
        <w:rPr>
          <w:rFonts w:ascii="Arial" w:hAnsi="Arial" w:cs="Arial"/>
        </w:rPr>
        <w:t>Art. 7</w:t>
      </w:r>
      <w:r w:rsidRPr="00E144DB">
        <w:rPr>
          <w:rFonts w:ascii="Arial" w:hAnsi="Arial" w:cs="Arial"/>
          <w:u w:val="words"/>
          <w:vertAlign w:val="superscript"/>
        </w:rPr>
        <w:t>o</w:t>
      </w:r>
      <w:r w:rsidRPr="00EA59B6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E144DB">
        <w:rPr>
          <w:rFonts w:ascii="Arial" w:hAnsi="Arial" w:cs="Arial"/>
          <w:color w:val="FF0000"/>
        </w:rPr>
        <w:t>21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236"/>
        <w:gridCol w:w="2449"/>
        <w:gridCol w:w="976"/>
        <w:gridCol w:w="1484"/>
        <w:gridCol w:w="3352"/>
      </w:tblGrid>
      <w:tr w:rsidR="00E144DB" w:rsidRPr="003239EB" w:rsidTr="009F528D">
        <w:trPr>
          <w:trHeight w:val="360"/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PESSOA JURÍDICA TITULAR DO PROJETO</w:t>
            </w:r>
          </w:p>
        </w:tc>
      </w:tr>
      <w:tr w:rsidR="00E144DB" w:rsidRPr="003239EB" w:rsidTr="009F528D">
        <w:trPr>
          <w:trHeight w:val="225"/>
          <w:tblCellSpacing w:w="0" w:type="dxa"/>
          <w:jc w:val="center"/>
        </w:trPr>
        <w:tc>
          <w:tcPr>
            <w:tcW w:w="76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01 - Nome Empresarial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02 - CNPJ</w:t>
            </w:r>
          </w:p>
        </w:tc>
      </w:tr>
      <w:tr w:rsidR="00E144DB" w:rsidRPr="003239EB" w:rsidTr="009F528D">
        <w:trPr>
          <w:trHeight w:val="225"/>
          <w:tblCellSpacing w:w="0" w:type="dxa"/>
          <w:jc w:val="center"/>
        </w:trPr>
        <w:tc>
          <w:tcPr>
            <w:tcW w:w="76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Furnas Centrais Elétricas S.A.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23.274.194/0001-19.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76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03 - Logradouro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04 - Número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76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Rua Real Grandeza.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219.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05 - Complemento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06 - Bairro/Distrito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07 - CEP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Botafogo.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22281-900.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08 - Município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09 - UF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10 - Telefone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5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Rio de Janeiro.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RJ.</w:t>
            </w:r>
          </w:p>
        </w:tc>
        <w:tc>
          <w:tcPr>
            <w:tcW w:w="3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(21) 2528-4522/2528-3939.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11 - DADOS DO PROJETO</w:t>
            </w:r>
          </w:p>
        </w:tc>
      </w:tr>
      <w:tr w:rsidR="00E144DB" w:rsidRPr="003239EB" w:rsidTr="009F528D">
        <w:trPr>
          <w:trHeight w:val="150"/>
          <w:tblCellSpacing w:w="0" w:type="dxa"/>
          <w:jc w:val="center"/>
        </w:trPr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Nome do Projeto</w:t>
            </w: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BF7E86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5.861, de 31 de maio de 2016 </w:t>
            </w:r>
            <w:r w:rsidR="00BF7E86">
              <w:rPr>
                <w:rFonts w:ascii="Arial" w:hAnsi="Arial" w:cs="Arial"/>
              </w:rPr>
              <w:t>-</w:t>
            </w:r>
            <w:bookmarkStart w:id="0" w:name="_GoBack"/>
            <w:bookmarkEnd w:id="0"/>
            <w:r w:rsidRPr="003239EB">
              <w:rPr>
                <w:rFonts w:ascii="Arial" w:hAnsi="Arial" w:cs="Arial"/>
              </w:rPr>
              <w:t xml:space="preserve"> Parcial).</w:t>
            </w:r>
          </w:p>
        </w:tc>
      </w:tr>
      <w:tr w:rsidR="00E144DB" w:rsidRPr="003239EB" w:rsidTr="009F528D">
        <w:trPr>
          <w:trHeight w:val="330"/>
          <w:tblCellSpacing w:w="0" w:type="dxa"/>
          <w:jc w:val="center"/>
        </w:trPr>
        <w:tc>
          <w:tcPr>
            <w:tcW w:w="27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Descrição do Projeto</w:t>
            </w:r>
          </w:p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</w:t>
            </w: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BF7E86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E144DB" w:rsidRPr="003239EB" w:rsidTr="009F528D">
        <w:trPr>
          <w:trHeight w:val="240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Foz do Iguaçu:</w:t>
            </w:r>
          </w:p>
        </w:tc>
      </w:tr>
      <w:tr w:rsidR="00E144DB" w:rsidRPr="003239EB" w:rsidTr="009F528D">
        <w:trPr>
          <w:trHeight w:val="240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Foz do Iguaçu - Ivaiporã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000970/2014);</w:t>
            </w:r>
          </w:p>
        </w:tc>
      </w:tr>
      <w:tr w:rsidR="00E144DB" w:rsidRPr="003239EB" w:rsidTr="009F528D">
        <w:trPr>
          <w:trHeight w:val="240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Foz do Iguaçu - Ivaiporã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000971/2014);</w:t>
            </w:r>
          </w:p>
        </w:tc>
      </w:tr>
      <w:tr w:rsidR="00E144DB" w:rsidRPr="003239EB" w:rsidTr="009F528D">
        <w:trPr>
          <w:trHeight w:val="420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Foz do Iguaçu - Ivaiporã C3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000972/2014).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II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Ivaiporã: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Foz do Iguaçu - Ivaiporã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000982/2014);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6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Foz do Iguaçu - Ivaiporã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000983/2014);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7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Foz do Iguaçu - Ivaiporã C3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000984/2014);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8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Ivaiporã - Itaberá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000985/2014);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9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revitalização da LT 765 kV Ivaiporã - Itaberá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000986/2014);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0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revitalização da LT 765 kV Ivaiporã - Itaberá C3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000987/2014);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1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substituição da </w:t>
            </w:r>
            <w:proofErr w:type="spellStart"/>
            <w:r w:rsidRPr="003239EB">
              <w:rPr>
                <w:rFonts w:ascii="Arial" w:hAnsi="Arial" w:cs="Arial"/>
              </w:rPr>
              <w:t>teleproteção</w:t>
            </w:r>
            <w:proofErr w:type="spellEnd"/>
            <w:r w:rsidRPr="003239EB">
              <w:rPr>
                <w:rFonts w:ascii="Arial" w:hAnsi="Arial" w:cs="Arial"/>
              </w:rPr>
              <w:t xml:space="preserve"> da LT Ivaiporã - Itaberá Circuito 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000996/2014).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III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Itaberá: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2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Ivaiporã - Itaberá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000976/2014);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3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Ivaiporã - Itaberá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000977/2014);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4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Ivaiporã - Itaberá C3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000978/2014);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5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Itaberá - Tijuco Preto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000979/2014);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6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revitalização da LT 765 kV Itaberá - Tijuco Preto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000980/2014);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7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revitalização da LT 765 kV Itaberá - Tijuco Preto C3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000981/2014);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8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substituição da </w:t>
            </w:r>
            <w:proofErr w:type="spellStart"/>
            <w:r w:rsidRPr="003239EB">
              <w:rPr>
                <w:rFonts w:ascii="Arial" w:hAnsi="Arial" w:cs="Arial"/>
              </w:rPr>
              <w:t>teleproteção</w:t>
            </w:r>
            <w:proofErr w:type="spellEnd"/>
            <w:r w:rsidRPr="003239EB">
              <w:rPr>
                <w:rFonts w:ascii="Arial" w:hAnsi="Arial" w:cs="Arial"/>
              </w:rPr>
              <w:t xml:space="preserve"> da LT Itaberá - Tijuco Preto Circuito 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000994/2014);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19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 substituição da </w:t>
            </w:r>
            <w:proofErr w:type="spellStart"/>
            <w:r w:rsidRPr="003239EB">
              <w:rPr>
                <w:rFonts w:ascii="Arial" w:hAnsi="Arial" w:cs="Arial"/>
              </w:rPr>
              <w:t>teleproteção</w:t>
            </w:r>
            <w:proofErr w:type="spellEnd"/>
            <w:r w:rsidRPr="003239EB">
              <w:rPr>
                <w:rFonts w:ascii="Arial" w:hAnsi="Arial" w:cs="Arial"/>
              </w:rPr>
              <w:t xml:space="preserve"> da LT Ivaiporã - Itaberá Circuito 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000997/2014).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IV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Tijuco Preto: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0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Itaberá - Tijuco Preto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000988/2014);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1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Itaberá - Tijuco Preto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000989/2014);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2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765 kV Itaberá - Tijuco Preto C3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000990/2014);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3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substituição da </w:t>
            </w:r>
            <w:proofErr w:type="spellStart"/>
            <w:r w:rsidRPr="003239EB">
              <w:rPr>
                <w:rFonts w:ascii="Arial" w:hAnsi="Arial" w:cs="Arial"/>
              </w:rPr>
              <w:t>teleproteção</w:t>
            </w:r>
            <w:proofErr w:type="spellEnd"/>
            <w:r w:rsidRPr="003239EB">
              <w:rPr>
                <w:rFonts w:ascii="Arial" w:hAnsi="Arial" w:cs="Arial"/>
              </w:rPr>
              <w:t xml:space="preserve"> da LT Itaberá - Tijuco Preto Circuito 3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000995/2014).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V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Ibiúna: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4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Ibiúna - Bateias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000973/2014);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5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Ibiúna - Bateias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000974/2014);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6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Ibiúna - Itatiba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000975/2014);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7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instalação de CLP para fazer parte do SEP do Sistema de 750 kV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001019/2014).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VI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Serra da Mesa: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8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Serra da Mesa - Samambaia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000991/2014);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29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Serra da Mesa - Samambaia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000992/2014);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0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Serra da Mesa - Gurupi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000993/2014).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VII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Angra: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1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Angra - Cachoeira Paulista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000834/2014);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2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Angra - São José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000836/2014);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3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Angra - Zona Oeste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000837/2014).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VIII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Cachoeira Paulista: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4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Angra - Cachoeira Paulista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000835/2014);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5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Cachoeira Paulista – Campinas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000959/2014);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6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Cachoeira Paulista – Itajubá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000960/2014);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7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Adrianópolis - Cachoeira Paulista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000961/2014);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8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revitalização da LT 500 kV Baixada Fluminense - Cachoeira Paulista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000962/2014);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39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revitalização da LT 500 kV Cachoeira Paulista – Resende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000963/2014);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0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Cachoeira Paulista – Taubaté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000964/2014);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1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revitalização da LT 500 kV Cachoeira Paulista - Tijuco Preto 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000965/2014).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IX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Itumbiara: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2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AT49 525/345/13,8 kV - 560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000822/2014);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3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AT50 525/345/13,8 kV - 560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000823/2014);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4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AT53 525/345/13,8 kV - 560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000824/2014);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5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Itumbiara - São Simão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000968/2014);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6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 revitalização da LT 500 kV Emborcação - Itumbiara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000969/2014);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7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 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AT01 345/230/13,8 kV - 225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000819/2014);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8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AT02 345/230/13,8 kV - 225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000820/2014);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49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 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AT03 345/230/13,8 kV - 225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000821/2014);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0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345 kV Itumbiara – Corumbá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001098/2014).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Ouro Preto: revitalização da LT 345 kV Ouro Preto - Barro Branco (PMU) - 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001097/2014.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Marimbondo: 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AT09 525/345/13,8 kV - 560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000825/2014).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XII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Poços de Caldas: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1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AT51 525/345/13,8 kV - 560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000830/2014);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2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AT01 345/138/13,8 kV - 150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000826/2014);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3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AT02 345/138/13,8 kV - 150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000827/2014);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4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AT03 345/138/13,8 kV - 150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000828/2014);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5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revitalização do Banco de </w:t>
            </w:r>
            <w:proofErr w:type="spellStart"/>
            <w:r w:rsidRPr="003239EB">
              <w:rPr>
                <w:rFonts w:ascii="Arial" w:hAnsi="Arial" w:cs="Arial"/>
              </w:rPr>
              <w:t>Autotrafos</w:t>
            </w:r>
            <w:proofErr w:type="spellEnd"/>
            <w:r w:rsidRPr="003239EB">
              <w:rPr>
                <w:rFonts w:ascii="Arial" w:hAnsi="Arial" w:cs="Arial"/>
              </w:rPr>
              <w:t xml:space="preserve"> AT04 345/138/13,8 kV - 150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000829/2014).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XIII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Bateias: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6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Ibiúna - Bateias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000966/2014);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7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LT 500 kV Ibiúna - Bateias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000967/2014).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XIV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Bandeirantes: revitalização do </w:t>
            </w:r>
            <w:proofErr w:type="spellStart"/>
            <w:r w:rsidRPr="003239EB">
              <w:rPr>
                <w:rFonts w:ascii="Arial" w:hAnsi="Arial" w:cs="Arial"/>
              </w:rPr>
              <w:t>Autotrafo</w:t>
            </w:r>
            <w:proofErr w:type="spellEnd"/>
            <w:r w:rsidRPr="003239EB">
              <w:rPr>
                <w:rFonts w:ascii="Arial" w:hAnsi="Arial" w:cs="Arial"/>
              </w:rPr>
              <w:t xml:space="preserve"> AT01 345/230/13,8 kV - 225 MVA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000818/2014).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tabs>
                <w:tab w:val="left" w:pos="338"/>
              </w:tabs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XV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Guarulhos: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8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LI 345 kV Guarulhos – Nordeste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000831/2014);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59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LI 345 kV Norte - Guarulhos C1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000832/2014);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60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da LI 345 kV Norte - Guarulhos C2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000833/2014);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numPr>
                <w:ilvl w:val="0"/>
                <w:numId w:val="61"/>
              </w:numPr>
              <w:tabs>
                <w:tab w:val="left" w:pos="338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revitalização dos Serviços Auxiliares de Corrente Contínua (CC) do Sistema de Telecomunicações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001005/2014).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XVI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Corumbá: revitalização da LT 345 kV Itumbiara - Corumbá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001099/2014).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XVII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>  Subestação Barro Alto: implantação do SEP de Alívio de Carga da LT 230 kV Brasília Sul - Águas Lindas e da LT 230 kV Barro Alto - Águas Lindas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001115/2014).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XVIII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Águas Lindas: implantação do SEP de Alívio de Carga da LT 230 kV Brasília Sul - Águas Lindas e da LT 230 kV Barro Alto - Águas Lindas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001116/2014).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278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rPr>
                <w:rFonts w:ascii="Arial" w:hAnsi="Arial" w:cs="Arial"/>
              </w:rPr>
            </w:pP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IXX </w:t>
            </w:r>
            <w:r w:rsidR="009F528D">
              <w:rPr>
                <w:rFonts w:ascii="Arial" w:hAnsi="Arial" w:cs="Arial"/>
              </w:rPr>
              <w:t>-</w:t>
            </w:r>
            <w:r w:rsidRPr="003239EB">
              <w:rPr>
                <w:rFonts w:ascii="Arial" w:hAnsi="Arial" w:cs="Arial"/>
              </w:rPr>
              <w:t xml:space="preserve"> Subestação Brasília Sul: Barra 230 kV - substituição da Proteção Diferencial de Barras por Proteção Adaptativa (PMI n</w:t>
            </w:r>
            <w:r w:rsidRPr="00E144D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239EB">
              <w:rPr>
                <w:rFonts w:ascii="Arial" w:hAnsi="Arial" w:cs="Arial"/>
              </w:rPr>
              <w:t xml:space="preserve"> 001119/2014).</w:t>
            </w:r>
          </w:p>
        </w:tc>
      </w:tr>
      <w:tr w:rsidR="00E144DB" w:rsidRPr="003239EB" w:rsidTr="009F528D">
        <w:trPr>
          <w:trHeight w:val="150"/>
          <w:tblCellSpacing w:w="0" w:type="dxa"/>
          <w:jc w:val="center"/>
        </w:trPr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De 7/6/2016 a 7/12/2018.</w:t>
            </w:r>
          </w:p>
        </w:tc>
      </w:tr>
      <w:tr w:rsidR="00E144DB" w:rsidRPr="003239EB" w:rsidTr="009F528D">
        <w:trPr>
          <w:trHeight w:val="270"/>
          <w:tblCellSpacing w:w="0" w:type="dxa"/>
          <w:jc w:val="center"/>
        </w:trPr>
        <w:tc>
          <w:tcPr>
            <w:tcW w:w="2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Localidades dos Projetos [Municípios/UF]</w:t>
            </w:r>
          </w:p>
        </w:tc>
        <w:tc>
          <w:tcPr>
            <w:tcW w:w="8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9F528D">
            <w:pPr>
              <w:jc w:val="both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Municípios de Brasília, Distrito Federal; Águas Lindas de Goiás, Aparecida de Goiânia, Barro Alto, Caldas Novas e Minaçu, Estado de Goiás; </w:t>
            </w:r>
            <w:proofErr w:type="spellStart"/>
            <w:r w:rsidRPr="003239EB">
              <w:rPr>
                <w:rFonts w:ascii="Arial" w:hAnsi="Arial" w:cs="Arial"/>
              </w:rPr>
              <w:t>Araporã</w:t>
            </w:r>
            <w:proofErr w:type="spellEnd"/>
            <w:r w:rsidRPr="003239EB">
              <w:rPr>
                <w:rFonts w:ascii="Arial" w:hAnsi="Arial" w:cs="Arial"/>
              </w:rPr>
              <w:t>, Fronteira, Ouro Preto e Poços de Caldas, Estado de Minas Gerais; Campo Largo, Foz do Iguaçu e Manoel Ribas, Estado do Paraná; Angra dos Reis, Estado do Rio de Janeiro; Cachoeira Paulista, Ibiúna, Itaberá, Mogi das Cruzes e São Paulo, Estado de São Paulo.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6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Nome: Ricardo Medeiros.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CPF: 778.342.088-53.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6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Nome: Cláudio Guilherme Branco da Moita.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CPF: 491.427.207-53.</w:t>
            </w:r>
          </w:p>
        </w:tc>
      </w:tr>
      <w:tr w:rsidR="00E144DB" w:rsidRPr="003239EB" w:rsidTr="009F528D">
        <w:trPr>
          <w:trHeight w:val="285"/>
          <w:tblCellSpacing w:w="0" w:type="dxa"/>
          <w:jc w:val="center"/>
        </w:trPr>
        <w:tc>
          <w:tcPr>
            <w:tcW w:w="6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3239EB">
              <w:rPr>
                <w:rFonts w:ascii="Arial" w:hAnsi="Arial" w:cs="Arial"/>
              </w:rPr>
              <w:t>Sobrosa</w:t>
            </w:r>
            <w:proofErr w:type="spellEnd"/>
            <w:r w:rsidRPr="003239EB">
              <w:rPr>
                <w:rFonts w:ascii="Arial" w:hAnsi="Arial" w:cs="Arial"/>
              </w:rPr>
              <w:t>.</w:t>
            </w:r>
          </w:p>
        </w:tc>
        <w:tc>
          <w:tcPr>
            <w:tcW w:w="4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CPF: 018.603.667-16.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E144DB" w:rsidRPr="003239EB" w:rsidTr="009F528D">
        <w:trPr>
          <w:trHeight w:val="150"/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Bens</w:t>
            </w:r>
          </w:p>
        </w:tc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19.546.729,00.</w:t>
            </w:r>
          </w:p>
        </w:tc>
      </w:tr>
      <w:tr w:rsidR="00E144DB" w:rsidRPr="003239EB" w:rsidTr="009F528D">
        <w:trPr>
          <w:trHeight w:val="150"/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Serviços</w:t>
            </w:r>
          </w:p>
        </w:tc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10.797.337,00.</w:t>
            </w:r>
          </w:p>
        </w:tc>
      </w:tr>
      <w:tr w:rsidR="00E144DB" w:rsidRPr="003239EB" w:rsidTr="009F528D">
        <w:trPr>
          <w:trHeight w:val="150"/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Outros</w:t>
            </w:r>
          </w:p>
        </w:tc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3.217.122,00.</w:t>
            </w:r>
          </w:p>
        </w:tc>
      </w:tr>
      <w:tr w:rsidR="00E144DB" w:rsidRPr="003239EB" w:rsidTr="009F528D">
        <w:trPr>
          <w:trHeight w:val="135"/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  <w:b/>
                <w:bCs/>
              </w:rPr>
              <w:t>33.561.188,00.</w:t>
            </w:r>
          </w:p>
        </w:tc>
      </w:tr>
      <w:tr w:rsidR="00E144DB" w:rsidRPr="003239EB" w:rsidTr="009F528D">
        <w:trPr>
          <w:tblCellSpacing w:w="0" w:type="dxa"/>
          <w:jc w:val="center"/>
        </w:trPr>
        <w:tc>
          <w:tcPr>
            <w:tcW w:w="110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E144DB" w:rsidRPr="003239EB" w:rsidTr="009F528D">
        <w:trPr>
          <w:trHeight w:val="105"/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Bens</w:t>
            </w:r>
          </w:p>
        </w:tc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17.894.283,00.</w:t>
            </w:r>
          </w:p>
        </w:tc>
      </w:tr>
      <w:tr w:rsidR="00E144DB" w:rsidRPr="003239EB" w:rsidTr="009F528D">
        <w:trPr>
          <w:trHeight w:val="225"/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Serviços</w:t>
            </w:r>
          </w:p>
        </w:tc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10.232.235,00.</w:t>
            </w:r>
          </w:p>
        </w:tc>
      </w:tr>
      <w:tr w:rsidR="00E144DB" w:rsidRPr="003239EB" w:rsidTr="009F528D">
        <w:trPr>
          <w:trHeight w:val="90"/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Outros</w:t>
            </w:r>
          </w:p>
        </w:tc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</w:rPr>
              <w:t>2.944.734,00.</w:t>
            </w:r>
          </w:p>
        </w:tc>
      </w:tr>
      <w:tr w:rsidR="00E144DB" w:rsidRPr="003239EB" w:rsidTr="009F528D">
        <w:trPr>
          <w:trHeight w:val="90"/>
          <w:tblCellSpacing w:w="0" w:type="dxa"/>
          <w:jc w:val="center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4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4DB" w:rsidRPr="003239EB" w:rsidRDefault="00E144DB" w:rsidP="007466E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3239EB">
              <w:rPr>
                <w:rFonts w:ascii="Arial" w:hAnsi="Arial" w:cs="Arial"/>
                <w:b/>
                <w:bCs/>
              </w:rPr>
              <w:t>31.071.252,00.</w:t>
            </w:r>
          </w:p>
        </w:tc>
      </w:tr>
    </w:tbl>
    <w:p w:rsidR="006D5478" w:rsidRPr="000B27F3" w:rsidRDefault="006D5478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E144DB">
      <w:rPr>
        <w:rFonts w:ascii="Arial" w:hAnsi="Arial" w:cs="Arial"/>
      </w:rPr>
      <w:t>41</w:t>
    </w:r>
    <w:r w:rsidRPr="00804BC7">
      <w:rPr>
        <w:rFonts w:ascii="Arial" w:hAnsi="Arial" w:cs="Arial"/>
      </w:rPr>
      <w:t xml:space="preserve">, de </w:t>
    </w:r>
    <w:r w:rsidR="00E144DB">
      <w:rPr>
        <w:rFonts w:ascii="Arial" w:hAnsi="Arial" w:cs="Arial"/>
      </w:rPr>
      <w:t>16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F7E86">
      <w:rPr>
        <w:rStyle w:val="Nmerodepgina"/>
        <w:rFonts w:ascii="Arial" w:hAnsi="Arial" w:cs="Arial"/>
        <w:noProof/>
      </w:rPr>
      <w:t>4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2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41"/>
    <o:shapelayout v:ext="edit">
      <o:idmap v:ext="edit" data="1"/>
    </o:shapelayout>
  </w:shapeDefaults>
  <w:decimalSymbol w:val=","/>
  <w:listSeparator w:val=";"/>
  <w14:docId w14:val="3D6BE61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7BD9-4F2E-4E63-ADFC-3CC53B45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1765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5</cp:revision>
  <cp:lastPrinted>2010-07-14T20:23:00Z</cp:lastPrinted>
  <dcterms:created xsi:type="dcterms:W3CDTF">2017-08-21T11:37:00Z</dcterms:created>
  <dcterms:modified xsi:type="dcterms:W3CDTF">2017-08-21T11:44:00Z</dcterms:modified>
</cp:coreProperties>
</file>