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35C">
        <w:rPr>
          <w:rFonts w:ascii="Arial" w:hAnsi="Arial" w:cs="Arial"/>
          <w:b/>
          <w:bCs/>
          <w:color w:val="000080"/>
        </w:rPr>
        <w:t>2</w:t>
      </w:r>
      <w:r w:rsidR="00940A93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40A93">
        <w:rPr>
          <w:rFonts w:ascii="Arial" w:hAnsi="Arial" w:cs="Arial"/>
          <w:b/>
          <w:bCs/>
          <w:color w:val="000080"/>
        </w:rPr>
        <w:t xml:space="preserve">2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Pr="007848D3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> </w:t>
      </w:r>
      <w:r w:rsidRPr="00313784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313784">
        <w:rPr>
          <w:rFonts w:ascii="Arial" w:hAnsi="Arial" w:cs="Arial"/>
        </w:rPr>
        <w:t>, no uso da competência que lhe foi delegada pelo art. 1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>, inciso I, § 1°, da P</w:t>
      </w:r>
      <w:bookmarkStart w:id="0" w:name="_GoBack"/>
      <w:bookmarkEnd w:id="0"/>
      <w:r w:rsidRPr="00313784">
        <w:rPr>
          <w:rFonts w:ascii="Arial" w:hAnsi="Arial" w:cs="Arial"/>
        </w:rPr>
        <w:t>ortaria MME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281, de 29 de junho de 2016, tendo em vista o disposto no art. 6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do Decreto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6.144, de 3 de julho de 2007, no art. 2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>, § 3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>, da Portaria MME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274, de 19 de agosto de 2013, e o que consta do Processo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48500.002465/2017-47, resolve:</w:t>
      </w:r>
    </w:p>
    <w:p w:rsidR="00940A93" w:rsidRDefault="00940A93" w:rsidP="00940A93">
      <w:pPr>
        <w:ind w:firstLine="1134"/>
        <w:jc w:val="both"/>
        <w:rPr>
          <w:rFonts w:ascii="Arial" w:hAnsi="Arial" w:cs="Arial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>Art. 1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instalações de transmissão de energia elétrica, objeto da Resolução Autorizativa ANEEL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6.306, de 18 de abril de 2017, de titularidade da empresa Transmissora Aliança de Energia Elétrica S.A., inscrita no CNPJ/MF sob o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> 07.859.971/0001-30, detalhado no Anexo à presente Portaria.</w:t>
      </w:r>
    </w:p>
    <w:p w:rsidR="00940A93" w:rsidRDefault="00940A93" w:rsidP="00940A93">
      <w:pPr>
        <w:ind w:firstLine="1134"/>
        <w:jc w:val="both"/>
        <w:rPr>
          <w:rFonts w:ascii="Arial" w:hAnsi="Arial" w:cs="Arial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 xml:space="preserve">Parágrafo único. O projeto de que trata o </w:t>
      </w:r>
      <w:r w:rsidRPr="00313784">
        <w:rPr>
          <w:rFonts w:ascii="Arial" w:hAnsi="Arial" w:cs="Arial"/>
          <w:b/>
          <w:bCs/>
        </w:rPr>
        <w:t>caput</w:t>
      </w:r>
      <w:r w:rsidRPr="00313784">
        <w:rPr>
          <w:rFonts w:ascii="Arial" w:hAnsi="Arial" w:cs="Arial"/>
        </w:rPr>
        <w:t xml:space="preserve"> é alcançado pelo art. 4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>, inciso III, da Portaria MME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274, de 19 de agosto de 2013.</w:t>
      </w:r>
    </w:p>
    <w:p w:rsidR="00940A93" w:rsidRDefault="00940A93" w:rsidP="00940A93">
      <w:pPr>
        <w:ind w:firstLine="1134"/>
        <w:jc w:val="both"/>
        <w:rPr>
          <w:rFonts w:ascii="Arial" w:hAnsi="Arial" w:cs="Arial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>Art. 2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As estimativas dos investimentos têm por base o mês de abril de 2017 e são de exclusiva responsabilidade da Transmissora Aliança de Energia Elétrica S.A., cuja razoabilidade foi atestada pela Agência Nacional de Energia Elétrica - ANEEL.</w:t>
      </w:r>
    </w:p>
    <w:p w:rsidR="00940A93" w:rsidRDefault="00940A93" w:rsidP="00940A93">
      <w:pPr>
        <w:ind w:firstLine="1134"/>
        <w:jc w:val="both"/>
        <w:rPr>
          <w:rFonts w:ascii="Arial" w:hAnsi="Arial" w:cs="Arial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>Art. 3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A Transmissora Aliança de Energia Elétrica S.A. deverá informar à Secretaria </w:t>
      </w:r>
      <w:proofErr w:type="gramStart"/>
      <w:r w:rsidRPr="00313784">
        <w:rPr>
          <w:rFonts w:ascii="Arial" w:hAnsi="Arial" w:cs="Arial"/>
        </w:rPr>
        <w:t>da</w:t>
      </w:r>
      <w:proofErr w:type="gramEnd"/>
      <w:r w:rsidRPr="00313784">
        <w:rPr>
          <w:rFonts w:ascii="Arial" w:hAnsi="Arial" w:cs="Arial"/>
        </w:rPr>
        <w:t xml:space="preserve">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40A93" w:rsidRDefault="00940A93" w:rsidP="00940A93">
      <w:pPr>
        <w:ind w:firstLine="1134"/>
        <w:jc w:val="both"/>
        <w:rPr>
          <w:rFonts w:ascii="Arial" w:hAnsi="Arial" w:cs="Arial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>Art. 4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940A93" w:rsidRDefault="00940A93" w:rsidP="00940A93">
      <w:pPr>
        <w:ind w:firstLine="1134"/>
        <w:jc w:val="both"/>
        <w:rPr>
          <w:rFonts w:ascii="Arial" w:hAnsi="Arial" w:cs="Arial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>Art. 5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40A93" w:rsidRDefault="00940A93" w:rsidP="00940A93">
      <w:pPr>
        <w:ind w:firstLine="1134"/>
        <w:jc w:val="both"/>
        <w:rPr>
          <w:rFonts w:ascii="Arial" w:hAnsi="Arial" w:cs="Arial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>Art. 6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A Transmissora Aliança de Energia Elétrica S.A. deverá observar, no que couber, as disposições constantes na Lei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11.488, de 15 de junho de 2007, no Decreto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6.144, de 3 de julho de 2007, na Portaria MME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313784">
        <w:rPr>
          <w:rFonts w:ascii="Arial" w:hAnsi="Arial" w:cs="Arial"/>
        </w:rPr>
        <w:t>arts</w:t>
      </w:r>
      <w:proofErr w:type="spellEnd"/>
      <w:r w:rsidRPr="00313784">
        <w:rPr>
          <w:rFonts w:ascii="Arial" w:hAnsi="Arial" w:cs="Arial"/>
        </w:rPr>
        <w:t>. 9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e 14, do Decreto n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6.144, de 2007, sujeitas à fiscalização da Secretaria da Receita Federal do Brasil.</w:t>
      </w:r>
    </w:p>
    <w:p w:rsidR="00940A93" w:rsidRDefault="00940A93" w:rsidP="00940A93">
      <w:pPr>
        <w:ind w:firstLine="1134"/>
        <w:jc w:val="both"/>
        <w:rPr>
          <w:rFonts w:ascii="Arial" w:hAnsi="Arial" w:cs="Arial"/>
        </w:rPr>
      </w:pPr>
    </w:p>
    <w:p w:rsidR="00940A93" w:rsidRPr="00313784" w:rsidRDefault="00940A93" w:rsidP="00940A93">
      <w:pPr>
        <w:ind w:firstLine="1134"/>
        <w:jc w:val="both"/>
        <w:rPr>
          <w:rFonts w:ascii="Arial" w:hAnsi="Arial" w:cs="Arial"/>
        </w:rPr>
      </w:pPr>
      <w:r w:rsidRPr="00313784">
        <w:rPr>
          <w:rFonts w:ascii="Arial" w:hAnsi="Arial" w:cs="Arial"/>
        </w:rPr>
        <w:t>Art. 7</w:t>
      </w:r>
      <w:r w:rsidRPr="00940A93">
        <w:rPr>
          <w:rFonts w:ascii="Arial" w:hAnsi="Arial" w:cs="Arial"/>
          <w:u w:val="words"/>
          <w:vertAlign w:val="superscript"/>
        </w:rPr>
        <w:t>o</w:t>
      </w:r>
      <w:r w:rsidRPr="00313784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940A93">
        <w:rPr>
          <w:rFonts w:ascii="Arial" w:hAnsi="Arial" w:cs="Arial"/>
          <w:color w:val="FF0000"/>
        </w:rPr>
        <w:t>3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2463"/>
        <w:gridCol w:w="2551"/>
        <w:gridCol w:w="3544"/>
      </w:tblGrid>
      <w:tr w:rsidR="00940A93" w:rsidRPr="00313784" w:rsidTr="00940A93">
        <w:trPr>
          <w:trHeight w:val="360"/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center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center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PESSOA JURÍDICA TITULAR DO PROJETO</w:t>
            </w:r>
          </w:p>
        </w:tc>
      </w:tr>
      <w:tr w:rsidR="00940A93" w:rsidRPr="00313784" w:rsidTr="00940A93">
        <w:trPr>
          <w:trHeight w:val="225"/>
          <w:tblCellSpacing w:w="0" w:type="dxa"/>
          <w:jc w:val="center"/>
        </w:trPr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01 - Nome Empresarial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02 - CNPJ</w:t>
            </w:r>
          </w:p>
        </w:tc>
      </w:tr>
      <w:tr w:rsidR="00940A93" w:rsidRPr="00313784" w:rsidTr="00940A93">
        <w:trPr>
          <w:trHeight w:val="225"/>
          <w:tblCellSpacing w:w="0" w:type="dxa"/>
          <w:jc w:val="center"/>
        </w:trPr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07.859.971/0001-30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03 - Logradouro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04 - Número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7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Praça XV de Novembro.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20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4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05 - Complemento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06 - Bairro/Distrito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07 - CEP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4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Salas 601 e 602.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Centro.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20010-010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4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08 - Município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09 - UF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10 - Telefone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49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Rio de Janeiro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RJ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(21) 2212-6067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110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11 - DADOS DO PROJETO</w:t>
            </w:r>
          </w:p>
        </w:tc>
      </w:tr>
      <w:tr w:rsidR="00940A93" w:rsidRPr="00313784" w:rsidTr="00940A93">
        <w:trPr>
          <w:trHeight w:val="150"/>
          <w:tblCellSpacing w:w="0" w:type="dxa"/>
          <w:jc w:val="center"/>
        </w:trPr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Nome do Projeto</w:t>
            </w: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Reforços nas Subestações Gurupi e Serra da Mesa (Resolução Autorizativa ANEEL n</w:t>
            </w:r>
            <w:r w:rsidRPr="00940A9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13784">
              <w:rPr>
                <w:rFonts w:ascii="Arial" w:hAnsi="Arial" w:cs="Arial"/>
              </w:rPr>
              <w:t xml:space="preserve"> 6.306, de 18 de abril de 2017).</w:t>
            </w:r>
          </w:p>
        </w:tc>
      </w:tr>
      <w:tr w:rsidR="00940A93" w:rsidRPr="00313784" w:rsidTr="00940A93">
        <w:trPr>
          <w:trHeight w:val="600"/>
          <w:tblCellSpacing w:w="0" w:type="dxa"/>
          <w:jc w:val="center"/>
        </w:trPr>
        <w:tc>
          <w:tcPr>
            <w:tcW w:w="2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tabs>
                <w:tab w:val="left" w:pos="322"/>
              </w:tabs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Reforços em Instalações de Transmissão de Energia Elétrica, relativos às Subestações Gurupi e Serra da Mesa, compreendendo:</w:t>
            </w:r>
          </w:p>
        </w:tc>
      </w:tr>
      <w:tr w:rsidR="00940A93" w:rsidRPr="00313784" w:rsidTr="00940A93">
        <w:trPr>
          <w:trHeight w:val="3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tabs>
                <w:tab w:val="left" w:pos="322"/>
              </w:tabs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I - Subestação Gurupi:</w:t>
            </w:r>
          </w:p>
        </w:tc>
      </w:tr>
      <w:tr w:rsidR="00940A93" w:rsidRPr="00313784" w:rsidTr="00940A93">
        <w:trPr>
          <w:trHeight w:val="8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numPr>
                <w:ilvl w:val="0"/>
                <w:numId w:val="25"/>
              </w:numPr>
              <w:tabs>
                <w:tab w:val="left" w:pos="32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 xml:space="preserve">Substituição do Banco de Capacitores Série, localizado na saída de linha da Linha de Transmissão 500 kV Gurupi </w:t>
            </w:r>
            <w:r>
              <w:rPr>
                <w:rFonts w:ascii="Arial" w:hAnsi="Arial" w:cs="Arial"/>
              </w:rPr>
              <w:t>-</w:t>
            </w:r>
            <w:r w:rsidRPr="00313784">
              <w:rPr>
                <w:rFonts w:ascii="Arial" w:hAnsi="Arial" w:cs="Arial"/>
              </w:rPr>
              <w:t xml:space="preserve"> Serra da Mesa C2, de 23,8 Ω e IN=1500 A, por outro de mesmo valor ôhmico e IN=2000 A;</w:t>
            </w:r>
          </w:p>
        </w:tc>
      </w:tr>
      <w:tr w:rsidR="00940A93" w:rsidRPr="00313784" w:rsidTr="00940A93">
        <w:trPr>
          <w:trHeight w:val="8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numPr>
                <w:ilvl w:val="0"/>
                <w:numId w:val="26"/>
              </w:numPr>
              <w:tabs>
                <w:tab w:val="left" w:pos="32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 xml:space="preserve">Adequar o Módulo de Infraestrutura de Manobra para o novo Banco de Capacitores série, da linha da Linha de Transmissão 500 kV Gurupi </w:t>
            </w:r>
            <w:r>
              <w:rPr>
                <w:rFonts w:ascii="Arial" w:hAnsi="Arial" w:cs="Arial"/>
              </w:rPr>
              <w:t>-</w:t>
            </w:r>
            <w:r w:rsidRPr="00313784">
              <w:rPr>
                <w:rFonts w:ascii="Arial" w:hAnsi="Arial" w:cs="Arial"/>
              </w:rPr>
              <w:t xml:space="preserve"> Serra da Mesa C2;</w:t>
            </w:r>
          </w:p>
        </w:tc>
      </w:tr>
      <w:tr w:rsidR="00940A93" w:rsidRPr="00313784" w:rsidTr="00940A93">
        <w:trPr>
          <w:trHeight w:val="8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numPr>
                <w:ilvl w:val="0"/>
                <w:numId w:val="27"/>
              </w:numPr>
              <w:tabs>
                <w:tab w:val="left" w:pos="32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Adequar o Módulo de Conexão 500 kV, com a interligação do novo banco de capacitores ao módulo de conexão existente, com a implantação de cabos e tubos e coluna de isolador de pedestal; e</w:t>
            </w:r>
          </w:p>
        </w:tc>
      </w:tr>
      <w:tr w:rsidR="00940A93" w:rsidRPr="00313784" w:rsidTr="00940A93">
        <w:trPr>
          <w:trHeight w:val="6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numPr>
                <w:ilvl w:val="0"/>
                <w:numId w:val="28"/>
              </w:numPr>
              <w:tabs>
                <w:tab w:val="left" w:pos="32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 xml:space="preserve">Adequar o Módulo de Infra Estrutura Geral de </w:t>
            </w:r>
            <w:proofErr w:type="spellStart"/>
            <w:r w:rsidRPr="00313784">
              <w:rPr>
                <w:rFonts w:ascii="Arial" w:hAnsi="Arial" w:cs="Arial"/>
              </w:rPr>
              <w:t>acessante</w:t>
            </w:r>
            <w:proofErr w:type="spellEnd"/>
            <w:r w:rsidRPr="00313784">
              <w:rPr>
                <w:rFonts w:ascii="Arial" w:hAnsi="Arial" w:cs="Arial"/>
              </w:rPr>
              <w:t xml:space="preserve"> com a implantação de quadro de serviço auxiliar.</w:t>
            </w:r>
          </w:p>
        </w:tc>
      </w:tr>
      <w:tr w:rsidR="00940A93" w:rsidRPr="00313784" w:rsidTr="00940A93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tabs>
                <w:tab w:val="left" w:pos="322"/>
              </w:tabs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II - Subestação Serra da Mesa:</w:t>
            </w:r>
          </w:p>
        </w:tc>
      </w:tr>
      <w:tr w:rsidR="00940A93" w:rsidRPr="00313784" w:rsidTr="00940A93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numPr>
                <w:ilvl w:val="0"/>
                <w:numId w:val="29"/>
              </w:numPr>
              <w:tabs>
                <w:tab w:val="left" w:pos="32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 xml:space="preserve">Adequar o Módulo de Infraestrutura Geral de </w:t>
            </w:r>
            <w:proofErr w:type="spellStart"/>
            <w:r w:rsidRPr="00313784">
              <w:rPr>
                <w:rFonts w:ascii="Arial" w:hAnsi="Arial" w:cs="Arial"/>
              </w:rPr>
              <w:t>acessante</w:t>
            </w:r>
            <w:proofErr w:type="spellEnd"/>
            <w:r w:rsidRPr="00313784">
              <w:rPr>
                <w:rFonts w:ascii="Arial" w:hAnsi="Arial" w:cs="Arial"/>
              </w:rPr>
              <w:t xml:space="preserve"> com a implantação de quadro de serviço auxiliar;</w:t>
            </w:r>
          </w:p>
        </w:tc>
      </w:tr>
      <w:tr w:rsidR="00940A93" w:rsidRPr="00313784" w:rsidTr="00940A93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numPr>
                <w:ilvl w:val="0"/>
                <w:numId w:val="30"/>
              </w:numPr>
              <w:tabs>
                <w:tab w:val="left" w:pos="32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 xml:space="preserve">Substituição do TCSC, localizado na saída de linha da Linha de Transmissão 500 kV Gurupi </w:t>
            </w:r>
            <w:r>
              <w:rPr>
                <w:rFonts w:ascii="Arial" w:hAnsi="Arial" w:cs="Arial"/>
              </w:rPr>
              <w:t>-</w:t>
            </w:r>
            <w:r w:rsidRPr="00313784">
              <w:rPr>
                <w:rFonts w:ascii="Arial" w:hAnsi="Arial" w:cs="Arial"/>
              </w:rPr>
              <w:t xml:space="preserve"> Serra da Mesa C2, de 23,8 Ω e IN=1500 A, por outro de mesmo valor ôhmico e IN=2000 A;</w:t>
            </w:r>
          </w:p>
        </w:tc>
      </w:tr>
      <w:tr w:rsidR="00940A93" w:rsidRPr="00313784" w:rsidTr="00940A93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numPr>
                <w:ilvl w:val="0"/>
                <w:numId w:val="31"/>
              </w:numPr>
              <w:tabs>
                <w:tab w:val="left" w:pos="32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 xml:space="preserve">Adequar o Módulo de Infraestrutura referente ao módulo de conexão para substituição do Banco de Capacitores Série 500 kV da Linha de Transmissão 500 kV Gurupi </w:t>
            </w:r>
            <w:r>
              <w:rPr>
                <w:rFonts w:ascii="Arial" w:hAnsi="Arial" w:cs="Arial"/>
              </w:rPr>
              <w:t>-</w:t>
            </w:r>
            <w:r w:rsidRPr="00313784">
              <w:rPr>
                <w:rFonts w:ascii="Arial" w:hAnsi="Arial" w:cs="Arial"/>
              </w:rPr>
              <w:t xml:space="preserve"> Serra da Mesa C2; e</w:t>
            </w:r>
          </w:p>
        </w:tc>
      </w:tr>
      <w:tr w:rsidR="00940A93" w:rsidRPr="00313784" w:rsidTr="00940A93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numPr>
                <w:ilvl w:val="0"/>
                <w:numId w:val="32"/>
              </w:numPr>
              <w:tabs>
                <w:tab w:val="left" w:pos="322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Adequar o Módulo de Conexão 500 kV, com a interligação do novo banco de capacitores e o módulo de conexão existente.</w:t>
            </w:r>
          </w:p>
        </w:tc>
      </w:tr>
      <w:tr w:rsidR="00940A93" w:rsidRPr="00313784" w:rsidTr="00940A93">
        <w:trPr>
          <w:trHeight w:val="150"/>
          <w:tblCellSpacing w:w="0" w:type="dxa"/>
          <w:jc w:val="center"/>
        </w:trPr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De 27/4/2017 a 27/11/2019.</w:t>
            </w:r>
          </w:p>
        </w:tc>
      </w:tr>
      <w:tr w:rsidR="00940A93" w:rsidRPr="00313784" w:rsidTr="00940A93">
        <w:trPr>
          <w:trHeight w:val="270"/>
          <w:tblCellSpacing w:w="0" w:type="dxa"/>
          <w:jc w:val="center"/>
        </w:trPr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5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Município de Gurupi, Estado do Tocantins; e Município de Minaçu, Estado de Goiás.</w:t>
            </w:r>
          </w:p>
        </w:tc>
      </w:tr>
    </w:tbl>
    <w:p w:rsidR="00940A93" w:rsidRDefault="00940A93"/>
    <w:p w:rsidR="00940A93" w:rsidRDefault="00940A93"/>
    <w:tbl>
      <w:tblPr>
        <w:tblW w:w="557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3776"/>
        <w:gridCol w:w="4678"/>
      </w:tblGrid>
      <w:tr w:rsidR="00940A93" w:rsidRPr="00313784" w:rsidTr="00940A93">
        <w:trPr>
          <w:tblCellSpacing w:w="0" w:type="dxa"/>
          <w:jc w:val="center"/>
        </w:trPr>
        <w:tc>
          <w:tcPr>
            <w:tcW w:w="110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lastRenderedPageBreak/>
              <w:t>12 - PRESIDENTE, RESPONSÁVEL TÉCNICO E CONTADOR DA PESSOA JURÍDICA</w:t>
            </w:r>
          </w:p>
        </w:tc>
      </w:tr>
      <w:tr w:rsidR="00940A93" w:rsidRPr="00313784" w:rsidTr="00940A93">
        <w:trPr>
          <w:trHeight w:val="285"/>
          <w:tblCellSpacing w:w="0" w:type="dxa"/>
          <w:jc w:val="center"/>
        </w:trPr>
        <w:tc>
          <w:tcPr>
            <w:tcW w:w="6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CPF: 326.820.696-49.</w:t>
            </w:r>
          </w:p>
        </w:tc>
      </w:tr>
      <w:tr w:rsidR="00940A93" w:rsidRPr="00313784" w:rsidTr="00940A93">
        <w:trPr>
          <w:trHeight w:val="285"/>
          <w:tblCellSpacing w:w="0" w:type="dxa"/>
          <w:jc w:val="center"/>
        </w:trPr>
        <w:tc>
          <w:tcPr>
            <w:tcW w:w="6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CPF: 326.820.696-49.</w:t>
            </w:r>
          </w:p>
        </w:tc>
      </w:tr>
      <w:tr w:rsidR="00940A93" w:rsidRPr="00313784" w:rsidTr="00940A93">
        <w:trPr>
          <w:trHeight w:val="285"/>
          <w:tblCellSpacing w:w="0" w:type="dxa"/>
          <w:jc w:val="center"/>
        </w:trPr>
        <w:tc>
          <w:tcPr>
            <w:tcW w:w="6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Nome: Luiz Carlos de Andrade.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CPF: 696.385.517-04.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110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940A93" w:rsidRPr="00313784" w:rsidTr="00940A93">
        <w:trPr>
          <w:trHeight w:val="150"/>
          <w:tblCellSpacing w:w="0" w:type="dxa"/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Bens</w:t>
            </w:r>
          </w:p>
        </w:tc>
        <w:tc>
          <w:tcPr>
            <w:tcW w:w="8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right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90.316.798,00.</w:t>
            </w:r>
          </w:p>
        </w:tc>
      </w:tr>
      <w:tr w:rsidR="00940A93" w:rsidRPr="00313784" w:rsidTr="00940A93">
        <w:trPr>
          <w:trHeight w:val="150"/>
          <w:tblCellSpacing w:w="0" w:type="dxa"/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Serviços</w:t>
            </w:r>
          </w:p>
        </w:tc>
        <w:tc>
          <w:tcPr>
            <w:tcW w:w="8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right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34.066.587,93.</w:t>
            </w:r>
          </w:p>
        </w:tc>
      </w:tr>
      <w:tr w:rsidR="00940A93" w:rsidRPr="00313784" w:rsidTr="00940A93">
        <w:trPr>
          <w:trHeight w:val="150"/>
          <w:tblCellSpacing w:w="0" w:type="dxa"/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Outros</w:t>
            </w:r>
          </w:p>
        </w:tc>
        <w:tc>
          <w:tcPr>
            <w:tcW w:w="8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right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4.814.117,99.</w:t>
            </w:r>
          </w:p>
        </w:tc>
      </w:tr>
      <w:tr w:rsidR="00940A93" w:rsidRPr="00313784" w:rsidTr="00940A93">
        <w:trPr>
          <w:trHeight w:val="135"/>
          <w:tblCellSpacing w:w="0" w:type="dxa"/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right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  <w:b/>
                <w:bCs/>
              </w:rPr>
              <w:t>129.197.503,92.</w:t>
            </w:r>
          </w:p>
        </w:tc>
      </w:tr>
      <w:tr w:rsidR="00940A93" w:rsidRPr="00313784" w:rsidTr="00940A93">
        <w:trPr>
          <w:tblCellSpacing w:w="0" w:type="dxa"/>
          <w:jc w:val="center"/>
        </w:trPr>
        <w:tc>
          <w:tcPr>
            <w:tcW w:w="110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940A93" w:rsidRPr="00313784" w:rsidTr="00940A93">
        <w:trPr>
          <w:trHeight w:val="105"/>
          <w:tblCellSpacing w:w="0" w:type="dxa"/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Bens</w:t>
            </w:r>
          </w:p>
        </w:tc>
        <w:tc>
          <w:tcPr>
            <w:tcW w:w="8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right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83.626.664,81.</w:t>
            </w:r>
          </w:p>
        </w:tc>
      </w:tr>
      <w:tr w:rsidR="00940A93" w:rsidRPr="00313784" w:rsidTr="00940A93">
        <w:trPr>
          <w:trHeight w:val="225"/>
          <w:tblCellSpacing w:w="0" w:type="dxa"/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Serviços</w:t>
            </w:r>
          </w:p>
        </w:tc>
        <w:tc>
          <w:tcPr>
            <w:tcW w:w="8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right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31.543.136,97.</w:t>
            </w:r>
          </w:p>
        </w:tc>
      </w:tr>
      <w:tr w:rsidR="00940A93" w:rsidRPr="00313784" w:rsidTr="00940A93">
        <w:trPr>
          <w:trHeight w:val="90"/>
          <w:tblCellSpacing w:w="0" w:type="dxa"/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Outros</w:t>
            </w:r>
          </w:p>
        </w:tc>
        <w:tc>
          <w:tcPr>
            <w:tcW w:w="8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right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</w:rPr>
              <w:t>4.457.516,66.</w:t>
            </w:r>
          </w:p>
        </w:tc>
      </w:tr>
      <w:tr w:rsidR="00940A93" w:rsidRPr="00313784" w:rsidTr="00940A93">
        <w:trPr>
          <w:trHeight w:val="90"/>
          <w:tblCellSpacing w:w="0" w:type="dxa"/>
          <w:jc w:val="center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4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A93" w:rsidRPr="00313784" w:rsidRDefault="00940A93" w:rsidP="00940A93">
            <w:pPr>
              <w:jc w:val="right"/>
              <w:rPr>
                <w:rFonts w:ascii="Arial" w:hAnsi="Arial" w:cs="Arial"/>
              </w:rPr>
            </w:pPr>
            <w:r w:rsidRPr="00313784">
              <w:rPr>
                <w:rFonts w:ascii="Arial" w:hAnsi="Arial" w:cs="Arial"/>
                <w:b/>
                <w:bCs/>
              </w:rPr>
              <w:t>119.627.318,44.</w:t>
            </w:r>
          </w:p>
        </w:tc>
      </w:tr>
    </w:tbl>
    <w:p w:rsidR="006D5478" w:rsidRPr="000B27F3" w:rsidRDefault="006D5478" w:rsidP="00940A9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35C">
      <w:rPr>
        <w:rFonts w:ascii="Arial" w:hAnsi="Arial" w:cs="Arial"/>
      </w:rPr>
      <w:t>2</w:t>
    </w:r>
    <w:r w:rsidR="00940A93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940A93">
      <w:rPr>
        <w:rFonts w:ascii="Arial" w:hAnsi="Arial" w:cs="Arial"/>
      </w:rPr>
      <w:t xml:space="preserve">2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40A93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A59"/>
    <w:multiLevelType w:val="multilevel"/>
    <w:tmpl w:val="94306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141982"/>
    <w:multiLevelType w:val="multilevel"/>
    <w:tmpl w:val="83248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3" w15:restartNumberingAfterBreak="0">
    <w:nsid w:val="291A7B31"/>
    <w:multiLevelType w:val="multilevel"/>
    <w:tmpl w:val="A530A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057B1"/>
    <w:multiLevelType w:val="multilevel"/>
    <w:tmpl w:val="ECBEB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46B332B"/>
    <w:multiLevelType w:val="multilevel"/>
    <w:tmpl w:val="8E049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3DFE"/>
    <w:multiLevelType w:val="multilevel"/>
    <w:tmpl w:val="065C6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AE7E99"/>
    <w:multiLevelType w:val="multilevel"/>
    <w:tmpl w:val="F384A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270FA0"/>
    <w:multiLevelType w:val="multilevel"/>
    <w:tmpl w:val="1B165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4"/>
  </w:num>
  <w:num w:numId="4">
    <w:abstractNumId w:val="1"/>
  </w:num>
  <w:num w:numId="5">
    <w:abstractNumId w:val="6"/>
  </w:num>
  <w:num w:numId="6">
    <w:abstractNumId w:val="9"/>
  </w:num>
  <w:num w:numId="7">
    <w:abstractNumId w:val="26"/>
  </w:num>
  <w:num w:numId="8">
    <w:abstractNumId w:val="7"/>
  </w:num>
  <w:num w:numId="9">
    <w:abstractNumId w:val="19"/>
  </w:num>
  <w:num w:numId="10">
    <w:abstractNumId w:val="17"/>
  </w:num>
  <w:num w:numId="11">
    <w:abstractNumId w:val="18"/>
  </w:num>
  <w:num w:numId="12">
    <w:abstractNumId w:val="4"/>
  </w:num>
  <w:num w:numId="13">
    <w:abstractNumId w:val="2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1"/>
  </w:num>
  <w:num w:numId="17">
    <w:abstractNumId w:val="20"/>
  </w:num>
  <w:num w:numId="18">
    <w:abstractNumId w:val="27"/>
  </w:num>
  <w:num w:numId="19">
    <w:abstractNumId w:val="11"/>
  </w:num>
  <w:num w:numId="20">
    <w:abstractNumId w:val="5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  <w:lvlOverride w:ilvl="0">
      <w:startOverride w:val="2"/>
    </w:lvlOverride>
  </w:num>
  <w:num w:numId="24">
    <w:abstractNumId w:val="14"/>
    <w:lvlOverride w:ilvl="0">
      <w:startOverride w:val="3"/>
    </w:lvlOverride>
  </w:num>
  <w:num w:numId="25">
    <w:abstractNumId w:val="13"/>
  </w:num>
  <w:num w:numId="26">
    <w:abstractNumId w:val="0"/>
    <w:lvlOverride w:ilvl="0">
      <w:startOverride w:val="2"/>
    </w:lvlOverride>
  </w:num>
  <w:num w:numId="27">
    <w:abstractNumId w:val="30"/>
    <w:lvlOverride w:ilvl="0">
      <w:startOverride w:val="3"/>
    </w:lvlOverride>
  </w:num>
  <w:num w:numId="28">
    <w:abstractNumId w:val="25"/>
    <w:lvlOverride w:ilvl="0">
      <w:startOverride w:val="4"/>
    </w:lvlOverride>
  </w:num>
  <w:num w:numId="29">
    <w:abstractNumId w:val="29"/>
  </w:num>
  <w:num w:numId="30">
    <w:abstractNumId w:val="8"/>
    <w:lvlOverride w:ilvl="0">
      <w:startOverride w:val="2"/>
    </w:lvlOverride>
  </w:num>
  <w:num w:numId="31">
    <w:abstractNumId w:val="28"/>
    <w:lvlOverride w:ilvl="0">
      <w:startOverride w:val="3"/>
    </w:lvlOverride>
  </w:num>
  <w:num w:numId="32">
    <w:abstractNumId w:val="16"/>
    <w:lvlOverride w:ilvl="0">
      <w:startOverride w:val="4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2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1249"/>
    <o:shapelayout v:ext="edit">
      <o:idmap v:ext="edit" data="1"/>
    </o:shapelayout>
  </w:shapeDefaults>
  <w:decimalSymbol w:val=","/>
  <w:listSeparator w:val=";"/>
  <w14:docId w14:val="66FD16A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0042-FB81-47B2-9C45-861EC394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2017-08-03T10:41:00Z</dcterms:created>
  <dcterms:modified xsi:type="dcterms:W3CDTF">2017-08-03T10:41:00Z</dcterms:modified>
</cp:coreProperties>
</file>