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E02BED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3406BF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02BED" w:rsidRPr="00551C50" w:rsidRDefault="00E02BED" w:rsidP="00E02BE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551C50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551C50">
        <w:rPr>
          <w:rFonts w:ascii="Arial" w:hAnsi="Arial" w:cs="Arial"/>
          <w:lang w:eastAsia="en-US"/>
        </w:rPr>
        <w:t>, no uso da competência que lhe foi delegada pelo art. 1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551C50">
        <w:rPr>
          <w:rFonts w:ascii="Arial" w:hAnsi="Arial" w:cs="Arial"/>
          <w:lang w:eastAsia="en-US"/>
        </w:rPr>
        <w:t>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281</w:t>
      </w:r>
      <w:proofErr w:type="gramEnd"/>
      <w:r w:rsidRPr="00551C50">
        <w:rPr>
          <w:rFonts w:ascii="Arial" w:hAnsi="Arial" w:cs="Arial"/>
          <w:lang w:eastAsia="en-US"/>
        </w:rPr>
        <w:t>, de 29 de junho de 2016, tendo em vista o disposto no art. 6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do Decreto 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6.144, de 3 de julho de 2007, no art. 2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>, § 3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>, da Portaria MME 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274, de 19 de agosto de 2013, e o que consta do Processo 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</w:t>
      </w:r>
      <w:r w:rsidRPr="00551C50">
        <w:rPr>
          <w:rFonts w:ascii="Arial" w:hAnsi="Arial" w:cs="Arial"/>
          <w:bCs/>
          <w:noProof/>
          <w:lang w:eastAsia="en-US"/>
        </w:rPr>
        <w:t>48500.003641/2016-87</w:t>
      </w:r>
      <w:r w:rsidRPr="00551C50">
        <w:rPr>
          <w:rFonts w:ascii="Arial" w:hAnsi="Arial" w:cs="Arial"/>
          <w:lang w:eastAsia="en-US"/>
        </w:rPr>
        <w:t>, resolve:</w:t>
      </w:r>
    </w:p>
    <w:p w:rsidR="00E02BED" w:rsidRPr="00551C50" w:rsidRDefault="00E02BED" w:rsidP="00E02B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1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551C50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noProof/>
          <w:color w:val="000000"/>
          <w:lang w:eastAsia="en-US"/>
        </w:rPr>
        <w:t xml:space="preserve"> 5.906, de 21 de junho de 2016</w:t>
      </w:r>
      <w:r w:rsidRPr="00551C50">
        <w:rPr>
          <w:rFonts w:ascii="Arial" w:hAnsi="Arial" w:cs="Arial"/>
          <w:color w:val="000000"/>
          <w:lang w:eastAsia="en-US"/>
        </w:rPr>
        <w:t xml:space="preserve">, </w:t>
      </w:r>
      <w:proofErr w:type="gramStart"/>
      <w:r w:rsidRPr="00551C50">
        <w:rPr>
          <w:rFonts w:ascii="Arial" w:hAnsi="Arial" w:cs="Arial"/>
          <w:color w:val="000000"/>
          <w:lang w:eastAsia="en-US"/>
        </w:rPr>
        <w:t>de</w:t>
      </w:r>
      <w:proofErr w:type="gramEnd"/>
      <w:r w:rsidRPr="00551C50">
        <w:rPr>
          <w:rFonts w:ascii="Arial" w:hAnsi="Arial" w:cs="Arial"/>
          <w:color w:val="000000"/>
          <w:lang w:eastAsia="en-US"/>
        </w:rPr>
        <w:t xml:space="preserve"> titularidade da empresa </w:t>
      </w:r>
      <w:r w:rsidRPr="00551C50">
        <w:rPr>
          <w:rFonts w:ascii="Arial" w:hAnsi="Arial" w:cs="Arial"/>
          <w:noProof/>
          <w:color w:val="000000"/>
          <w:lang w:eastAsia="en-US"/>
        </w:rPr>
        <w:t>Integração Transmissora de Energia S.A.</w:t>
      </w:r>
      <w:r w:rsidRPr="00551C50">
        <w:rPr>
          <w:rFonts w:ascii="Arial" w:hAnsi="Arial" w:cs="Arial"/>
          <w:color w:val="000000"/>
          <w:lang w:eastAsia="en-US"/>
        </w:rPr>
        <w:t>, inscrita no CNPJ/MF sob o n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> </w:t>
      </w:r>
      <w:r w:rsidRPr="00551C50">
        <w:rPr>
          <w:rFonts w:ascii="Arial" w:hAnsi="Arial" w:cs="Arial"/>
          <w:noProof/>
          <w:color w:val="000000"/>
          <w:lang w:eastAsia="en-US"/>
        </w:rPr>
        <w:t>07.799.081/0001-80</w:t>
      </w:r>
      <w:r w:rsidRPr="00551C50">
        <w:rPr>
          <w:rFonts w:ascii="Arial" w:hAnsi="Arial" w:cs="Arial"/>
          <w:color w:val="000000"/>
          <w:lang w:eastAsia="en-US"/>
        </w:rPr>
        <w:t>, detalhado no Anexo à presente Portaria.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551C50">
        <w:rPr>
          <w:rFonts w:ascii="Arial" w:hAnsi="Arial" w:cs="Arial"/>
          <w:b/>
          <w:color w:val="000000"/>
          <w:lang w:eastAsia="en-US"/>
        </w:rPr>
        <w:t>caput</w:t>
      </w:r>
      <w:r w:rsidRPr="00551C50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551C50">
        <w:rPr>
          <w:rFonts w:ascii="Arial" w:hAnsi="Arial" w:cs="Arial"/>
          <w:lang w:eastAsia="en-US"/>
        </w:rPr>
        <w:t>4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551C50">
        <w:rPr>
          <w:rFonts w:ascii="Arial" w:hAnsi="Arial" w:cs="Arial"/>
          <w:color w:val="000000"/>
          <w:lang w:eastAsia="en-US"/>
        </w:rPr>
        <w:t>n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551C50">
        <w:rPr>
          <w:rFonts w:ascii="Arial" w:hAnsi="Arial" w:cs="Arial"/>
          <w:color w:val="000000"/>
          <w:lang w:eastAsia="en-US"/>
        </w:rPr>
        <w:t>, de 19 de agosto de 2013.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2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551C50">
        <w:rPr>
          <w:rFonts w:ascii="Arial" w:hAnsi="Arial" w:cs="Arial"/>
          <w:noProof/>
          <w:color w:val="000000"/>
          <w:lang w:eastAsia="en-US"/>
        </w:rPr>
        <w:t>maio de 2016</w:t>
      </w:r>
      <w:r w:rsidRPr="00551C50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551C50">
        <w:rPr>
          <w:rFonts w:ascii="Arial" w:hAnsi="Arial" w:cs="Arial"/>
          <w:noProof/>
          <w:color w:val="000000"/>
          <w:lang w:eastAsia="en-US"/>
        </w:rPr>
        <w:t>Integração Transmissora de Energia S.A.</w:t>
      </w:r>
      <w:r w:rsidRPr="00551C50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3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 </w:t>
      </w:r>
      <w:r w:rsidRPr="00551C50">
        <w:rPr>
          <w:rFonts w:ascii="Arial" w:hAnsi="Arial" w:cs="Arial"/>
          <w:noProof/>
          <w:color w:val="000000"/>
          <w:lang w:eastAsia="en-US"/>
        </w:rPr>
        <w:t>Integração Transmissora de Energia S.A.</w:t>
      </w:r>
      <w:r w:rsidRPr="00551C50">
        <w:rPr>
          <w:rFonts w:ascii="Arial" w:hAnsi="Arial" w:cs="Arial"/>
          <w:lang w:eastAsia="en-US"/>
        </w:rPr>
        <w:t xml:space="preserve"> </w:t>
      </w:r>
      <w:r w:rsidRPr="00551C50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4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551C50">
        <w:rPr>
          <w:rFonts w:ascii="Arial" w:hAnsi="Arial" w:cs="Arial"/>
          <w:color w:val="FF0000"/>
          <w:lang w:eastAsia="en-US"/>
        </w:rPr>
        <w:t xml:space="preserve"> </w:t>
      </w:r>
      <w:r w:rsidRPr="00551C50">
        <w:rPr>
          <w:rFonts w:ascii="Arial" w:hAnsi="Arial" w:cs="Arial"/>
          <w:color w:val="000000"/>
          <w:lang w:eastAsia="en-US"/>
        </w:rPr>
        <w:t>de que trata esta</w:t>
      </w:r>
      <w:r w:rsidRPr="00551C50">
        <w:rPr>
          <w:rFonts w:ascii="Arial" w:hAnsi="Arial" w:cs="Arial"/>
          <w:lang w:eastAsia="en-US"/>
        </w:rPr>
        <w:t xml:space="preserve"> Portaria</w:t>
      </w:r>
      <w:r w:rsidRPr="00551C50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5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6</w:t>
      </w:r>
      <w:r w:rsidRPr="00551C50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A </w:t>
      </w:r>
      <w:r w:rsidRPr="00551C50">
        <w:rPr>
          <w:rFonts w:ascii="Arial" w:hAnsi="Arial" w:cs="Arial"/>
          <w:noProof/>
          <w:color w:val="000000"/>
          <w:lang w:eastAsia="en-US"/>
        </w:rPr>
        <w:t xml:space="preserve">Integração Transmissora de Energia S.A. </w:t>
      </w:r>
      <w:r w:rsidRPr="00551C50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551C50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551C50">
        <w:rPr>
          <w:rFonts w:ascii="Arial" w:hAnsi="Arial" w:cs="Arial"/>
          <w:color w:val="000000"/>
          <w:lang w:eastAsia="en-US"/>
        </w:rPr>
        <w:t>3</w:t>
      </w:r>
      <w:proofErr w:type="gramEnd"/>
      <w:r w:rsidRPr="00551C50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551C50">
        <w:rPr>
          <w:rFonts w:ascii="Arial" w:hAnsi="Arial" w:cs="Arial"/>
          <w:lang w:eastAsia="en-US"/>
        </w:rPr>
        <w:t>n</w:t>
      </w:r>
      <w:r w:rsidRPr="00551C50">
        <w:rPr>
          <w:rFonts w:ascii="Arial" w:hAnsi="Arial" w:cs="Arial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lang w:eastAsia="en-US"/>
        </w:rPr>
        <w:t xml:space="preserve"> 274, de 2013</w:t>
      </w:r>
      <w:r w:rsidRPr="00551C50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551C50">
        <w:rPr>
          <w:rFonts w:ascii="Arial" w:hAnsi="Arial" w:cs="Arial"/>
          <w:color w:val="000000"/>
          <w:lang w:eastAsia="en-US"/>
        </w:rPr>
        <w:t>arts</w:t>
      </w:r>
      <w:proofErr w:type="spellEnd"/>
      <w:r w:rsidRPr="00551C50">
        <w:rPr>
          <w:rFonts w:ascii="Arial" w:hAnsi="Arial" w:cs="Arial"/>
          <w:color w:val="000000"/>
          <w:lang w:eastAsia="en-US"/>
        </w:rPr>
        <w:t>.  9</w:t>
      </w:r>
      <w:r w:rsidRPr="00551C50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e 14, do Decreto n</w:t>
      </w:r>
      <w:r w:rsidRPr="00551C50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E02BED" w:rsidRPr="00551C50" w:rsidRDefault="00E02BED" w:rsidP="00E02BE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E02BED" w:rsidRPr="00551C50" w:rsidRDefault="00E02BED" w:rsidP="00E02BE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551C50">
        <w:rPr>
          <w:rFonts w:ascii="Arial" w:hAnsi="Arial" w:cs="Arial"/>
          <w:color w:val="000000"/>
          <w:lang w:eastAsia="en-US"/>
        </w:rPr>
        <w:t>Art. 7</w:t>
      </w:r>
      <w:r w:rsidRPr="00551C50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551C50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3406B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E02BED" w:rsidRPr="00551C50" w:rsidTr="00E02BED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E02BED" w:rsidRPr="00551C50" w:rsidTr="00E02BED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E02BED" w:rsidRPr="00551C50" w:rsidTr="00E02BED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noProof/>
                <w:lang w:eastAsia="en-US"/>
              </w:rPr>
              <w:t>Integração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noProof/>
                <w:color w:val="000000"/>
                <w:lang w:eastAsia="en-US"/>
              </w:rPr>
              <w:t>07.799.081/0001-80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551C50">
              <w:rPr>
                <w:rFonts w:ascii="Arial" w:hAnsi="Arial" w:cs="Arial"/>
                <w:lang w:eastAsia="en-US"/>
              </w:rPr>
              <w:t>Rua Voluntários da Pátria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126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Sala 601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22270-010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(21) 2535-0561</w:t>
            </w:r>
          </w:p>
        </w:tc>
      </w:tr>
    </w:tbl>
    <w:p w:rsidR="00E02BED" w:rsidRPr="00E02BED" w:rsidRDefault="00E02BE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E02BED" w:rsidRPr="00551C50" w:rsidTr="00E02BED">
        <w:tc>
          <w:tcPr>
            <w:tcW w:w="432" w:type="dxa"/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E02BED" w:rsidRPr="00551C50" w:rsidTr="00E02BED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E02BED" w:rsidRPr="00551C50" w:rsidRDefault="00E02BED" w:rsidP="00005102">
            <w:pPr>
              <w:rPr>
                <w:rFonts w:ascii="Arial" w:hAnsi="Arial" w:cs="Arial"/>
                <w:b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Reforços na Subestação Peixe </w:t>
            </w:r>
            <w:proofErr w:type="gramStart"/>
            <w:r w:rsidRPr="00551C50">
              <w:rPr>
                <w:rFonts w:ascii="Arial" w:hAnsi="Arial" w:cs="Arial"/>
                <w:lang w:eastAsia="en-US"/>
              </w:rPr>
              <w:t>2</w:t>
            </w:r>
            <w:proofErr w:type="gramEnd"/>
            <w:r w:rsidRPr="00551C50">
              <w:rPr>
                <w:rFonts w:ascii="Arial" w:hAnsi="Arial" w:cs="Arial"/>
                <w:lang w:eastAsia="en-US"/>
              </w:rPr>
              <w:t xml:space="preserve"> (</w:t>
            </w:r>
            <w:r w:rsidRPr="00551C50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551C50">
              <w:rPr>
                <w:rFonts w:ascii="Arial" w:hAnsi="Arial" w:cs="Arial"/>
                <w:u w:val="words"/>
                <w:vertAlign w:val="superscript"/>
                <w:lang w:eastAsia="en-US"/>
              </w:rPr>
              <w:t>o</w:t>
            </w:r>
            <w:r w:rsidRPr="00551C50">
              <w:rPr>
                <w:rFonts w:ascii="Arial" w:hAnsi="Arial" w:cs="Arial"/>
                <w:noProof/>
                <w:lang w:eastAsia="en-US"/>
              </w:rPr>
              <w:t xml:space="preserve"> 5.906, de 21 de junho de 2016</w:t>
            </w:r>
            <w:r w:rsidRPr="00551C50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E02BED" w:rsidRPr="00551C50" w:rsidTr="00E02BED">
        <w:trPr>
          <w:trHeight w:val="205"/>
        </w:trPr>
        <w:tc>
          <w:tcPr>
            <w:tcW w:w="2480" w:type="dxa"/>
            <w:gridSpan w:val="2"/>
            <w:vMerge w:val="restart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E02BED" w:rsidRPr="00551C50" w:rsidRDefault="00E02BED" w:rsidP="000051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Reforços em Instalação de Transmissão de Energia Elétrica, relativos à Subestação Peixe </w:t>
            </w:r>
            <w:proofErr w:type="gramStart"/>
            <w:r w:rsidRPr="00551C50">
              <w:rPr>
                <w:rFonts w:ascii="Arial" w:hAnsi="Arial" w:cs="Arial"/>
                <w:lang w:eastAsia="en-US"/>
              </w:rPr>
              <w:t>2</w:t>
            </w:r>
            <w:proofErr w:type="gramEnd"/>
            <w:r w:rsidRPr="00551C50">
              <w:rPr>
                <w:rFonts w:ascii="Arial" w:hAnsi="Arial" w:cs="Arial"/>
                <w:lang w:eastAsia="en-US"/>
              </w:rPr>
              <w:t>, compreendendo:</w:t>
            </w:r>
          </w:p>
        </w:tc>
      </w:tr>
      <w:tr w:rsidR="00E02BED" w:rsidRPr="00551C50" w:rsidTr="00E02BED">
        <w:trPr>
          <w:trHeight w:val="205"/>
        </w:trPr>
        <w:tc>
          <w:tcPr>
            <w:tcW w:w="2480" w:type="dxa"/>
            <w:gridSpan w:val="2"/>
            <w:vMerge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I - substituição de um Banco de Capacitores Série 500 </w:t>
            </w:r>
            <w:proofErr w:type="gramStart"/>
            <w:r w:rsidRPr="00551C50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551C50">
              <w:rPr>
                <w:rFonts w:ascii="Arial" w:hAnsi="Arial" w:cs="Arial"/>
                <w:lang w:eastAsia="en-US"/>
              </w:rPr>
              <w:t xml:space="preserve">, de 343 </w:t>
            </w:r>
            <w:proofErr w:type="spellStart"/>
            <w:r w:rsidRPr="00551C50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551C50">
              <w:rPr>
                <w:rFonts w:ascii="Arial" w:hAnsi="Arial" w:cs="Arial"/>
                <w:lang w:eastAsia="en-US"/>
              </w:rPr>
              <w:t xml:space="preserve">, com capacidade de 2.000 A, por um Banco de Capacitores Série 500 kV, de 661,88 </w:t>
            </w:r>
            <w:proofErr w:type="spellStart"/>
            <w:r w:rsidRPr="00551C50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551C50">
              <w:rPr>
                <w:rFonts w:ascii="Arial" w:hAnsi="Arial" w:cs="Arial"/>
                <w:lang w:eastAsia="en-US"/>
              </w:rPr>
              <w:t>, com capacidade de 2.500 A;</w:t>
            </w:r>
          </w:p>
        </w:tc>
      </w:tr>
      <w:tr w:rsidR="00E02BED" w:rsidRPr="00551C50" w:rsidTr="00E02BED">
        <w:trPr>
          <w:trHeight w:val="205"/>
        </w:trPr>
        <w:tc>
          <w:tcPr>
            <w:tcW w:w="2480" w:type="dxa"/>
            <w:gridSpan w:val="2"/>
            <w:vMerge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II - substituição de um Módulo de Conexão de Banco de Capacitores 500 </w:t>
            </w:r>
            <w:proofErr w:type="gramStart"/>
            <w:r w:rsidRPr="00551C50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551C50">
              <w:rPr>
                <w:rFonts w:ascii="Arial" w:hAnsi="Arial" w:cs="Arial"/>
                <w:lang w:eastAsia="en-US"/>
              </w:rPr>
              <w:t>; e</w:t>
            </w:r>
          </w:p>
        </w:tc>
      </w:tr>
      <w:tr w:rsidR="00E02BED" w:rsidRPr="00551C50" w:rsidTr="00E02BED">
        <w:trPr>
          <w:trHeight w:val="205"/>
        </w:trPr>
        <w:tc>
          <w:tcPr>
            <w:tcW w:w="2480" w:type="dxa"/>
            <w:gridSpan w:val="2"/>
            <w:vMerge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III - complementação do Módulo de Infraestrutura Geral referente à substituição de Banco de Capacitores Série.</w:t>
            </w:r>
          </w:p>
        </w:tc>
      </w:tr>
      <w:tr w:rsidR="00E02BED" w:rsidRPr="00551C50" w:rsidTr="00E02BED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De 27/6/2016 a 31/12/2017.</w:t>
            </w:r>
          </w:p>
        </w:tc>
      </w:tr>
      <w:tr w:rsidR="00E02BED" w:rsidRPr="00551C50" w:rsidTr="00E02BED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Localidade do Projeto [Município/UF]</w:t>
            </w:r>
          </w:p>
        </w:tc>
        <w:tc>
          <w:tcPr>
            <w:tcW w:w="7938" w:type="dxa"/>
          </w:tcPr>
          <w:p w:rsidR="00E02BED" w:rsidRPr="00551C50" w:rsidRDefault="00E02BED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Município de Peixe, Estado do Tocantins.</w:t>
            </w:r>
          </w:p>
        </w:tc>
      </w:tr>
    </w:tbl>
    <w:p w:rsidR="00E02BED" w:rsidRPr="00E02BED" w:rsidRDefault="00E02BE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301"/>
        <w:gridCol w:w="3685"/>
      </w:tblGrid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551C50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E02BED" w:rsidRPr="00551C50" w:rsidTr="00E02BED">
        <w:trPr>
          <w:trHeight w:hRule="exact" w:val="284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Nome: Marcelo Pedreira de Oliveira.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CPF: 003.623.457-59.</w:t>
            </w:r>
          </w:p>
        </w:tc>
      </w:tr>
      <w:tr w:rsidR="00E02BED" w:rsidRPr="00551C50" w:rsidTr="00E02BED">
        <w:trPr>
          <w:trHeight w:hRule="exact" w:val="284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Nome: Rubem Ricardo Outeiro de Azevedo Lima.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CPF: 244.409.811-00.</w:t>
            </w:r>
          </w:p>
        </w:tc>
      </w:tr>
      <w:tr w:rsidR="00E02BED" w:rsidRPr="00551C50" w:rsidTr="00E02BED">
        <w:trPr>
          <w:trHeight w:hRule="exact" w:val="284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Nome: Rosane Cristina Marques de Souza.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 xml:space="preserve">CPF: 002.074.367-03. </w:t>
            </w:r>
          </w:p>
        </w:tc>
      </w:tr>
    </w:tbl>
    <w:p w:rsidR="00E02BED" w:rsidRPr="00E02BED" w:rsidRDefault="00E02BE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E02BED" w:rsidRPr="00551C50" w:rsidTr="00E02BE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97.446.244,67.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7.511.309,07.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8.859.990,38.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b/>
                <w:lang w:eastAsia="en-US"/>
              </w:rPr>
            </w:pPr>
            <w:r w:rsidRPr="00551C50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551C50">
              <w:rPr>
                <w:rFonts w:ascii="Arial" w:hAnsi="Arial" w:cs="Arial"/>
                <w:b/>
                <w:lang w:eastAsia="en-US"/>
              </w:rPr>
              <w:t>113.817.544,12</w:t>
            </w:r>
            <w:r w:rsidRPr="00E02BE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02BED" w:rsidRPr="00E02BED" w:rsidRDefault="00E02BE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E02BED" w:rsidRPr="00551C50" w:rsidTr="00E02B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D" w:rsidRPr="00551C50" w:rsidRDefault="00E02BED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E02BED" w:rsidRPr="00551C50" w:rsidRDefault="00E02BED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551C50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E02BED" w:rsidRPr="00551C50" w:rsidTr="00E02BE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89.104.846,13.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6.868.341,01.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551C50">
              <w:rPr>
                <w:rFonts w:ascii="Arial" w:hAnsi="Arial" w:cs="Arial"/>
                <w:lang w:eastAsia="en-US"/>
              </w:rPr>
              <w:t>8.102.859,39.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02BED" w:rsidRPr="00551C50" w:rsidTr="00E02BE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rPr>
                <w:rFonts w:ascii="Arial" w:hAnsi="Arial" w:cs="Arial"/>
                <w:b/>
                <w:lang w:eastAsia="en-US"/>
              </w:rPr>
            </w:pPr>
            <w:r w:rsidRPr="00551C50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2BED" w:rsidRPr="00551C50" w:rsidRDefault="00E02BED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551C50">
              <w:rPr>
                <w:rFonts w:ascii="Arial" w:hAnsi="Arial" w:cs="Arial"/>
                <w:b/>
                <w:lang w:eastAsia="en-US"/>
              </w:rPr>
              <w:t>104.076.046,53</w:t>
            </w:r>
            <w:r w:rsidRPr="00E02BE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BED" w:rsidRPr="00551C50" w:rsidRDefault="00E02BED" w:rsidP="00005102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C44D1" w:rsidRPr="0054798C" w:rsidRDefault="000C44D1" w:rsidP="00E02BE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22" w:rsidRDefault="009B5F22">
      <w:r>
        <w:separator/>
      </w:r>
    </w:p>
  </w:endnote>
  <w:endnote w:type="continuationSeparator" w:id="0">
    <w:p w:rsidR="009B5F22" w:rsidRDefault="009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22" w:rsidRDefault="009B5F22">
      <w:r>
        <w:separator/>
      </w:r>
    </w:p>
  </w:footnote>
  <w:footnote w:type="continuationSeparator" w:id="0">
    <w:p w:rsidR="009B5F22" w:rsidRDefault="009B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B5F22" w:rsidRPr="00A93206" w:rsidRDefault="009B5F2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22" w:rsidRDefault="009B5F2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</w:t>
    </w:r>
    <w:r w:rsidR="00E02BED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34D1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B5F22" w:rsidRDefault="009B5F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D11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9393-7FBF-4C1C-9F89-EDF8C8A9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3841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2016-08-25T14:40:00Z</dcterms:created>
  <dcterms:modified xsi:type="dcterms:W3CDTF">2016-08-25T14:40:00Z</dcterms:modified>
</cp:coreProperties>
</file>