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5858E7">
        <w:rPr>
          <w:rFonts w:ascii="Arial" w:hAnsi="Arial" w:cs="Arial"/>
          <w:b/>
          <w:bCs/>
          <w:color w:val="000080"/>
        </w:rPr>
        <w:t>3</w:t>
      </w:r>
      <w:r w:rsidR="001708DC">
        <w:rPr>
          <w:rFonts w:ascii="Arial" w:hAnsi="Arial" w:cs="Arial"/>
          <w:b/>
          <w:bCs/>
          <w:color w:val="000080"/>
        </w:rPr>
        <w:t>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34940">
        <w:rPr>
          <w:rFonts w:ascii="Arial" w:hAnsi="Arial" w:cs="Arial"/>
          <w:b/>
          <w:bCs/>
          <w:color w:val="000080"/>
        </w:rPr>
        <w:t>1</w:t>
      </w:r>
      <w:r w:rsidR="001708DC">
        <w:rPr>
          <w:rFonts w:ascii="Arial" w:hAnsi="Arial" w:cs="Arial"/>
          <w:b/>
          <w:bCs/>
          <w:color w:val="000080"/>
        </w:rPr>
        <w:t>5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708DC" w:rsidRPr="00B522D4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  <w:r w:rsidRPr="00B522D4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B522D4">
        <w:rPr>
          <w:rFonts w:ascii="Arial" w:hAnsi="Arial" w:cs="Arial"/>
          <w:color w:val="000000"/>
        </w:rPr>
        <w:t>, no uso da competência que lhe foi delegada pelo art. 1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>, inciso I, da Portaria MME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do Decreto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6.144, de 3 de julho de 2007, no art. 4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>, da Portaria MME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310, de 12 de setembro de 2013, e o que consta do Processo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48500.005383/2016-73, resolve:</w:t>
      </w:r>
    </w:p>
    <w:p w:rsidR="001708DC" w:rsidRPr="00B522D4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</w:p>
    <w:p w:rsidR="001708DC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  <w:r w:rsidRPr="00B522D4">
        <w:rPr>
          <w:rFonts w:ascii="Arial" w:hAnsi="Arial" w:cs="Arial"/>
          <w:color w:val="000000"/>
        </w:rPr>
        <w:t>Art. 1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Central Geradora Hidrelétrica denominada CGH Água Quente, de titularidade da empresa Hidroelétrica Água Quente Ltda., inscrita no CNPJ/MF sob o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> 22.240.408/0001-73, detalhado no Anexo à presente Portaria.</w:t>
      </w:r>
    </w:p>
    <w:p w:rsidR="001708DC" w:rsidRPr="00B522D4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</w:p>
    <w:p w:rsidR="001708DC" w:rsidRPr="00B522D4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  <w:r w:rsidRPr="00B522D4">
        <w:rPr>
          <w:rFonts w:ascii="Arial" w:hAnsi="Arial" w:cs="Arial"/>
          <w:color w:val="000000"/>
        </w:rPr>
        <w:t>Parágrafo único. O projeto de que trata o </w:t>
      </w:r>
      <w:r w:rsidRPr="00B522D4">
        <w:rPr>
          <w:rFonts w:ascii="Arial" w:hAnsi="Arial" w:cs="Arial"/>
          <w:b/>
          <w:bCs/>
          <w:color w:val="000000"/>
        </w:rPr>
        <w:t>caput</w:t>
      </w:r>
      <w:r w:rsidRPr="00B522D4">
        <w:rPr>
          <w:rFonts w:ascii="Arial" w:hAnsi="Arial" w:cs="Arial"/>
          <w:color w:val="000000"/>
        </w:rPr>
        <w:t>, autorizado por meio da Licença de Instalação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66487/2016, de 14 de outubro de 2016, emitida pela Secretaria de Estado do Meio Ambiente - SEMA/MT, é alcançado pelo art. 1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da Portaria MME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310, de 12 de setembro de 2013.</w:t>
      </w:r>
    </w:p>
    <w:p w:rsidR="001708DC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</w:p>
    <w:p w:rsidR="001708DC" w:rsidRPr="00B522D4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  <w:r w:rsidRPr="00B522D4">
        <w:rPr>
          <w:rFonts w:ascii="Arial" w:hAnsi="Arial" w:cs="Arial"/>
          <w:color w:val="000000"/>
        </w:rPr>
        <w:t>Art. 2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As estimativas dos investimentos têm por base o mês de setembro de 2016 e são de exclusiva responsabilidade da Hidroelétrica Água Quente Ltda., cuja razoabilidade foi atestada pela Empresa de Pesquisa Energética - EPE.</w:t>
      </w:r>
    </w:p>
    <w:p w:rsidR="001708DC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</w:p>
    <w:p w:rsidR="001708DC" w:rsidRPr="00B522D4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  <w:r w:rsidRPr="00B522D4">
        <w:rPr>
          <w:rFonts w:ascii="Arial" w:hAnsi="Arial" w:cs="Arial"/>
          <w:color w:val="000000"/>
        </w:rPr>
        <w:t>Art. 3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A Hidroelétrica Água Quente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1708DC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</w:p>
    <w:p w:rsidR="001708DC" w:rsidRPr="00B522D4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  <w:r w:rsidRPr="00B522D4">
        <w:rPr>
          <w:rFonts w:ascii="Arial" w:hAnsi="Arial" w:cs="Arial"/>
          <w:color w:val="000000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1708DC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</w:p>
    <w:p w:rsidR="001708DC" w:rsidRPr="00B522D4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  <w:r w:rsidRPr="00B522D4">
        <w:rPr>
          <w:rFonts w:ascii="Arial" w:hAnsi="Arial" w:cs="Arial"/>
          <w:color w:val="000000"/>
        </w:rPr>
        <w:t>Art. 4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708DC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</w:p>
    <w:p w:rsidR="001708DC" w:rsidRPr="00B522D4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  <w:r w:rsidRPr="00B522D4">
        <w:rPr>
          <w:rFonts w:ascii="Arial" w:hAnsi="Arial" w:cs="Arial"/>
          <w:color w:val="000000"/>
        </w:rPr>
        <w:t>Art. 5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708DC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</w:p>
    <w:p w:rsidR="001708DC" w:rsidRPr="00B522D4" w:rsidRDefault="001708DC" w:rsidP="001708DC">
      <w:pPr>
        <w:ind w:firstLine="1134"/>
        <w:jc w:val="both"/>
        <w:rPr>
          <w:rFonts w:ascii="Arial" w:hAnsi="Arial" w:cs="Arial"/>
          <w:color w:val="000000"/>
        </w:rPr>
      </w:pPr>
      <w:r w:rsidRPr="00B522D4">
        <w:rPr>
          <w:rFonts w:ascii="Arial" w:hAnsi="Arial" w:cs="Arial"/>
          <w:color w:val="000000"/>
        </w:rPr>
        <w:t>Art. 6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A Hidroelétrica Água Quente Ltda. deverá observar, no que couber, as disposições constantes na Lei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11.488, de 15 de junho de 2007, no Decreto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6.144, de 2007, na Portaria MME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310, de 2013, e na legislação e normas vigentes e supervenientes, sujeitando-se às penalidades legais, inclusive aquelas previstas nos artigos 9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e 14, do Decreto n</w:t>
      </w:r>
      <w:r w:rsidRPr="001708DC">
        <w:rPr>
          <w:rFonts w:ascii="Arial" w:hAnsi="Arial" w:cs="Arial"/>
          <w:color w:val="000000"/>
          <w:u w:val="words"/>
          <w:vertAlign w:val="superscript"/>
        </w:rPr>
        <w:t>o</w:t>
      </w:r>
      <w:r w:rsidRPr="00B522D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708DC" w:rsidRDefault="001708DC" w:rsidP="001708DC">
      <w:pPr>
        <w:pStyle w:val="Default"/>
        <w:tabs>
          <w:tab w:val="left" w:pos="780"/>
          <w:tab w:val="center" w:pos="5103"/>
        </w:tabs>
        <w:ind w:firstLine="1134"/>
      </w:pPr>
    </w:p>
    <w:p w:rsidR="00700221" w:rsidRDefault="001708DC" w:rsidP="001708DC">
      <w:pPr>
        <w:pStyle w:val="Default"/>
        <w:tabs>
          <w:tab w:val="left" w:pos="780"/>
          <w:tab w:val="center" w:pos="5103"/>
        </w:tabs>
        <w:ind w:firstLine="1134"/>
      </w:pPr>
      <w:r w:rsidRPr="00B522D4">
        <w:t>Art. 7</w:t>
      </w:r>
      <w:r w:rsidRPr="001708DC">
        <w:rPr>
          <w:u w:val="words"/>
          <w:vertAlign w:val="superscript"/>
        </w:rPr>
        <w:t>o</w:t>
      </w:r>
      <w:r w:rsidRPr="00B522D4"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B30EF">
        <w:rPr>
          <w:rFonts w:ascii="Arial" w:hAnsi="Arial" w:cs="Arial"/>
          <w:color w:val="FF0000"/>
        </w:rPr>
        <w:t>1</w:t>
      </w:r>
      <w:r w:rsidR="001708DC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567"/>
        <w:gridCol w:w="2268"/>
        <w:gridCol w:w="1700"/>
        <w:gridCol w:w="759"/>
        <w:gridCol w:w="2635"/>
      </w:tblGrid>
      <w:tr w:rsidR="001708DC" w:rsidRPr="00B522D4" w:rsidTr="00E91502">
        <w:trPr>
          <w:tblHeader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522D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1708DC" w:rsidRPr="00B522D4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1708DC" w:rsidRPr="00B522D4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36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01 - Nome Empresarial</w:t>
            </w:r>
          </w:p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Hidroelétrica Água Quente Ltda.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02 - CNPJ</w:t>
            </w:r>
          </w:p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22.240.408/0001-73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36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03 - Logradouro</w:t>
            </w:r>
          </w:p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Rodovia BR-364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04 - Número</w:t>
            </w:r>
          </w:p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s/n</w:t>
            </w:r>
            <w:r w:rsidRPr="001708DC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24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05 - Complemento</w:t>
            </w:r>
          </w:p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Km 1105, 7 km à esquerda</w:t>
            </w:r>
          </w:p>
        </w:tc>
        <w:tc>
          <w:tcPr>
            <w:tcW w:w="12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06 - Bairro/Distrito</w:t>
            </w:r>
          </w:p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07 - CEP</w:t>
            </w:r>
          </w:p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78365-000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24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08 - Município</w:t>
            </w:r>
          </w:p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Sapezal</w:t>
            </w:r>
          </w:p>
        </w:tc>
        <w:tc>
          <w:tcPr>
            <w:tcW w:w="12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09 - UF</w:t>
            </w:r>
          </w:p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MT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10 - Telefone</w:t>
            </w:r>
          </w:p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(65) 3645-8000</w:t>
            </w:r>
          </w:p>
        </w:tc>
      </w:tr>
      <w:tr w:rsidR="001708DC" w:rsidRPr="00B522D4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1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1708DC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CGH Água Quente (Autorizada pela Licença de Instalação n</w:t>
            </w:r>
            <w:r w:rsidRPr="001708DC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B522D4">
              <w:rPr>
                <w:rFonts w:ascii="Arial" w:hAnsi="Arial" w:cs="Arial"/>
                <w:color w:val="000000"/>
              </w:rPr>
              <w:t xml:space="preserve"> 66487/2016, de 14 de outubro de 2016, emitida pela Secretaria de Estado do Meio Ambiente - SEMA/MT).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128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1708DC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Central Geradora Hidrelétrica denominada CGH Água Quente, compreendendo: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128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1708DC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I - Uma Unidade Geradora, totalizando 3.000 kW de capacidade instalada; e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128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1708DC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4,16/34,5 kV, junto à Usina, e uma Linha em 34,5 kV, com cerca de oito quilômetros de extensão, circuito Simples, interligando a Subestação Elevadora ao Alimentador 068012 da Subestação Sapezal, de propriedade da </w:t>
            </w:r>
            <w:proofErr w:type="spellStart"/>
            <w:r w:rsidRPr="00B522D4">
              <w:rPr>
                <w:rFonts w:ascii="Arial" w:hAnsi="Arial" w:cs="Arial"/>
                <w:color w:val="000000"/>
              </w:rPr>
              <w:t>Energisa</w:t>
            </w:r>
            <w:proofErr w:type="spellEnd"/>
            <w:r w:rsidRPr="00B522D4">
              <w:rPr>
                <w:rFonts w:ascii="Arial" w:hAnsi="Arial" w:cs="Arial"/>
                <w:color w:val="000000"/>
              </w:rPr>
              <w:t xml:space="preserve"> Mato Grosso.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1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De 01/01/2017 a 01/01/2019.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1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CC191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Município de Sapezal, Estado d</w:t>
            </w:r>
            <w:r w:rsidR="00CC1914">
              <w:rPr>
                <w:rFonts w:ascii="Arial" w:hAnsi="Arial" w:cs="Arial"/>
                <w:color w:val="000000"/>
              </w:rPr>
              <w:t>e</w:t>
            </w:r>
            <w:bookmarkStart w:id="0" w:name="_GoBack"/>
            <w:bookmarkEnd w:id="0"/>
            <w:r w:rsidRPr="00B522D4">
              <w:rPr>
                <w:rFonts w:ascii="Arial" w:hAnsi="Arial" w:cs="Arial"/>
                <w:color w:val="000000"/>
              </w:rPr>
              <w:t xml:space="preserve"> Mato Grosso.</w:t>
            </w:r>
          </w:p>
        </w:tc>
      </w:tr>
      <w:tr w:rsidR="001708DC" w:rsidRPr="00B522D4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1708DC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32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522D4">
              <w:rPr>
                <w:rFonts w:ascii="Arial" w:hAnsi="Arial" w:cs="Arial"/>
                <w:color w:val="000000"/>
              </w:rPr>
              <w:t>Kleverson</w:t>
            </w:r>
            <w:proofErr w:type="spellEnd"/>
            <w:r w:rsidRPr="00B522D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522D4">
              <w:rPr>
                <w:rFonts w:ascii="Arial" w:hAnsi="Arial" w:cs="Arial"/>
                <w:color w:val="000000"/>
              </w:rPr>
              <w:t>Scheffer</w:t>
            </w:r>
            <w:proofErr w:type="spellEnd"/>
          </w:p>
        </w:tc>
        <w:tc>
          <w:tcPr>
            <w:tcW w:w="1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CPF: 941.780.201-10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32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 xml:space="preserve">Nome: Lívio Costa </w:t>
            </w:r>
            <w:proofErr w:type="spellStart"/>
            <w:r w:rsidRPr="00B522D4">
              <w:rPr>
                <w:rFonts w:ascii="Arial" w:hAnsi="Arial" w:cs="Arial"/>
                <w:color w:val="000000"/>
              </w:rPr>
              <w:t>Recedive</w:t>
            </w:r>
            <w:proofErr w:type="spellEnd"/>
          </w:p>
        </w:tc>
        <w:tc>
          <w:tcPr>
            <w:tcW w:w="1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CPF: 039.462.696-64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32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 xml:space="preserve">Nome: Giancarlo </w:t>
            </w:r>
            <w:proofErr w:type="spellStart"/>
            <w:r w:rsidRPr="00B522D4">
              <w:rPr>
                <w:rFonts w:ascii="Arial" w:hAnsi="Arial" w:cs="Arial"/>
                <w:color w:val="000000"/>
              </w:rPr>
              <w:t>Morini</w:t>
            </w:r>
            <w:proofErr w:type="spellEnd"/>
            <w:r w:rsidRPr="00B522D4">
              <w:rPr>
                <w:rFonts w:ascii="Arial" w:hAnsi="Arial" w:cs="Arial"/>
                <w:color w:val="000000"/>
              </w:rPr>
              <w:t xml:space="preserve"> Marques</w:t>
            </w:r>
          </w:p>
        </w:tc>
        <w:tc>
          <w:tcPr>
            <w:tcW w:w="1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CPF: 034.732.889-00</w:t>
            </w:r>
          </w:p>
        </w:tc>
      </w:tr>
      <w:tr w:rsidR="001708DC" w:rsidRPr="00B522D4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00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11.617.682,00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00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1.957.366,00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00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1.357.504,00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400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b/>
                <w:bCs/>
                <w:color w:val="000000"/>
              </w:rPr>
              <w:t>14.932.552,00</w:t>
            </w:r>
          </w:p>
        </w:tc>
      </w:tr>
      <w:tr w:rsidR="001708DC" w:rsidRPr="00B522D4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1708DC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00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10.804.444,00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00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1.839.924,00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00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color w:val="000000"/>
              </w:rPr>
              <w:t>1.357.504,00</w:t>
            </w:r>
          </w:p>
        </w:tc>
      </w:tr>
      <w:tr w:rsidR="001708DC" w:rsidRPr="00B522D4" w:rsidTr="001708DC">
        <w:trPr>
          <w:tblCellSpacing w:w="0" w:type="dxa"/>
          <w:jc w:val="center"/>
        </w:trPr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400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8DC" w:rsidRPr="00B522D4" w:rsidRDefault="001708DC" w:rsidP="00E9150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522D4">
              <w:rPr>
                <w:rFonts w:ascii="Arial" w:hAnsi="Arial" w:cs="Arial"/>
                <w:b/>
                <w:bCs/>
                <w:color w:val="000000"/>
              </w:rPr>
              <w:t>14.001.872,00</w:t>
            </w:r>
          </w:p>
        </w:tc>
      </w:tr>
    </w:tbl>
    <w:p w:rsidR="00F32DF7" w:rsidRPr="001A1834" w:rsidRDefault="00F32DF7" w:rsidP="001708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0687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5858E7">
      <w:rPr>
        <w:rFonts w:ascii="Arial" w:hAnsi="Arial" w:cs="Arial"/>
      </w:rPr>
      <w:t>3</w:t>
    </w:r>
    <w:r w:rsidR="001708DC">
      <w:rPr>
        <w:rFonts w:ascii="Arial" w:hAnsi="Arial" w:cs="Arial"/>
      </w:rPr>
      <w:t>1</w:t>
    </w:r>
    <w:r w:rsidRPr="00804BC7">
      <w:rPr>
        <w:rFonts w:ascii="Arial" w:hAnsi="Arial" w:cs="Arial"/>
      </w:rPr>
      <w:t xml:space="preserve">, de  </w:t>
    </w:r>
    <w:r w:rsidR="00134940">
      <w:rPr>
        <w:rFonts w:ascii="Arial" w:hAnsi="Arial" w:cs="Arial"/>
      </w:rPr>
      <w:t>1</w:t>
    </w:r>
    <w:r w:rsidR="001708DC">
      <w:rPr>
        <w:rFonts w:ascii="Arial" w:hAnsi="Arial" w:cs="Arial"/>
      </w:rPr>
      <w:t>5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CC1914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CC19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8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0289"/>
    <o:shapelayout v:ext="edit">
      <o:idmap v:ext="edit" data="1"/>
    </o:shapelayout>
  </w:shapeDefaults>
  <w:decimalSymbol w:val=","/>
  <w:listSeparator w:val=";"/>
  <w14:docId w14:val="797AF29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D295-3B7C-4B83-B5B9-70A9B355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2017-05-17T10:53:00Z</dcterms:created>
  <dcterms:modified xsi:type="dcterms:W3CDTF">2017-05-17T11:22:00Z</dcterms:modified>
</cp:coreProperties>
</file>