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3B3CCD">
        <w:rPr>
          <w:rFonts w:ascii="Arial" w:hAnsi="Arial" w:cs="Arial"/>
          <w:b/>
          <w:bCs/>
          <w:color w:val="000080"/>
        </w:rPr>
        <w:t>27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3B3CCD">
        <w:rPr>
          <w:rFonts w:ascii="Arial" w:hAnsi="Arial" w:cs="Arial"/>
          <w:b/>
          <w:bCs/>
          <w:color w:val="000080"/>
        </w:rPr>
        <w:t>9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E9792D">
        <w:rPr>
          <w:rFonts w:ascii="Arial" w:hAnsi="Arial" w:cs="Arial"/>
          <w:b/>
          <w:bCs/>
          <w:color w:val="000080"/>
        </w:rPr>
        <w:t xml:space="preserve">MAIO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B3CCD" w:rsidRPr="00164548" w:rsidRDefault="003B3CCD" w:rsidP="003B3CCD">
      <w:pPr>
        <w:ind w:firstLine="1134"/>
        <w:jc w:val="both"/>
        <w:rPr>
          <w:rFonts w:ascii="Arial" w:hAnsi="Arial" w:cs="Arial"/>
          <w:color w:val="000000"/>
        </w:rPr>
      </w:pPr>
      <w:r w:rsidRPr="00164548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164548">
        <w:rPr>
          <w:rFonts w:ascii="Arial" w:hAnsi="Arial" w:cs="Arial"/>
          <w:color w:val="000000"/>
        </w:rPr>
        <w:t>, no uso da competência que lhe foi delegada pelo art. 1</w:t>
      </w:r>
      <w:bookmarkStart w:id="0" w:name="_GoBack"/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164548">
        <w:rPr>
          <w:rFonts w:ascii="Arial" w:hAnsi="Arial" w:cs="Arial"/>
          <w:color w:val="000000"/>
        </w:rPr>
        <w:t>, inciso I, da Portaria MME n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281, de 29 de junho de 2016, tendo em vista o disposto no art. 6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do Decreto n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6.144, de 3 de julho de 2007, no art. 4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>, da Portaria MME n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310, de 12 de setembro de 2013, e o que consta do Processo n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48500.004150/2016-53, resolve:</w:t>
      </w:r>
    </w:p>
    <w:p w:rsidR="003B3CCD" w:rsidRDefault="003B3CCD" w:rsidP="003B3CCD">
      <w:pPr>
        <w:ind w:firstLine="1134"/>
        <w:jc w:val="both"/>
        <w:rPr>
          <w:rFonts w:ascii="Arial" w:hAnsi="Arial" w:cs="Arial"/>
          <w:color w:val="000000"/>
        </w:rPr>
      </w:pPr>
    </w:p>
    <w:p w:rsidR="003B3CCD" w:rsidRPr="00164548" w:rsidRDefault="003B3CCD" w:rsidP="003B3CCD">
      <w:pPr>
        <w:ind w:firstLine="1134"/>
        <w:jc w:val="both"/>
        <w:rPr>
          <w:rFonts w:ascii="Arial" w:hAnsi="Arial" w:cs="Arial"/>
          <w:color w:val="000000"/>
        </w:rPr>
      </w:pPr>
      <w:r w:rsidRPr="00164548">
        <w:rPr>
          <w:rFonts w:ascii="Arial" w:hAnsi="Arial" w:cs="Arial"/>
          <w:color w:val="000000"/>
        </w:rPr>
        <w:t>Art. 1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correspondente à ampliação da Pequena Central Hidrelétrica denominada PCH Santa Luzia Alto, cadastrada com o Código Único do Empreendimento de Geração - CEG: PCH.PHS.SC.029652-0, de titularidade da empresa Santa Luzia Energética S.A., inscrita no CNPJ/MF sob o n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> 08.377.974/0001-09, detalhado no Anexo à presente Portaria.</w:t>
      </w:r>
    </w:p>
    <w:p w:rsidR="003B3CCD" w:rsidRDefault="003B3CCD" w:rsidP="003B3CCD">
      <w:pPr>
        <w:ind w:firstLine="1134"/>
        <w:jc w:val="both"/>
        <w:rPr>
          <w:rFonts w:ascii="Arial" w:hAnsi="Arial" w:cs="Arial"/>
          <w:color w:val="000000"/>
        </w:rPr>
      </w:pPr>
    </w:p>
    <w:p w:rsidR="003B3CCD" w:rsidRPr="00164548" w:rsidRDefault="003B3CCD" w:rsidP="003B3CCD">
      <w:pPr>
        <w:ind w:firstLine="1134"/>
        <w:jc w:val="both"/>
        <w:rPr>
          <w:rFonts w:ascii="Arial" w:hAnsi="Arial" w:cs="Arial"/>
          <w:color w:val="000000"/>
        </w:rPr>
      </w:pPr>
      <w:r w:rsidRPr="00164548">
        <w:rPr>
          <w:rFonts w:ascii="Arial" w:hAnsi="Arial" w:cs="Arial"/>
          <w:color w:val="000000"/>
        </w:rPr>
        <w:t>Parágrafo único. O projeto de que trata o </w:t>
      </w:r>
      <w:r w:rsidRPr="00164548">
        <w:rPr>
          <w:rFonts w:ascii="Arial" w:hAnsi="Arial" w:cs="Arial"/>
          <w:b/>
          <w:bCs/>
          <w:color w:val="000000"/>
        </w:rPr>
        <w:t>caput</w:t>
      </w:r>
      <w:r w:rsidRPr="00164548">
        <w:rPr>
          <w:rFonts w:ascii="Arial" w:hAnsi="Arial" w:cs="Arial"/>
          <w:color w:val="000000"/>
        </w:rPr>
        <w:t>, autorizado por meio da Portaria MME n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352, de 20 de dezembro de 2007, e ampliado por meio do Despacho ANEEL n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934, de 15 de abril de 2016, é alcançado pelo art. 1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da Portaria MME n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310, de 12 de setembro de 2013.</w:t>
      </w:r>
    </w:p>
    <w:p w:rsidR="003B3CCD" w:rsidRDefault="003B3CCD" w:rsidP="003B3CCD">
      <w:pPr>
        <w:ind w:firstLine="1134"/>
        <w:jc w:val="both"/>
        <w:rPr>
          <w:rFonts w:ascii="Arial" w:hAnsi="Arial" w:cs="Arial"/>
          <w:color w:val="000000"/>
        </w:rPr>
      </w:pPr>
    </w:p>
    <w:p w:rsidR="003B3CCD" w:rsidRPr="00164548" w:rsidRDefault="003B3CCD" w:rsidP="003B3CCD">
      <w:pPr>
        <w:ind w:firstLine="1134"/>
        <w:jc w:val="both"/>
        <w:rPr>
          <w:rFonts w:ascii="Arial" w:hAnsi="Arial" w:cs="Arial"/>
          <w:color w:val="000000"/>
        </w:rPr>
      </w:pPr>
      <w:r w:rsidRPr="00164548">
        <w:rPr>
          <w:rFonts w:ascii="Arial" w:hAnsi="Arial" w:cs="Arial"/>
          <w:color w:val="000000"/>
        </w:rPr>
        <w:t>Art. 2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As estimativas dos investimentos têm por base o mês de junho de 2016 e são de exclusiva responsabilidade da Santa Luzia Energética S.A., cuja razoabilidade foi atestada pela Empresa de Pesquisa Energética - EPE.</w:t>
      </w:r>
    </w:p>
    <w:p w:rsidR="003B3CCD" w:rsidRDefault="003B3CCD" w:rsidP="003B3CCD">
      <w:pPr>
        <w:ind w:firstLine="1134"/>
        <w:jc w:val="both"/>
        <w:rPr>
          <w:rFonts w:ascii="Arial" w:hAnsi="Arial" w:cs="Arial"/>
          <w:color w:val="000000"/>
        </w:rPr>
      </w:pPr>
    </w:p>
    <w:p w:rsidR="003B3CCD" w:rsidRPr="00164548" w:rsidRDefault="003B3CCD" w:rsidP="003B3CCD">
      <w:pPr>
        <w:ind w:firstLine="1134"/>
        <w:jc w:val="both"/>
        <w:rPr>
          <w:rFonts w:ascii="Arial" w:hAnsi="Arial" w:cs="Arial"/>
          <w:color w:val="000000"/>
        </w:rPr>
      </w:pPr>
      <w:r w:rsidRPr="00164548">
        <w:rPr>
          <w:rFonts w:ascii="Arial" w:hAnsi="Arial" w:cs="Arial"/>
          <w:color w:val="000000"/>
        </w:rPr>
        <w:t>Art. 3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A Santa Luzia Energética S.A.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3B3CCD" w:rsidRDefault="003B3CCD" w:rsidP="003B3CCD">
      <w:pPr>
        <w:ind w:firstLine="1134"/>
        <w:jc w:val="both"/>
        <w:rPr>
          <w:rFonts w:ascii="Arial" w:hAnsi="Arial" w:cs="Arial"/>
          <w:color w:val="000000"/>
        </w:rPr>
      </w:pPr>
    </w:p>
    <w:p w:rsidR="003B3CCD" w:rsidRPr="00164548" w:rsidRDefault="003B3CCD" w:rsidP="003B3CCD">
      <w:pPr>
        <w:ind w:firstLine="1134"/>
        <w:jc w:val="both"/>
        <w:rPr>
          <w:rFonts w:ascii="Arial" w:hAnsi="Arial" w:cs="Arial"/>
          <w:color w:val="000000"/>
        </w:rPr>
      </w:pPr>
      <w:r w:rsidRPr="00164548">
        <w:rPr>
          <w:rFonts w:ascii="Arial" w:hAnsi="Arial" w:cs="Arial"/>
          <w:color w:val="000000"/>
        </w:rPr>
        <w:t>Art. 4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B3CCD" w:rsidRDefault="003B3CCD" w:rsidP="003B3CCD">
      <w:pPr>
        <w:ind w:firstLine="1134"/>
        <w:jc w:val="both"/>
        <w:rPr>
          <w:rFonts w:ascii="Arial" w:hAnsi="Arial" w:cs="Arial"/>
          <w:color w:val="000000"/>
        </w:rPr>
      </w:pPr>
    </w:p>
    <w:p w:rsidR="003B3CCD" w:rsidRPr="00164548" w:rsidRDefault="003B3CCD" w:rsidP="003B3CCD">
      <w:pPr>
        <w:ind w:firstLine="1134"/>
        <w:jc w:val="both"/>
        <w:rPr>
          <w:rFonts w:ascii="Arial" w:hAnsi="Arial" w:cs="Arial"/>
          <w:color w:val="000000"/>
        </w:rPr>
      </w:pPr>
      <w:r w:rsidRPr="00164548">
        <w:rPr>
          <w:rFonts w:ascii="Arial" w:hAnsi="Arial" w:cs="Arial"/>
          <w:color w:val="000000"/>
        </w:rPr>
        <w:t>Art. 5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3B3CCD" w:rsidRDefault="003B3CCD" w:rsidP="003B3CCD">
      <w:pPr>
        <w:ind w:firstLine="1134"/>
        <w:jc w:val="both"/>
        <w:rPr>
          <w:rFonts w:ascii="Arial" w:hAnsi="Arial" w:cs="Arial"/>
          <w:color w:val="000000"/>
        </w:rPr>
      </w:pPr>
    </w:p>
    <w:p w:rsidR="003B3CCD" w:rsidRPr="00164548" w:rsidRDefault="003B3CCD" w:rsidP="003B3CCD">
      <w:pPr>
        <w:ind w:firstLine="1134"/>
        <w:jc w:val="both"/>
        <w:rPr>
          <w:rFonts w:ascii="Arial" w:hAnsi="Arial" w:cs="Arial"/>
          <w:color w:val="000000"/>
        </w:rPr>
      </w:pPr>
      <w:r w:rsidRPr="00164548">
        <w:rPr>
          <w:rFonts w:ascii="Arial" w:hAnsi="Arial" w:cs="Arial"/>
          <w:color w:val="000000"/>
        </w:rPr>
        <w:t>Art. 6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A Santa Luzia Energética S.A. deverá observar, no que couber, as disposições constantes na Lei n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11.488, de 15 de junho de 2007, no Decreto n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6.144, de 2007, na Portaria MME n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310, de 2013, e na legislação e normas vigentes e supervenientes, sujeitando-se às penalidades legais, inclusive aquelas previstas nos artigos 9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e 14, do Decreto n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3B3CCD" w:rsidRDefault="003B3CCD" w:rsidP="003B3CCD">
      <w:pPr>
        <w:ind w:firstLine="1134"/>
        <w:jc w:val="both"/>
        <w:rPr>
          <w:rFonts w:ascii="Arial" w:hAnsi="Arial" w:cs="Arial"/>
          <w:color w:val="000000"/>
        </w:rPr>
      </w:pPr>
    </w:p>
    <w:p w:rsidR="003B3CCD" w:rsidRPr="00164548" w:rsidRDefault="003B3CCD" w:rsidP="003B3CCD">
      <w:pPr>
        <w:ind w:firstLine="1134"/>
        <w:jc w:val="both"/>
        <w:rPr>
          <w:rFonts w:ascii="Arial" w:hAnsi="Arial" w:cs="Arial"/>
          <w:color w:val="000000"/>
        </w:rPr>
      </w:pPr>
      <w:r w:rsidRPr="00164548">
        <w:rPr>
          <w:rFonts w:ascii="Arial" w:hAnsi="Arial" w:cs="Arial"/>
          <w:color w:val="000000"/>
        </w:rPr>
        <w:t>Art. 7</w:t>
      </w:r>
      <w:r w:rsidR="00B26523" w:rsidRPr="00B26523">
        <w:rPr>
          <w:rFonts w:ascii="Arial" w:hAnsi="Arial" w:cs="Arial"/>
          <w:color w:val="000000"/>
          <w:u w:val="words"/>
          <w:vertAlign w:val="superscript"/>
        </w:rPr>
        <w:t>o</w:t>
      </w:r>
      <w:r w:rsidRPr="0016454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700221" w:rsidRPr="00DD34D0" w:rsidRDefault="00700221" w:rsidP="00700221">
      <w:pPr>
        <w:pStyle w:val="Default"/>
        <w:jc w:val="center"/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FB30EF">
        <w:rPr>
          <w:rFonts w:ascii="Arial" w:hAnsi="Arial" w:cs="Arial"/>
          <w:color w:val="FF0000"/>
        </w:rPr>
        <w:t>10</w:t>
      </w:r>
      <w:r w:rsidRPr="007848D3">
        <w:rPr>
          <w:rFonts w:ascii="Arial" w:hAnsi="Arial" w:cs="Arial"/>
          <w:color w:val="FF0000"/>
        </w:rPr>
        <w:t>.</w:t>
      </w:r>
      <w:r w:rsidR="00E9792D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Pr="001A183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536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2269"/>
        <w:gridCol w:w="973"/>
        <w:gridCol w:w="1721"/>
        <w:gridCol w:w="3117"/>
      </w:tblGrid>
      <w:tr w:rsidR="003B3CCD" w:rsidRPr="00164548" w:rsidTr="003B3CCD">
        <w:trPr>
          <w:tblHeader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548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INFORMAÇÕES DO PROJETO DE ENQUADRAMENTO NO REIDI - REGIME ESPECIAL DE INCENTIVOS PARA O DESENVOLVIMENTO DA INFRAESTRUTURA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PESSOA JURÍDICA TITULAR DO PROJETO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353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01 - Nome Empresarial</w:t>
            </w:r>
          </w:p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Santa Luzia Energética S.A.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02 - CNPJ</w:t>
            </w:r>
          </w:p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08.377.974/0001-09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353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03 - Logradouro</w:t>
            </w:r>
          </w:p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Avenida Doutor Cardoso de Melo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04 - Número</w:t>
            </w:r>
          </w:p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1.184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2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05 - Complemento</w:t>
            </w:r>
          </w:p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7</w:t>
            </w:r>
            <w:r w:rsidR="00B26523" w:rsidRPr="00B26523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164548">
              <w:rPr>
                <w:rFonts w:ascii="Arial" w:hAnsi="Arial" w:cs="Arial"/>
                <w:color w:val="000000"/>
              </w:rPr>
              <w:t xml:space="preserve"> andar, sala AO</w:t>
            </w:r>
          </w:p>
        </w:tc>
        <w:tc>
          <w:tcPr>
            <w:tcW w:w="1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06 - Bairro/Distrito</w:t>
            </w:r>
          </w:p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Vila Olímpia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07 - CEP</w:t>
            </w:r>
          </w:p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04548-004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22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08 - Município</w:t>
            </w:r>
          </w:p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1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09 - UF</w:t>
            </w:r>
          </w:p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SP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10 - Telefone</w:t>
            </w:r>
          </w:p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(11) 3157-9396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11 - DADOS DO PROJETO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8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3B3CCD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Ampliação da PCH Santa Luzia Alto (Autorizada pela Portaria MME n</w:t>
            </w:r>
            <w:r w:rsidR="00B26523" w:rsidRPr="00B26523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164548">
              <w:rPr>
                <w:rFonts w:ascii="Arial" w:hAnsi="Arial" w:cs="Arial"/>
                <w:color w:val="000000"/>
              </w:rPr>
              <w:t xml:space="preserve"> 352, de 20 de dezembro de 2007,   e  sua ampliação pelo Despacho ANEEL n</w:t>
            </w:r>
            <w:r w:rsidR="00B26523" w:rsidRPr="00B26523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164548">
              <w:rPr>
                <w:rFonts w:ascii="Arial" w:hAnsi="Arial" w:cs="Arial"/>
                <w:color w:val="000000"/>
              </w:rPr>
              <w:t xml:space="preserve"> 934, de 15 de abril de 2016).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11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8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3B3CCD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Ampliação da Pequena Central Hidrelétrica denominada PCH Santa Luzia Alto, compreendendo: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11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3B3CCD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I - Uma Unidade Geradora, totalizando 750 kW de capacidade instalada; e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11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3B3CCD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II - Sistema de Transmissão de Interesse Restrito constituído de uma Linha de Transmissão em 13,8 kV, com cerca de novecentos metros de extensão, em Circuito Simples, interligando a casa de força secundária à Subestação PCH Santa Luzia Alto.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8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De 01/08/2016 a 30/09/2017.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8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 xml:space="preserve">Município de </w:t>
            </w:r>
            <w:proofErr w:type="spellStart"/>
            <w:r w:rsidRPr="00164548">
              <w:rPr>
                <w:rFonts w:ascii="Arial" w:hAnsi="Arial" w:cs="Arial"/>
                <w:color w:val="000000"/>
              </w:rPr>
              <w:t>Ipuaçu</w:t>
            </w:r>
            <w:proofErr w:type="spellEnd"/>
            <w:r w:rsidRPr="00164548">
              <w:rPr>
                <w:rFonts w:ascii="Arial" w:hAnsi="Arial" w:cs="Arial"/>
                <w:color w:val="000000"/>
              </w:rPr>
              <w:t xml:space="preserve"> e São Domingos, Estado de Santa Catarina.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12 - REPRESENTANTE, RESPONSÁVEL TÉCNICO E CONTADOR DA PESSOA JURÍDICA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27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Nome: Gustavo Henrique Santos de Sousa</w:t>
            </w:r>
          </w:p>
        </w:tc>
        <w:tc>
          <w:tcPr>
            <w:tcW w:w="22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CPF: 018.831.394-06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27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164548">
              <w:rPr>
                <w:rFonts w:ascii="Arial" w:hAnsi="Arial" w:cs="Arial"/>
                <w:color w:val="000000"/>
              </w:rPr>
              <w:t>Talvani</w:t>
            </w:r>
            <w:proofErr w:type="spellEnd"/>
            <w:r w:rsidRPr="0016454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64548">
              <w:rPr>
                <w:rFonts w:ascii="Arial" w:hAnsi="Arial" w:cs="Arial"/>
                <w:color w:val="000000"/>
              </w:rPr>
              <w:t>Hipolito</w:t>
            </w:r>
            <w:proofErr w:type="spellEnd"/>
            <w:r w:rsidRPr="00164548">
              <w:rPr>
                <w:rFonts w:ascii="Arial" w:hAnsi="Arial" w:cs="Arial"/>
                <w:color w:val="000000"/>
              </w:rPr>
              <w:t xml:space="preserve"> Nolasco Filho</w:t>
            </w:r>
          </w:p>
        </w:tc>
        <w:tc>
          <w:tcPr>
            <w:tcW w:w="22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CPF: 947.793.335-04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27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Nome: Daniela Ribeiro Mendes</w:t>
            </w:r>
          </w:p>
        </w:tc>
        <w:tc>
          <w:tcPr>
            <w:tcW w:w="22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CPF: 189.024.198-94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13 - ESTIMATIVAS DOS VALORES DOS BENS E SERVIÇOS DO PROJETO COM INCIDÊNCIA DE PIS/PASEP E COFINS (R$)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38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2.742.000,00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38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1.970.000,00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38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1.103.000,00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b/>
                <w:bCs/>
                <w:color w:val="000000"/>
              </w:rPr>
              <w:t>Total (1)</w:t>
            </w:r>
          </w:p>
        </w:tc>
        <w:tc>
          <w:tcPr>
            <w:tcW w:w="38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b/>
                <w:bCs/>
                <w:color w:val="000000"/>
              </w:rPr>
              <w:t>5.815.000,00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14 - ESTIMATIVAS DOS VALORES DOS BENS E SERVIÇOS DO PROJETO SEM INCIDÊNCIA DE PIS/PASEP E COFINS (R$)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38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2.488.365,00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38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1.787.775,00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38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color w:val="000000"/>
              </w:rPr>
              <w:t>1.000.972,50</w:t>
            </w:r>
          </w:p>
        </w:tc>
      </w:tr>
      <w:tr w:rsidR="003B3CCD" w:rsidRPr="00164548" w:rsidTr="003B3CCD">
        <w:trPr>
          <w:tblCellSpacing w:w="0" w:type="dxa"/>
          <w:jc w:val="center"/>
        </w:trPr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b/>
                <w:bCs/>
                <w:color w:val="000000"/>
              </w:rPr>
              <w:t>Total (2)</w:t>
            </w:r>
          </w:p>
        </w:tc>
        <w:tc>
          <w:tcPr>
            <w:tcW w:w="38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CCD" w:rsidRPr="00164548" w:rsidRDefault="003B3CCD" w:rsidP="00C06C1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164548">
              <w:rPr>
                <w:rFonts w:ascii="Arial" w:hAnsi="Arial" w:cs="Arial"/>
                <w:b/>
                <w:bCs/>
                <w:color w:val="000000"/>
              </w:rPr>
              <w:t>5.277.112,50</w:t>
            </w:r>
          </w:p>
        </w:tc>
      </w:tr>
    </w:tbl>
    <w:p w:rsidR="00F32DF7" w:rsidRPr="001A1834" w:rsidRDefault="00F32DF7" w:rsidP="003B3CCD">
      <w:pPr>
        <w:spacing w:before="100" w:beforeAutospacing="1" w:after="100" w:afterAutospacing="1"/>
        <w:rPr>
          <w:rFonts w:ascii="Arial" w:hAnsi="Arial" w:cs="Arial"/>
          <w:b/>
          <w:color w:val="000000"/>
          <w:sz w:val="4"/>
          <w:szCs w:val="4"/>
        </w:rPr>
      </w:pPr>
    </w:p>
    <w:sectPr w:rsidR="00F32DF7" w:rsidRPr="001A1834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0687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</w:t>
    </w:r>
    <w:r w:rsidR="003B3CCD">
      <w:rPr>
        <w:rFonts w:ascii="Arial" w:hAnsi="Arial" w:cs="Arial"/>
      </w:rPr>
      <w:t>27</w:t>
    </w:r>
    <w:r w:rsidRPr="00804BC7">
      <w:rPr>
        <w:rFonts w:ascii="Arial" w:hAnsi="Arial" w:cs="Arial"/>
      </w:rPr>
      <w:t xml:space="preserve">, de  </w:t>
    </w:r>
    <w:r w:rsidR="003B3CCD">
      <w:rPr>
        <w:rFonts w:ascii="Arial" w:hAnsi="Arial" w:cs="Arial"/>
      </w:rPr>
      <w:t>9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E9792D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B26523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B265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7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4145"/>
    <o:shapelayout v:ext="edit">
      <o:idmap v:ext="edit" data="1"/>
    </o:shapelayout>
  </w:shapeDefaults>
  <w:decimalSymbol w:val=","/>
  <w:listSeparator w:val=";"/>
  <w14:docId w14:val="3E268AFE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7AC25-DD7B-413B-ADA4-07808E00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2017-05-10T11:27:00Z</dcterms:created>
  <dcterms:modified xsi:type="dcterms:W3CDTF">2017-05-10T11:27:00Z</dcterms:modified>
</cp:coreProperties>
</file>