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0E3164">
        <w:trPr>
          <w:tblCellSpacing w:w="0" w:type="dxa"/>
          <w:jc w:val="center"/>
        </w:trPr>
        <w:tc>
          <w:tcPr>
            <w:tcW w:w="688" w:type="pct"/>
            <w:vAlign w:val="center"/>
          </w:tcPr>
          <w:p w:rsidR="00BF543C" w:rsidRPr="000E3164" w:rsidRDefault="007472EE">
            <w:pPr>
              <w:pStyle w:val="NormalWeb"/>
              <w:jc w:val="center"/>
              <w:rPr>
                <w:rFonts w:ascii="Arial" w:hAnsi="Arial" w:cs="Arial"/>
              </w:rPr>
            </w:pPr>
            <w:r w:rsidRPr="000E3164">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0E3164" w:rsidRDefault="00BF543C" w:rsidP="00590575">
            <w:pPr>
              <w:pStyle w:val="NormalWeb"/>
              <w:ind w:left="105"/>
              <w:rPr>
                <w:rFonts w:ascii="Arial" w:hAnsi="Arial" w:cs="Arial"/>
              </w:rPr>
            </w:pPr>
            <w:r w:rsidRPr="000E3164">
              <w:rPr>
                <w:rStyle w:val="Forte"/>
                <w:rFonts w:ascii="Arial" w:hAnsi="Arial" w:cs="Arial"/>
                <w:color w:val="808000"/>
                <w:sz w:val="36"/>
                <w:szCs w:val="36"/>
              </w:rPr>
              <w:t>Ministério de Minas e Energia</w:t>
            </w:r>
            <w:r w:rsidRPr="000E3164">
              <w:rPr>
                <w:rFonts w:ascii="Arial" w:hAnsi="Arial" w:cs="Arial"/>
                <w:b/>
                <w:bCs/>
                <w:color w:val="808000"/>
                <w:szCs w:val="36"/>
              </w:rPr>
              <w:br/>
            </w:r>
            <w:r w:rsidRPr="000E3164">
              <w:rPr>
                <w:rStyle w:val="Forte"/>
                <w:rFonts w:ascii="Arial" w:hAnsi="Arial" w:cs="Arial"/>
                <w:color w:val="808000"/>
                <w:sz w:val="27"/>
                <w:szCs w:val="27"/>
              </w:rPr>
              <w:t>Consultoria Jurídica</w:t>
            </w:r>
          </w:p>
        </w:tc>
      </w:tr>
    </w:tbl>
    <w:p w:rsidR="00675D4A" w:rsidRPr="000E3164" w:rsidRDefault="00675D4A" w:rsidP="00C81183">
      <w:pPr>
        <w:autoSpaceDE w:val="0"/>
        <w:autoSpaceDN w:val="0"/>
        <w:adjustRightInd w:val="0"/>
        <w:jc w:val="center"/>
        <w:rPr>
          <w:rFonts w:ascii="Arial" w:hAnsi="Arial" w:cs="Arial"/>
          <w:b/>
          <w:bCs/>
          <w:color w:val="000080"/>
          <w:sz w:val="16"/>
          <w:szCs w:val="16"/>
        </w:rPr>
      </w:pPr>
    </w:p>
    <w:p w:rsidR="001B762E" w:rsidRPr="00977C56" w:rsidRDefault="001B762E" w:rsidP="001B762E">
      <w:pPr>
        <w:autoSpaceDE w:val="0"/>
        <w:autoSpaceDN w:val="0"/>
        <w:adjustRightInd w:val="0"/>
        <w:jc w:val="center"/>
        <w:rPr>
          <w:rFonts w:ascii="Arial" w:hAnsi="Arial" w:cs="Arial"/>
          <w:b/>
          <w:bCs/>
          <w:color w:val="000080"/>
        </w:rPr>
      </w:pPr>
      <w:proofErr w:type="gramStart"/>
      <w:r w:rsidRPr="00977C56">
        <w:rPr>
          <w:rFonts w:ascii="Arial" w:hAnsi="Arial" w:cs="Arial"/>
          <w:b/>
          <w:bCs/>
          <w:color w:val="000080"/>
        </w:rPr>
        <w:t>PORTARIA N</w:t>
      </w:r>
      <w:r w:rsidRPr="00977C56">
        <w:rPr>
          <w:rFonts w:ascii="Arial" w:hAnsi="Arial" w:cs="Arial"/>
          <w:b/>
          <w:bCs/>
          <w:color w:val="000080"/>
          <w:u w:val="single"/>
          <w:vertAlign w:val="superscript"/>
        </w:rPr>
        <w:t>o</w:t>
      </w:r>
      <w:proofErr w:type="gramEnd"/>
      <w:r w:rsidRPr="00977C56">
        <w:rPr>
          <w:rFonts w:ascii="Arial" w:hAnsi="Arial" w:cs="Arial"/>
          <w:b/>
          <w:bCs/>
          <w:color w:val="000080"/>
        </w:rPr>
        <w:t xml:space="preserve"> </w:t>
      </w:r>
      <w:r>
        <w:rPr>
          <w:rFonts w:ascii="Arial" w:hAnsi="Arial" w:cs="Arial"/>
          <w:b/>
          <w:bCs/>
          <w:color w:val="000080"/>
        </w:rPr>
        <w:t>12</w:t>
      </w:r>
      <w:r w:rsidR="007C46CC">
        <w:rPr>
          <w:rFonts w:ascii="Arial" w:hAnsi="Arial" w:cs="Arial"/>
          <w:b/>
          <w:bCs/>
          <w:color w:val="000080"/>
        </w:rPr>
        <w:t>6</w:t>
      </w:r>
      <w:r w:rsidRPr="00977C56">
        <w:rPr>
          <w:rFonts w:ascii="Arial" w:hAnsi="Arial" w:cs="Arial"/>
          <w:b/>
          <w:bCs/>
          <w:color w:val="000080"/>
        </w:rPr>
        <w:t xml:space="preserve">, DE </w:t>
      </w:r>
      <w:r>
        <w:rPr>
          <w:rFonts w:ascii="Arial" w:hAnsi="Arial" w:cs="Arial"/>
          <w:b/>
          <w:bCs/>
          <w:color w:val="000080"/>
        </w:rPr>
        <w:t>9</w:t>
      </w:r>
      <w:r w:rsidRPr="00977C56">
        <w:rPr>
          <w:rFonts w:ascii="Arial" w:hAnsi="Arial" w:cs="Arial"/>
          <w:b/>
          <w:bCs/>
          <w:color w:val="000080"/>
        </w:rPr>
        <w:t xml:space="preserve"> DE </w:t>
      </w:r>
      <w:r>
        <w:rPr>
          <w:rFonts w:ascii="Arial" w:hAnsi="Arial" w:cs="Arial"/>
          <w:b/>
          <w:bCs/>
          <w:color w:val="000080"/>
        </w:rPr>
        <w:t xml:space="preserve">MAIO </w:t>
      </w:r>
      <w:r w:rsidRPr="00977C56">
        <w:rPr>
          <w:rFonts w:ascii="Arial" w:hAnsi="Arial" w:cs="Arial"/>
          <w:b/>
          <w:bCs/>
          <w:color w:val="000080"/>
        </w:rPr>
        <w:t>DE 2017.</w:t>
      </w:r>
    </w:p>
    <w:p w:rsidR="001B762E" w:rsidRPr="00977C56" w:rsidRDefault="001B762E" w:rsidP="001B762E">
      <w:pPr>
        <w:tabs>
          <w:tab w:val="left" w:pos="-1701"/>
        </w:tabs>
        <w:autoSpaceDE w:val="0"/>
        <w:autoSpaceDN w:val="0"/>
        <w:adjustRightInd w:val="0"/>
        <w:ind w:firstLine="1134"/>
        <w:jc w:val="both"/>
        <w:rPr>
          <w:rFonts w:ascii="Arial" w:hAnsi="Arial" w:cs="Arial"/>
          <w:b/>
          <w:sz w:val="10"/>
          <w:szCs w:val="10"/>
        </w:rPr>
      </w:pPr>
    </w:p>
    <w:p w:rsidR="001B762E" w:rsidRPr="00977C56" w:rsidRDefault="001B762E" w:rsidP="001B762E">
      <w:pPr>
        <w:tabs>
          <w:tab w:val="left" w:pos="-1701"/>
        </w:tabs>
        <w:autoSpaceDE w:val="0"/>
        <w:autoSpaceDN w:val="0"/>
        <w:adjustRightInd w:val="0"/>
        <w:ind w:firstLine="1134"/>
        <w:jc w:val="both"/>
        <w:rPr>
          <w:rFonts w:ascii="Arial" w:hAnsi="Arial" w:cs="Arial"/>
          <w:b/>
          <w:sz w:val="10"/>
          <w:szCs w:val="10"/>
        </w:rPr>
      </w:pPr>
    </w:p>
    <w:p w:rsidR="001B762E" w:rsidRPr="00977C56" w:rsidRDefault="001B762E" w:rsidP="001B762E">
      <w:pPr>
        <w:tabs>
          <w:tab w:val="left" w:pos="-1701"/>
        </w:tabs>
        <w:autoSpaceDE w:val="0"/>
        <w:autoSpaceDN w:val="0"/>
        <w:adjustRightInd w:val="0"/>
        <w:ind w:firstLine="1134"/>
        <w:jc w:val="both"/>
        <w:rPr>
          <w:rFonts w:ascii="Arial" w:hAnsi="Arial" w:cs="Arial"/>
          <w:b/>
          <w:sz w:val="10"/>
          <w:szCs w:val="10"/>
        </w:rPr>
      </w:pPr>
    </w:p>
    <w:p w:rsidR="001B762E" w:rsidRPr="00977C56" w:rsidRDefault="001B762E" w:rsidP="001B762E">
      <w:pPr>
        <w:tabs>
          <w:tab w:val="left" w:pos="-1701"/>
        </w:tabs>
        <w:autoSpaceDE w:val="0"/>
        <w:autoSpaceDN w:val="0"/>
        <w:adjustRightInd w:val="0"/>
        <w:ind w:firstLine="1134"/>
        <w:jc w:val="both"/>
        <w:rPr>
          <w:rFonts w:ascii="Arial" w:hAnsi="Arial" w:cs="Arial"/>
          <w:b/>
          <w:sz w:val="10"/>
          <w:szCs w:val="10"/>
        </w:rPr>
      </w:pPr>
    </w:p>
    <w:p w:rsidR="007C46CC" w:rsidRPr="00E1064F" w:rsidRDefault="007C46CC" w:rsidP="007C46CC">
      <w:pPr>
        <w:overflowPunct w:val="0"/>
        <w:autoSpaceDE w:val="0"/>
        <w:autoSpaceDN w:val="0"/>
        <w:adjustRightInd w:val="0"/>
        <w:ind w:firstLine="1134"/>
        <w:jc w:val="both"/>
        <w:textAlignment w:val="baseline"/>
        <w:rPr>
          <w:rFonts w:ascii="Arial" w:hAnsi="Arial" w:cs="Arial"/>
          <w:color w:val="000000"/>
        </w:rPr>
      </w:pPr>
      <w:r w:rsidRPr="00E1064F">
        <w:rPr>
          <w:rFonts w:ascii="Arial" w:hAnsi="Arial" w:cs="Arial"/>
          <w:b/>
          <w:bCs/>
          <w:color w:val="000000"/>
        </w:rPr>
        <w:t>O SECRETÁRIO DE PLANEJAMENTO E DESENVOLVIMENTO ENERGÉTICO DO MINISTÉRIO DE MINAS E ENERGIA</w:t>
      </w:r>
      <w:r w:rsidRPr="00E1064F">
        <w:rPr>
          <w:rFonts w:ascii="Arial" w:hAnsi="Arial" w:cs="Arial"/>
          <w:color w:val="000000"/>
        </w:rPr>
        <w:t>, no uso da competência que lhe foi delegada pelo art. 1</w:t>
      </w:r>
      <w:bookmarkStart w:id="0" w:name="_GoBack"/>
      <w:r w:rsidRPr="007C46CC">
        <w:rPr>
          <w:rFonts w:ascii="Arial" w:hAnsi="Arial" w:cs="Arial"/>
          <w:color w:val="000000"/>
          <w:u w:val="words"/>
          <w:vertAlign w:val="superscript"/>
        </w:rPr>
        <w:t>o</w:t>
      </w:r>
      <w:bookmarkEnd w:id="0"/>
      <w:r w:rsidRPr="00E1064F">
        <w:rPr>
          <w:rFonts w:ascii="Arial" w:hAnsi="Arial" w:cs="Arial"/>
          <w:color w:val="000000"/>
        </w:rPr>
        <w:t>, inciso VI, da Portaria MME n</w:t>
      </w:r>
      <w:r w:rsidRPr="007C46CC">
        <w:rPr>
          <w:rFonts w:ascii="Arial" w:hAnsi="Arial" w:cs="Arial"/>
          <w:color w:val="000000"/>
          <w:u w:val="words"/>
          <w:vertAlign w:val="superscript"/>
        </w:rPr>
        <w:t>o</w:t>
      </w:r>
      <w:r w:rsidRPr="00E1064F">
        <w:rPr>
          <w:rFonts w:ascii="Arial" w:hAnsi="Arial" w:cs="Arial"/>
          <w:color w:val="000000"/>
        </w:rPr>
        <w:t xml:space="preserve"> 281, de 29 de junho de 2016, tendo em </w:t>
      </w:r>
      <w:r w:rsidRPr="00E1064F">
        <w:rPr>
          <w:rFonts w:ascii="Arial" w:hAnsi="Arial" w:cs="Arial"/>
        </w:rPr>
        <w:t>vista o disposto no art. 4</w:t>
      </w:r>
      <w:r w:rsidRPr="007C46CC">
        <w:rPr>
          <w:rFonts w:ascii="Arial" w:hAnsi="Arial" w:cs="Arial"/>
          <w:u w:val="words"/>
          <w:vertAlign w:val="superscript"/>
        </w:rPr>
        <w:t>o</w:t>
      </w:r>
      <w:r w:rsidRPr="00E1064F">
        <w:rPr>
          <w:rFonts w:ascii="Arial" w:hAnsi="Arial" w:cs="Arial"/>
        </w:rPr>
        <w:t xml:space="preserve"> do Decreto n</w:t>
      </w:r>
      <w:r w:rsidRPr="007C46CC">
        <w:rPr>
          <w:rFonts w:ascii="Arial" w:hAnsi="Arial" w:cs="Arial"/>
          <w:u w:val="words"/>
          <w:vertAlign w:val="superscript"/>
        </w:rPr>
        <w:t>o</w:t>
      </w:r>
      <w:r w:rsidRPr="00E1064F">
        <w:rPr>
          <w:rFonts w:ascii="Arial" w:hAnsi="Arial" w:cs="Arial"/>
        </w:rPr>
        <w:t xml:space="preserve"> 8.874, de 11 de outubro de 2016, no art. 5</w:t>
      </w:r>
      <w:r w:rsidRPr="007C46CC">
        <w:rPr>
          <w:rFonts w:ascii="Arial" w:hAnsi="Arial" w:cs="Arial"/>
          <w:u w:val="words"/>
          <w:vertAlign w:val="superscript"/>
        </w:rPr>
        <w:t>o</w:t>
      </w:r>
      <w:r w:rsidRPr="00E1064F">
        <w:rPr>
          <w:rFonts w:ascii="Arial" w:hAnsi="Arial" w:cs="Arial"/>
          <w:u w:val="words"/>
          <w:vertAlign w:val="superscript"/>
        </w:rPr>
        <w:t xml:space="preserve"> </w:t>
      </w:r>
      <w:r w:rsidRPr="00E1064F">
        <w:rPr>
          <w:rFonts w:ascii="Arial" w:hAnsi="Arial" w:cs="Arial"/>
        </w:rPr>
        <w:t>da Portaria MME n</w:t>
      </w:r>
      <w:r w:rsidRPr="007C46CC">
        <w:rPr>
          <w:rFonts w:ascii="Arial" w:hAnsi="Arial" w:cs="Arial"/>
          <w:u w:val="words"/>
          <w:vertAlign w:val="superscript"/>
        </w:rPr>
        <w:t>o</w:t>
      </w:r>
      <w:r w:rsidRPr="00E1064F">
        <w:rPr>
          <w:rFonts w:ascii="Arial" w:hAnsi="Arial" w:cs="Arial"/>
        </w:rPr>
        <w:t xml:space="preserve"> 505, </w:t>
      </w:r>
      <w:r w:rsidRPr="00E1064F">
        <w:rPr>
          <w:rFonts w:ascii="Arial" w:hAnsi="Arial" w:cs="Arial"/>
          <w:color w:val="000000"/>
        </w:rPr>
        <w:t>de 24 de outubro de 2016</w:t>
      </w:r>
      <w:r w:rsidRPr="00E1064F">
        <w:rPr>
          <w:rFonts w:ascii="Arial" w:hAnsi="Arial" w:cs="Arial"/>
        </w:rPr>
        <w:t>, e o que consta do Processo n</w:t>
      </w:r>
      <w:r w:rsidRPr="007C46CC">
        <w:rPr>
          <w:rFonts w:ascii="Arial" w:hAnsi="Arial" w:cs="Arial"/>
          <w:u w:val="words"/>
          <w:vertAlign w:val="superscript"/>
        </w:rPr>
        <w:t>o</w:t>
      </w:r>
      <w:r w:rsidRPr="00E1064F">
        <w:rPr>
          <w:rFonts w:ascii="Arial" w:hAnsi="Arial" w:cs="Arial"/>
        </w:rPr>
        <w:t xml:space="preserve"> </w:t>
      </w:r>
      <w:r w:rsidRPr="00E1064F">
        <w:rPr>
          <w:rFonts w:ascii="Arial" w:hAnsi="Arial" w:cs="Arial"/>
          <w:bCs/>
          <w:noProof/>
          <w:color w:val="000000"/>
        </w:rPr>
        <w:t>48360.006514/2016-00</w:t>
      </w:r>
      <w:r w:rsidRPr="00E1064F">
        <w:rPr>
          <w:rFonts w:ascii="Arial" w:hAnsi="Arial" w:cs="Arial"/>
        </w:rPr>
        <w:t>, resolve:</w:t>
      </w:r>
    </w:p>
    <w:p w:rsidR="007C46CC" w:rsidRPr="00E1064F" w:rsidRDefault="007C46CC" w:rsidP="007C46CC">
      <w:pPr>
        <w:overflowPunct w:val="0"/>
        <w:autoSpaceDE w:val="0"/>
        <w:autoSpaceDN w:val="0"/>
        <w:adjustRightInd w:val="0"/>
        <w:ind w:firstLine="1134"/>
        <w:jc w:val="both"/>
        <w:textAlignment w:val="baseline"/>
        <w:rPr>
          <w:rFonts w:ascii="Arial" w:hAnsi="Arial" w:cs="Arial"/>
          <w:color w:val="000000"/>
        </w:rPr>
      </w:pPr>
    </w:p>
    <w:p w:rsidR="007C46CC" w:rsidRPr="00E1064F" w:rsidRDefault="007C46CC" w:rsidP="007C46CC">
      <w:pPr>
        <w:overflowPunct w:val="0"/>
        <w:autoSpaceDE w:val="0"/>
        <w:autoSpaceDN w:val="0"/>
        <w:adjustRightInd w:val="0"/>
        <w:ind w:firstLine="1134"/>
        <w:jc w:val="both"/>
        <w:textAlignment w:val="baseline"/>
        <w:rPr>
          <w:rFonts w:ascii="Arial" w:hAnsi="Arial" w:cs="Arial"/>
          <w:color w:val="000000"/>
        </w:rPr>
      </w:pPr>
      <w:r w:rsidRPr="00E1064F">
        <w:rPr>
          <w:rFonts w:ascii="Arial" w:hAnsi="Arial" w:cs="Arial"/>
          <w:color w:val="000000"/>
        </w:rPr>
        <w:t>Art. 1</w:t>
      </w:r>
      <w:r w:rsidRPr="007C46CC">
        <w:rPr>
          <w:rFonts w:ascii="Arial" w:hAnsi="Arial" w:cs="Arial"/>
          <w:color w:val="000000"/>
          <w:u w:val="words"/>
          <w:vertAlign w:val="superscript"/>
        </w:rPr>
        <w:t>o</w:t>
      </w:r>
      <w:r w:rsidRPr="00E1064F">
        <w:rPr>
          <w:rFonts w:ascii="Arial" w:hAnsi="Arial" w:cs="Arial"/>
          <w:color w:val="000000"/>
        </w:rPr>
        <w:t xml:space="preserve"> Aprovar, na forma </w:t>
      </w:r>
      <w:r w:rsidRPr="00E1064F">
        <w:rPr>
          <w:rFonts w:ascii="Arial" w:hAnsi="Arial" w:cs="Arial"/>
        </w:rPr>
        <w:t>do art. 2</w:t>
      </w:r>
      <w:r w:rsidRPr="007C46CC">
        <w:rPr>
          <w:rFonts w:ascii="Arial" w:hAnsi="Arial" w:cs="Arial"/>
          <w:u w:val="words"/>
          <w:vertAlign w:val="superscript"/>
        </w:rPr>
        <w:t>o</w:t>
      </w:r>
      <w:r w:rsidRPr="00E1064F">
        <w:rPr>
          <w:rFonts w:ascii="Arial" w:hAnsi="Arial" w:cs="Arial"/>
        </w:rPr>
        <w:t>, § 1</w:t>
      </w:r>
      <w:r w:rsidRPr="007C46CC">
        <w:rPr>
          <w:rFonts w:ascii="Arial" w:hAnsi="Arial" w:cs="Arial"/>
          <w:u w:val="words"/>
          <w:vertAlign w:val="superscript"/>
        </w:rPr>
        <w:t>o</w:t>
      </w:r>
      <w:r w:rsidRPr="00E1064F">
        <w:rPr>
          <w:rFonts w:ascii="Arial" w:hAnsi="Arial" w:cs="Arial"/>
        </w:rPr>
        <w:t>, inciso III, do Decreto n</w:t>
      </w:r>
      <w:r w:rsidRPr="007C46CC">
        <w:rPr>
          <w:rFonts w:ascii="Arial" w:hAnsi="Arial" w:cs="Arial"/>
          <w:u w:val="words"/>
          <w:vertAlign w:val="superscript"/>
        </w:rPr>
        <w:t>o</w:t>
      </w:r>
      <w:r w:rsidRPr="00E1064F">
        <w:rPr>
          <w:rFonts w:ascii="Arial" w:hAnsi="Arial" w:cs="Arial"/>
        </w:rPr>
        <w:t xml:space="preserve"> 8.874, de 11 de outubro de 2016, como prioritários os</w:t>
      </w:r>
      <w:r w:rsidRPr="00E1064F">
        <w:rPr>
          <w:rFonts w:ascii="Arial" w:hAnsi="Arial" w:cs="Arial"/>
          <w:color w:val="000000"/>
        </w:rPr>
        <w:t xml:space="preserve"> Projetos de Distribuição de Energia Elétrica, de titularidade da empresa </w:t>
      </w:r>
      <w:proofErr w:type="spellStart"/>
      <w:r w:rsidRPr="00E1064F">
        <w:rPr>
          <w:rFonts w:ascii="Arial" w:hAnsi="Arial" w:cs="Arial"/>
        </w:rPr>
        <w:t>Energisa</w:t>
      </w:r>
      <w:proofErr w:type="spellEnd"/>
      <w:r w:rsidRPr="00E1064F">
        <w:rPr>
          <w:rFonts w:ascii="Arial" w:hAnsi="Arial" w:cs="Arial"/>
        </w:rPr>
        <w:t xml:space="preserve"> </w:t>
      </w:r>
      <w:r w:rsidRPr="00E1064F">
        <w:rPr>
          <w:rFonts w:ascii="Arial" w:hAnsi="Arial" w:cs="Arial"/>
          <w:bCs/>
          <w:noProof/>
          <w:color w:val="000000"/>
        </w:rPr>
        <w:t>Paraíba</w:t>
      </w:r>
      <w:r w:rsidRPr="00E1064F">
        <w:rPr>
          <w:rFonts w:ascii="Arial" w:hAnsi="Arial" w:cs="Arial"/>
        </w:rPr>
        <w:t xml:space="preserve"> - Distribuidora de Energia S.A., inscrita no CNPJ/MF sob o n</w:t>
      </w:r>
      <w:r w:rsidRPr="007C46CC">
        <w:rPr>
          <w:rFonts w:ascii="Arial" w:hAnsi="Arial" w:cs="Arial"/>
          <w:u w:val="words"/>
          <w:vertAlign w:val="superscript"/>
        </w:rPr>
        <w:t>o</w:t>
      </w:r>
      <w:r w:rsidRPr="00E1064F">
        <w:rPr>
          <w:rFonts w:ascii="Arial" w:hAnsi="Arial" w:cs="Arial"/>
        </w:rPr>
        <w:t xml:space="preserve"> </w:t>
      </w:r>
      <w:r w:rsidRPr="00E1064F">
        <w:rPr>
          <w:rFonts w:ascii="Arial" w:hAnsi="Arial" w:cs="Arial"/>
          <w:bCs/>
          <w:noProof/>
          <w:color w:val="000000"/>
        </w:rPr>
        <w:t>09.095.183/0001-40</w:t>
      </w:r>
      <w:r w:rsidRPr="00E1064F">
        <w:rPr>
          <w:rFonts w:ascii="Arial" w:hAnsi="Arial" w:cs="Arial"/>
          <w:color w:val="000000"/>
        </w:rPr>
        <w:t>, para os fins do art. 2</w:t>
      </w:r>
      <w:r w:rsidRPr="007C46CC">
        <w:rPr>
          <w:rFonts w:ascii="Arial" w:hAnsi="Arial" w:cs="Arial"/>
          <w:color w:val="000000"/>
          <w:u w:val="words"/>
          <w:vertAlign w:val="superscript"/>
        </w:rPr>
        <w:t>o</w:t>
      </w:r>
      <w:r w:rsidRPr="00E1064F">
        <w:rPr>
          <w:rFonts w:ascii="Arial" w:hAnsi="Arial" w:cs="Arial"/>
          <w:color w:val="000000"/>
        </w:rPr>
        <w:t xml:space="preserve"> da Lei n</w:t>
      </w:r>
      <w:r w:rsidRPr="007C46CC">
        <w:rPr>
          <w:rFonts w:ascii="Arial" w:hAnsi="Arial" w:cs="Arial"/>
          <w:color w:val="000000"/>
          <w:u w:val="words"/>
          <w:vertAlign w:val="superscript"/>
        </w:rPr>
        <w:t>o</w:t>
      </w:r>
      <w:r w:rsidRPr="00E1064F">
        <w:rPr>
          <w:rFonts w:ascii="Arial" w:hAnsi="Arial" w:cs="Arial"/>
          <w:color w:val="000000"/>
        </w:rPr>
        <w:t xml:space="preserve"> 12.431, de 24 de junho de 2011, descritos no Anexo à presente Portaria.</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Parágrafo único. Os Projetos relacionados no Anexo são aprovados de forma individualizada.</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Art. 2</w:t>
      </w:r>
      <w:r w:rsidRPr="007C46CC">
        <w:rPr>
          <w:rFonts w:ascii="Arial" w:hAnsi="Arial" w:cs="Arial"/>
          <w:color w:val="000000"/>
          <w:u w:val="words"/>
          <w:vertAlign w:val="superscript"/>
        </w:rPr>
        <w:t>o</w:t>
      </w:r>
      <w:r w:rsidRPr="00E1064F">
        <w:rPr>
          <w:rFonts w:ascii="Arial" w:hAnsi="Arial" w:cs="Arial"/>
          <w:color w:val="000000"/>
        </w:rPr>
        <w:t xml:space="preserve"> A </w:t>
      </w:r>
      <w:proofErr w:type="spellStart"/>
      <w:r w:rsidRPr="00E1064F">
        <w:rPr>
          <w:rFonts w:ascii="Arial" w:hAnsi="Arial" w:cs="Arial"/>
        </w:rPr>
        <w:t>Energisa</w:t>
      </w:r>
      <w:proofErr w:type="spellEnd"/>
      <w:r w:rsidRPr="00E1064F">
        <w:rPr>
          <w:rFonts w:ascii="Arial" w:hAnsi="Arial" w:cs="Arial"/>
        </w:rPr>
        <w:t xml:space="preserve"> </w:t>
      </w:r>
      <w:r w:rsidRPr="00E1064F">
        <w:rPr>
          <w:rFonts w:ascii="Arial" w:hAnsi="Arial" w:cs="Arial"/>
          <w:bCs/>
          <w:noProof/>
          <w:color w:val="000000"/>
        </w:rPr>
        <w:t>Paraíba</w:t>
      </w:r>
      <w:r w:rsidRPr="00E1064F">
        <w:rPr>
          <w:rFonts w:ascii="Arial" w:hAnsi="Arial" w:cs="Arial"/>
        </w:rPr>
        <w:t xml:space="preserve"> - Distribuidora de Energia S.A. </w:t>
      </w:r>
      <w:r w:rsidRPr="00E1064F">
        <w:rPr>
          <w:rFonts w:ascii="Arial" w:hAnsi="Arial" w:cs="Arial"/>
          <w:color w:val="000000"/>
        </w:rPr>
        <w:t>e a Sociedade Controladora deverão:</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 xml:space="preserve">I - </w:t>
      </w:r>
      <w:proofErr w:type="gramStart"/>
      <w:r w:rsidRPr="00E1064F">
        <w:rPr>
          <w:rFonts w:ascii="Arial" w:hAnsi="Arial" w:cs="Arial"/>
          <w:color w:val="000000"/>
        </w:rPr>
        <w:t>atender</w:t>
      </w:r>
      <w:proofErr w:type="gramEnd"/>
      <w:r w:rsidRPr="00E1064F">
        <w:rPr>
          <w:rFonts w:ascii="Arial" w:hAnsi="Arial" w:cs="Arial"/>
          <w:color w:val="000000"/>
        </w:rPr>
        <w:t xml:space="preserve"> aos Procedimentos de Distribuição de Energia Elétrica - PRODIST e ao Manual de Controle Patrimonial do Setor Elétrico - MCPSE, aprovados pela Agência Nacional de Energia Elétrica - ANEEL; </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 xml:space="preserve">II - </w:t>
      </w:r>
      <w:proofErr w:type="gramStart"/>
      <w:r w:rsidRPr="00E1064F">
        <w:rPr>
          <w:rFonts w:ascii="Arial" w:hAnsi="Arial" w:cs="Arial"/>
          <w:color w:val="000000"/>
        </w:rPr>
        <w:t>comprovar</w:t>
      </w:r>
      <w:proofErr w:type="gramEnd"/>
      <w:r w:rsidRPr="00E1064F">
        <w:rPr>
          <w:rFonts w:ascii="Arial" w:hAnsi="Arial" w:cs="Arial"/>
          <w:color w:val="000000"/>
        </w:rPr>
        <w:t xml:space="preserve"> a execução dos Projetos por meio de registro no Sistema de Informação Geográfica Regulatório - SIG-R, conforme PRODIST;</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III - dar ciência ou submeter à anuência prévia da ANEEL a cessão ou o oferecimento dos direitos emergentes do Contrato de Concessão em garantia, inclusive por meio de cessão fiduciária, na forma e condições previstas nas normas setoriais;</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 xml:space="preserve">IV - </w:t>
      </w:r>
      <w:proofErr w:type="gramStart"/>
      <w:r w:rsidRPr="00E1064F">
        <w:rPr>
          <w:rFonts w:ascii="Arial" w:hAnsi="Arial" w:cs="Arial"/>
          <w:color w:val="000000"/>
        </w:rPr>
        <w:t>manter</w:t>
      </w:r>
      <w:proofErr w:type="gramEnd"/>
      <w:r w:rsidRPr="00E1064F">
        <w:rPr>
          <w:rFonts w:ascii="Arial" w:hAnsi="Arial" w:cs="Arial"/>
          <w:color w:val="000000"/>
        </w:rPr>
        <w:t xml:space="preserve"> informação relativa à composição societária da Concessionária atualizada junto à ANEEL, identificando o grupo de controle e explicitando as participações societárias diretas e indiretas dos respectivos controladores da empresa titular dos Projetos;</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 xml:space="preserve">V - </w:t>
      </w:r>
      <w:proofErr w:type="gramStart"/>
      <w:r w:rsidRPr="00E1064F">
        <w:rPr>
          <w:rFonts w:ascii="Arial" w:hAnsi="Arial" w:cs="Arial"/>
          <w:color w:val="000000"/>
        </w:rPr>
        <w:t>destacar</w:t>
      </w:r>
      <w:proofErr w:type="gramEnd"/>
      <w:r w:rsidRPr="00E1064F">
        <w:rPr>
          <w:rFonts w:ascii="Arial" w:hAnsi="Arial" w:cs="Arial"/>
          <w:color w:val="000000"/>
        </w:rPr>
        <w:t>, quando da emissão pública das debêntures, na primeira página do Prospecto e do Anúncio de Início de Distribuição ou, no caso de distribuição com esforços restritos, do Aviso de Encerramento e do material de divulgação, o número e a data de publicação desta Portaria e o compromisso de alocar os recursos obtidos nos Projetos;</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 xml:space="preserve">VI - </w:t>
      </w:r>
      <w:proofErr w:type="gramStart"/>
      <w:r w:rsidRPr="00E1064F">
        <w:rPr>
          <w:rFonts w:ascii="Arial" w:hAnsi="Arial" w:cs="Arial"/>
          <w:color w:val="000000"/>
        </w:rPr>
        <w:t>manter</w:t>
      </w:r>
      <w:proofErr w:type="gramEnd"/>
      <w:r w:rsidRPr="00E1064F">
        <w:rPr>
          <w:rFonts w:ascii="Arial" w:hAnsi="Arial" w:cs="Arial"/>
          <w:color w:val="000000"/>
        </w:rPr>
        <w:t xml:space="preserve"> a documentação relativa à utilização dos recursos captados, até cinco anos após o vencimento das debêntures emitidas, para consulta e fiscalização pelos Órgãos de Controle e Receita Federal do Brasil; e </w:t>
      </w:r>
    </w:p>
    <w:p w:rsidR="007C46CC" w:rsidRPr="00E1064F" w:rsidRDefault="007C46CC" w:rsidP="007C46CC">
      <w:pPr>
        <w:autoSpaceDE w:val="0"/>
        <w:autoSpaceDN w:val="0"/>
        <w:adjustRightInd w:val="0"/>
        <w:ind w:firstLine="1134"/>
        <w:jc w:val="both"/>
        <w:rPr>
          <w:rFonts w:ascii="Arial" w:hAnsi="Arial" w:cs="Arial"/>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rPr>
        <w:t>VII - observar as demais disposições constantes na Lei n</w:t>
      </w:r>
      <w:r w:rsidRPr="007C46CC">
        <w:rPr>
          <w:rFonts w:ascii="Arial" w:hAnsi="Arial" w:cs="Arial"/>
          <w:u w:val="words"/>
          <w:vertAlign w:val="superscript"/>
        </w:rPr>
        <w:t>o</w:t>
      </w:r>
      <w:r w:rsidRPr="00E1064F">
        <w:rPr>
          <w:rFonts w:ascii="Arial" w:hAnsi="Arial" w:cs="Arial"/>
        </w:rPr>
        <w:t xml:space="preserve"> 12.431, de 2011, no Decreto n</w:t>
      </w:r>
      <w:r w:rsidRPr="007C46CC">
        <w:rPr>
          <w:rFonts w:ascii="Arial" w:hAnsi="Arial" w:cs="Arial"/>
          <w:u w:val="words"/>
          <w:vertAlign w:val="superscript"/>
        </w:rPr>
        <w:t>o</w:t>
      </w:r>
      <w:r w:rsidRPr="00E1064F">
        <w:rPr>
          <w:rFonts w:ascii="Arial" w:hAnsi="Arial" w:cs="Arial"/>
        </w:rPr>
        <w:t xml:space="preserve"> 8.874, de 2016, na</w:t>
      </w:r>
      <w:r w:rsidRPr="00E1064F">
        <w:rPr>
          <w:rFonts w:ascii="Arial" w:hAnsi="Arial" w:cs="Arial"/>
          <w:color w:val="000000"/>
        </w:rPr>
        <w:t xml:space="preserve"> legislação e normas vigentes e supervenientes, sujeitando-se às penalidades legais, inclusive aquela prevista no art. 2</w:t>
      </w:r>
      <w:r w:rsidRPr="007C46CC">
        <w:rPr>
          <w:rFonts w:ascii="Arial" w:hAnsi="Arial" w:cs="Arial"/>
          <w:color w:val="000000"/>
          <w:u w:val="words"/>
          <w:vertAlign w:val="superscript"/>
        </w:rPr>
        <w:t>o</w:t>
      </w:r>
      <w:r w:rsidRPr="00E1064F">
        <w:rPr>
          <w:rFonts w:ascii="Arial" w:hAnsi="Arial" w:cs="Arial"/>
          <w:color w:val="000000"/>
        </w:rPr>
        <w:t>, § 5</w:t>
      </w:r>
      <w:r w:rsidRPr="007C46CC">
        <w:rPr>
          <w:rFonts w:ascii="Arial" w:hAnsi="Arial" w:cs="Arial"/>
          <w:color w:val="000000"/>
          <w:u w:val="words"/>
          <w:vertAlign w:val="superscript"/>
        </w:rPr>
        <w:t>o</w:t>
      </w:r>
      <w:r w:rsidRPr="00E1064F">
        <w:rPr>
          <w:rFonts w:ascii="Arial" w:hAnsi="Arial" w:cs="Arial"/>
          <w:color w:val="000000"/>
        </w:rPr>
        <w:t>, da referida Lei, a ser aplicada pela Secretaria da Receita Federal do Brasil.</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rPr>
      </w:pPr>
      <w:r w:rsidRPr="00E1064F">
        <w:rPr>
          <w:rFonts w:ascii="Arial" w:hAnsi="Arial" w:cs="Arial"/>
          <w:color w:val="000000"/>
        </w:rPr>
        <w:lastRenderedPageBreak/>
        <w:t>Art. 3</w:t>
      </w:r>
      <w:r w:rsidRPr="007C46CC">
        <w:rPr>
          <w:rFonts w:ascii="Arial" w:hAnsi="Arial" w:cs="Arial"/>
          <w:color w:val="000000"/>
          <w:u w:val="words"/>
          <w:vertAlign w:val="superscript"/>
        </w:rPr>
        <w:t>o</w:t>
      </w:r>
      <w:r w:rsidRPr="00E1064F">
        <w:rPr>
          <w:rFonts w:ascii="Arial" w:hAnsi="Arial" w:cs="Arial"/>
          <w:color w:val="000000"/>
        </w:rPr>
        <w:t xml:space="preserve"> O registro no SIG-R de que trata o art. 2</w:t>
      </w:r>
      <w:r w:rsidRPr="007C46CC">
        <w:rPr>
          <w:rFonts w:ascii="Arial" w:hAnsi="Arial" w:cs="Arial"/>
          <w:color w:val="000000"/>
          <w:u w:val="words"/>
          <w:vertAlign w:val="superscript"/>
        </w:rPr>
        <w:t>o</w:t>
      </w:r>
      <w:r w:rsidRPr="00E1064F">
        <w:rPr>
          <w:rFonts w:ascii="Arial" w:hAnsi="Arial" w:cs="Arial"/>
          <w:color w:val="000000"/>
        </w:rPr>
        <w:t>, inciso II, deverá ser realizado para todas as entidades que compõem cada Projeto aprovado, nos termos do Módulo 10 do PRODIST,</w:t>
      </w:r>
      <w:r w:rsidRPr="00E1064F">
        <w:rPr>
          <w:rFonts w:ascii="Arial" w:hAnsi="Arial" w:cs="Arial"/>
        </w:rPr>
        <w:t xml:space="preserve"> observado o prazo de até trinta dias contados do início da respectiva Operação Comercial.</w:t>
      </w:r>
    </w:p>
    <w:p w:rsidR="007C46CC" w:rsidRPr="00E1064F" w:rsidRDefault="007C46CC" w:rsidP="007C46CC">
      <w:pPr>
        <w:autoSpaceDE w:val="0"/>
        <w:autoSpaceDN w:val="0"/>
        <w:adjustRightInd w:val="0"/>
        <w:ind w:firstLine="1134"/>
        <w:jc w:val="both"/>
        <w:rPr>
          <w:rFonts w:ascii="Arial" w:hAnsi="Arial" w:cs="Arial"/>
        </w:rPr>
      </w:pPr>
    </w:p>
    <w:p w:rsidR="007C46CC" w:rsidRPr="00E1064F" w:rsidRDefault="007C46CC" w:rsidP="007C46CC">
      <w:pPr>
        <w:autoSpaceDE w:val="0"/>
        <w:autoSpaceDN w:val="0"/>
        <w:adjustRightInd w:val="0"/>
        <w:ind w:firstLine="1134"/>
        <w:jc w:val="both"/>
        <w:rPr>
          <w:rFonts w:ascii="Arial" w:hAnsi="Arial" w:cs="Arial"/>
        </w:rPr>
      </w:pPr>
      <w:r w:rsidRPr="00E1064F">
        <w:rPr>
          <w:rFonts w:ascii="Arial" w:hAnsi="Arial" w:cs="Arial"/>
        </w:rPr>
        <w:t>Parágrafo único. O registro de cada entidade integrante do Projeto deverá conter a identificação desta Portaria e o número do respectivo Projeto indicado no Anexo, no formato estabelecido pela ANEEL.</w:t>
      </w:r>
    </w:p>
    <w:p w:rsidR="007C46CC" w:rsidRPr="00E1064F" w:rsidRDefault="007C46CC" w:rsidP="007C46CC">
      <w:pPr>
        <w:autoSpaceDE w:val="0"/>
        <w:autoSpaceDN w:val="0"/>
        <w:adjustRightInd w:val="0"/>
        <w:ind w:firstLine="1134"/>
        <w:jc w:val="both"/>
        <w:rPr>
          <w:rFonts w:ascii="Arial" w:hAnsi="Arial" w:cs="Arial"/>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Art. 4</w:t>
      </w:r>
      <w:r w:rsidRPr="007C46CC">
        <w:rPr>
          <w:rFonts w:ascii="Arial" w:hAnsi="Arial" w:cs="Arial"/>
          <w:color w:val="000000"/>
          <w:u w:val="words"/>
          <w:vertAlign w:val="superscript"/>
        </w:rPr>
        <w:t>o</w:t>
      </w:r>
      <w:r w:rsidRPr="00E1064F">
        <w:rPr>
          <w:rFonts w:ascii="Arial" w:hAnsi="Arial" w:cs="Arial"/>
          <w:color w:val="000000"/>
        </w:rPr>
        <w:t xml:space="preserve"> A ANEEL deverá informar à Secretaria de Planejamento e Desenvolvimento Energético do Ministério de Minas e Energia, até março de cada ano, a situação de cada um dos Projetos aprovados como prioritários, nos termos do art. 6</w:t>
      </w:r>
      <w:r w:rsidRPr="007C46CC">
        <w:rPr>
          <w:rFonts w:ascii="Arial" w:hAnsi="Arial" w:cs="Arial"/>
          <w:color w:val="000000"/>
          <w:u w:val="words"/>
          <w:vertAlign w:val="superscript"/>
        </w:rPr>
        <w:t>o</w:t>
      </w:r>
      <w:r w:rsidRPr="00E1064F">
        <w:rPr>
          <w:rFonts w:ascii="Arial" w:hAnsi="Arial" w:cs="Arial"/>
          <w:color w:val="000000"/>
        </w:rPr>
        <w:t xml:space="preserve"> da Portaria </w:t>
      </w:r>
      <w:r w:rsidRPr="00E1064F">
        <w:rPr>
          <w:rFonts w:ascii="Arial" w:hAnsi="Arial" w:cs="Arial"/>
        </w:rPr>
        <w:t>MME n</w:t>
      </w:r>
      <w:r w:rsidRPr="007C46CC">
        <w:rPr>
          <w:rFonts w:ascii="Arial" w:hAnsi="Arial" w:cs="Arial"/>
          <w:u w:val="words"/>
          <w:vertAlign w:val="superscript"/>
        </w:rPr>
        <w:t>o</w:t>
      </w:r>
      <w:r w:rsidRPr="00E1064F">
        <w:rPr>
          <w:rFonts w:ascii="Arial" w:hAnsi="Arial" w:cs="Arial"/>
        </w:rPr>
        <w:t xml:space="preserve"> 505, </w:t>
      </w:r>
      <w:r w:rsidRPr="00E1064F">
        <w:rPr>
          <w:rFonts w:ascii="Arial" w:hAnsi="Arial" w:cs="Arial"/>
          <w:color w:val="000000"/>
        </w:rPr>
        <w:t>de 24 de outubro de 2016</w:t>
      </w:r>
      <w:r w:rsidRPr="00E1064F">
        <w:rPr>
          <w:rFonts w:ascii="Arial" w:hAnsi="Arial" w:cs="Arial"/>
        </w:rPr>
        <w:t xml:space="preserve">, tendo por base a </w:t>
      </w:r>
      <w:r w:rsidRPr="00E1064F">
        <w:rPr>
          <w:rFonts w:ascii="Arial" w:hAnsi="Arial" w:cs="Arial"/>
          <w:color w:val="000000"/>
        </w:rPr>
        <w:t>comprovação da execução no SIG-R.</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Art. 5</w:t>
      </w:r>
      <w:r w:rsidRPr="007C46CC">
        <w:rPr>
          <w:rFonts w:ascii="Arial" w:hAnsi="Arial" w:cs="Arial"/>
          <w:color w:val="000000"/>
          <w:u w:val="words"/>
          <w:vertAlign w:val="superscript"/>
        </w:rPr>
        <w:t>o</w:t>
      </w:r>
      <w:r w:rsidRPr="00E1064F">
        <w:rPr>
          <w:rFonts w:ascii="Arial" w:hAnsi="Arial" w:cs="Arial"/>
          <w:color w:val="000000"/>
        </w:rPr>
        <w:t xml:space="preserve"> Alterações técnicas ou de titularidade dos Projetos de que trata esta Portaria, autorizadas pela ANEEL ou pelo Ministério de Minas e Energia, não ensejarão a publicação de nova Portaria de aprovação dos Projetos como prioritários, para os fins do art. 2</w:t>
      </w:r>
      <w:r w:rsidRPr="007C46CC">
        <w:rPr>
          <w:rFonts w:ascii="Arial" w:hAnsi="Arial" w:cs="Arial"/>
          <w:color w:val="000000"/>
          <w:u w:val="words"/>
          <w:vertAlign w:val="superscript"/>
        </w:rPr>
        <w:t>o</w:t>
      </w:r>
      <w:r w:rsidRPr="00E1064F">
        <w:rPr>
          <w:rFonts w:ascii="Arial" w:hAnsi="Arial" w:cs="Arial"/>
          <w:color w:val="000000"/>
        </w:rPr>
        <w:t xml:space="preserve"> da Lei n</w:t>
      </w:r>
      <w:r w:rsidRPr="007C46CC">
        <w:rPr>
          <w:rFonts w:ascii="Arial" w:hAnsi="Arial" w:cs="Arial"/>
          <w:color w:val="000000"/>
          <w:u w:val="words"/>
          <w:vertAlign w:val="superscript"/>
        </w:rPr>
        <w:t>o</w:t>
      </w:r>
      <w:r w:rsidRPr="00E1064F">
        <w:rPr>
          <w:rFonts w:ascii="Arial" w:hAnsi="Arial" w:cs="Arial"/>
          <w:color w:val="000000"/>
        </w:rPr>
        <w:t xml:space="preserve"> 12.431, de 2011.</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autoSpaceDE w:val="0"/>
        <w:autoSpaceDN w:val="0"/>
        <w:adjustRightInd w:val="0"/>
        <w:ind w:firstLine="1134"/>
        <w:jc w:val="both"/>
        <w:rPr>
          <w:rFonts w:ascii="Arial" w:hAnsi="Arial" w:cs="Arial"/>
          <w:color w:val="000000"/>
        </w:rPr>
      </w:pPr>
      <w:r w:rsidRPr="00E1064F">
        <w:rPr>
          <w:rFonts w:ascii="Arial" w:hAnsi="Arial" w:cs="Arial"/>
          <w:color w:val="000000"/>
        </w:rPr>
        <w:t xml:space="preserve">Art. </w:t>
      </w:r>
      <w:r w:rsidRPr="00E1064F">
        <w:rPr>
          <w:rFonts w:ascii="Arial" w:hAnsi="Arial" w:cs="Arial"/>
        </w:rPr>
        <w:t>6</w:t>
      </w:r>
      <w:r w:rsidRPr="007C46CC">
        <w:rPr>
          <w:rFonts w:ascii="Arial" w:hAnsi="Arial" w:cs="Arial"/>
          <w:color w:val="000000"/>
          <w:u w:val="words"/>
          <w:vertAlign w:val="superscript"/>
        </w:rPr>
        <w:t>o</w:t>
      </w:r>
      <w:r w:rsidRPr="00E1064F">
        <w:rPr>
          <w:rFonts w:ascii="Arial" w:hAnsi="Arial" w:cs="Arial"/>
          <w:color w:val="000000"/>
        </w:rPr>
        <w:t xml:space="preserve"> O descumprimento das obrigações de que trata esta Portaria implicará na automática revogação da aprovação dos Projetos como prioritários.</w:t>
      </w:r>
    </w:p>
    <w:p w:rsidR="007C46CC" w:rsidRPr="00E1064F" w:rsidRDefault="007C46CC" w:rsidP="007C46CC">
      <w:pPr>
        <w:autoSpaceDE w:val="0"/>
        <w:autoSpaceDN w:val="0"/>
        <w:adjustRightInd w:val="0"/>
        <w:ind w:firstLine="1134"/>
        <w:jc w:val="both"/>
        <w:rPr>
          <w:rFonts w:ascii="Arial" w:hAnsi="Arial" w:cs="Arial"/>
          <w:color w:val="000000"/>
        </w:rPr>
      </w:pPr>
    </w:p>
    <w:p w:rsidR="007C46CC" w:rsidRPr="00E1064F" w:rsidRDefault="007C46CC" w:rsidP="007C46CC">
      <w:pPr>
        <w:overflowPunct w:val="0"/>
        <w:autoSpaceDE w:val="0"/>
        <w:autoSpaceDN w:val="0"/>
        <w:adjustRightInd w:val="0"/>
        <w:ind w:firstLine="1134"/>
        <w:jc w:val="both"/>
        <w:textAlignment w:val="baseline"/>
        <w:rPr>
          <w:rFonts w:ascii="Arial" w:hAnsi="Arial" w:cs="Arial"/>
          <w:color w:val="000000"/>
        </w:rPr>
      </w:pPr>
      <w:r w:rsidRPr="00E1064F">
        <w:rPr>
          <w:rFonts w:ascii="Arial" w:hAnsi="Arial" w:cs="Arial"/>
          <w:color w:val="000000"/>
        </w:rPr>
        <w:t>Art. 7</w:t>
      </w:r>
      <w:r w:rsidRPr="007C46CC">
        <w:rPr>
          <w:rFonts w:ascii="Arial" w:hAnsi="Arial" w:cs="Arial"/>
          <w:color w:val="000000"/>
          <w:u w:val="words"/>
          <w:vertAlign w:val="superscript"/>
        </w:rPr>
        <w:t>o</w:t>
      </w:r>
      <w:r w:rsidRPr="00E1064F">
        <w:rPr>
          <w:rFonts w:ascii="Arial" w:hAnsi="Arial" w:cs="Arial"/>
          <w:color w:val="000000"/>
        </w:rPr>
        <w:t xml:space="preserve"> Esta Portaria entra em vigor na data de sua publicação.</w:t>
      </w:r>
    </w:p>
    <w:p w:rsidR="001B762E" w:rsidRPr="00F14D02" w:rsidRDefault="001B762E" w:rsidP="001B762E">
      <w:pPr>
        <w:pStyle w:val="Default"/>
        <w:jc w:val="center"/>
        <w:rPr>
          <w:color w:val="auto"/>
          <w:sz w:val="22"/>
          <w:szCs w:val="22"/>
        </w:rPr>
      </w:pPr>
    </w:p>
    <w:p w:rsidR="001B762E" w:rsidRPr="00F14D02" w:rsidRDefault="001B762E" w:rsidP="001B762E">
      <w:pPr>
        <w:overflowPunct w:val="0"/>
        <w:autoSpaceDE w:val="0"/>
        <w:autoSpaceDN w:val="0"/>
        <w:adjustRightInd w:val="0"/>
        <w:jc w:val="center"/>
        <w:textAlignment w:val="baseline"/>
        <w:rPr>
          <w:rFonts w:ascii="Arial" w:hAnsi="Arial" w:cs="Arial"/>
          <w:b/>
          <w:bCs/>
        </w:rPr>
      </w:pPr>
      <w:r w:rsidRPr="00F14D02">
        <w:rPr>
          <w:rStyle w:val="Forte"/>
          <w:rFonts w:ascii="Arial" w:hAnsi="Arial" w:cs="Arial"/>
          <w:bdr w:val="none" w:sz="0" w:space="0" w:color="auto" w:frame="1"/>
        </w:rPr>
        <w:t>EDUARDO AZEVEDO RODRIGUES</w:t>
      </w:r>
    </w:p>
    <w:p w:rsidR="001B762E" w:rsidRPr="00977C56" w:rsidRDefault="001B762E" w:rsidP="001B762E">
      <w:pPr>
        <w:autoSpaceDE w:val="0"/>
        <w:ind w:right="-40"/>
        <w:jc w:val="center"/>
        <w:rPr>
          <w:rFonts w:ascii="Arial" w:hAnsi="Arial" w:cs="Arial"/>
          <w:b/>
        </w:rPr>
      </w:pPr>
    </w:p>
    <w:p w:rsidR="001B762E" w:rsidRPr="00E12368" w:rsidRDefault="001B762E" w:rsidP="001B762E">
      <w:pPr>
        <w:autoSpaceDE w:val="0"/>
        <w:jc w:val="both"/>
        <w:rPr>
          <w:rFonts w:ascii="Arial" w:hAnsi="Arial" w:cs="Arial"/>
        </w:rPr>
      </w:pPr>
      <w:r w:rsidRPr="00977C56">
        <w:rPr>
          <w:rFonts w:ascii="Arial" w:hAnsi="Arial" w:cs="Arial"/>
          <w:color w:val="FF0000"/>
        </w:rPr>
        <w:t xml:space="preserve">Este texto não substitui o publicado no DOU de </w:t>
      </w:r>
      <w:r>
        <w:rPr>
          <w:rFonts w:ascii="Arial" w:hAnsi="Arial" w:cs="Arial"/>
          <w:color w:val="FF0000"/>
        </w:rPr>
        <w:t>10</w:t>
      </w:r>
      <w:r w:rsidRPr="00977C56">
        <w:rPr>
          <w:rFonts w:ascii="Arial" w:hAnsi="Arial" w:cs="Arial"/>
          <w:color w:val="FF0000"/>
        </w:rPr>
        <w:t>.</w:t>
      </w:r>
      <w:r>
        <w:rPr>
          <w:rFonts w:ascii="Arial" w:hAnsi="Arial" w:cs="Arial"/>
          <w:color w:val="FF0000"/>
        </w:rPr>
        <w:t>5</w:t>
      </w:r>
      <w:r w:rsidRPr="00977C56">
        <w:rPr>
          <w:rFonts w:ascii="Arial" w:hAnsi="Arial" w:cs="Arial"/>
          <w:color w:val="FF0000"/>
        </w:rPr>
        <w:t>.2017 - Seção 1.</w:t>
      </w:r>
      <w:r w:rsidRPr="00977C56">
        <w:rPr>
          <w:rFonts w:ascii="Arial" w:hAnsi="Arial" w:cs="Arial"/>
          <w:sz w:val="2"/>
          <w:szCs w:val="2"/>
        </w:rPr>
        <w:t xml:space="preserve"> </w:t>
      </w:r>
    </w:p>
    <w:p w:rsidR="00B1683B" w:rsidRPr="00B1683B" w:rsidRDefault="00B1683B" w:rsidP="00A146BD">
      <w:pPr>
        <w:autoSpaceDE w:val="0"/>
        <w:jc w:val="both"/>
        <w:rPr>
          <w:rFonts w:ascii="Arial" w:hAnsi="Arial" w:cs="Arial"/>
          <w:sz w:val="16"/>
          <w:szCs w:val="16"/>
        </w:rPr>
      </w:pPr>
    </w:p>
    <w:p w:rsidR="00B1683B" w:rsidRDefault="00B1683B" w:rsidP="00B1683B">
      <w:pPr>
        <w:autoSpaceDE w:val="0"/>
        <w:autoSpaceDN w:val="0"/>
        <w:adjustRightInd w:val="0"/>
        <w:jc w:val="center"/>
        <w:rPr>
          <w:rFonts w:ascii="Arial" w:hAnsi="Arial" w:cs="Arial"/>
          <w:b/>
          <w:bCs/>
          <w:color w:val="000000"/>
          <w:sz w:val="22"/>
          <w:szCs w:val="22"/>
        </w:rPr>
        <w:sectPr w:rsidR="00B1683B" w:rsidSect="00287896">
          <w:headerReference w:type="default" r:id="rId9"/>
          <w:pgSz w:w="11907" w:h="16840" w:code="9"/>
          <w:pgMar w:top="851" w:right="567" w:bottom="454" w:left="1134" w:header="737" w:footer="0" w:gutter="0"/>
          <w:pgNumType w:start="1"/>
          <w:cols w:space="708"/>
          <w:titlePg/>
          <w:docGrid w:linePitch="360"/>
        </w:sectPr>
      </w:pPr>
    </w:p>
    <w:p w:rsidR="00F910C8" w:rsidRDefault="00F910C8" w:rsidP="00F910C8">
      <w:pPr>
        <w:tabs>
          <w:tab w:val="left" w:pos="1418"/>
        </w:tabs>
        <w:autoSpaceDE w:val="0"/>
        <w:autoSpaceDN w:val="0"/>
        <w:adjustRightInd w:val="0"/>
        <w:jc w:val="center"/>
        <w:rPr>
          <w:rFonts w:ascii="Arial" w:hAnsi="Arial" w:cs="Arial"/>
          <w:b/>
          <w:color w:val="000000"/>
        </w:rPr>
      </w:pPr>
      <w:r w:rsidRPr="00904CBA">
        <w:rPr>
          <w:rFonts w:ascii="Arial" w:hAnsi="Arial" w:cs="Arial"/>
          <w:b/>
          <w:color w:val="000000"/>
        </w:rPr>
        <w:lastRenderedPageBreak/>
        <w:t>ANEXO</w:t>
      </w:r>
    </w:p>
    <w:p w:rsidR="00EC4139" w:rsidRDefault="00EC4139" w:rsidP="00EC4139">
      <w:pPr>
        <w:overflowPunct w:val="0"/>
        <w:autoSpaceDE w:val="0"/>
        <w:autoSpaceDN w:val="0"/>
        <w:adjustRightInd w:val="0"/>
        <w:jc w:val="center"/>
        <w:textAlignment w:val="baseline"/>
        <w:rPr>
          <w:rFonts w:ascii="Arial" w:hAnsi="Arial" w:cs="Arial"/>
          <w:color w:val="000000"/>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6378"/>
        <w:gridCol w:w="426"/>
        <w:gridCol w:w="3685"/>
        <w:gridCol w:w="425"/>
        <w:gridCol w:w="3686"/>
      </w:tblGrid>
      <w:tr w:rsidR="007C46CC" w:rsidRPr="00E1064F" w:rsidTr="00E06A0A">
        <w:trPr>
          <w:jc w:val="center"/>
        </w:trPr>
        <w:tc>
          <w:tcPr>
            <w:tcW w:w="15168" w:type="dxa"/>
            <w:gridSpan w:val="6"/>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keepNext/>
              <w:ind w:left="-70"/>
              <w:jc w:val="center"/>
              <w:outlineLvl w:val="1"/>
              <w:rPr>
                <w:rFonts w:ascii="Arial" w:hAnsi="Arial" w:cs="Arial"/>
                <w:bCs/>
                <w:sz w:val="22"/>
                <w:szCs w:val="22"/>
              </w:rPr>
            </w:pPr>
            <w:r w:rsidRPr="00E1064F">
              <w:rPr>
                <w:rFonts w:ascii="Arial" w:hAnsi="Arial" w:cs="Arial"/>
                <w:bCs/>
                <w:sz w:val="22"/>
                <w:szCs w:val="22"/>
              </w:rPr>
              <w:t>FORMULÁRIO DO PROJETO</w:t>
            </w:r>
          </w:p>
        </w:tc>
      </w:tr>
      <w:tr w:rsidR="007C46CC" w:rsidRPr="00E1064F" w:rsidTr="00E06A0A">
        <w:trPr>
          <w:jc w:val="center"/>
        </w:trPr>
        <w:tc>
          <w:tcPr>
            <w:tcW w:w="15168" w:type="dxa"/>
            <w:gridSpan w:val="6"/>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keepNext/>
              <w:ind w:left="-70"/>
              <w:jc w:val="center"/>
              <w:outlineLvl w:val="1"/>
              <w:rPr>
                <w:rFonts w:ascii="Arial" w:hAnsi="Arial" w:cs="Arial"/>
                <w:bCs/>
                <w:sz w:val="22"/>
                <w:szCs w:val="22"/>
              </w:rPr>
            </w:pPr>
            <w:r w:rsidRPr="00E1064F">
              <w:rPr>
                <w:rFonts w:ascii="Arial" w:hAnsi="Arial" w:cs="Arial"/>
                <w:bCs/>
                <w:sz w:val="22"/>
                <w:szCs w:val="22"/>
              </w:rPr>
              <w:t>CONCESSIONÁRIA</w:t>
            </w:r>
          </w:p>
        </w:tc>
      </w:tr>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01</w:t>
            </w:r>
          </w:p>
        </w:tc>
        <w:tc>
          <w:tcPr>
            <w:tcW w:w="10489" w:type="dxa"/>
            <w:gridSpan w:val="3"/>
            <w:tcBorders>
              <w:top w:val="nil"/>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Razão Social</w:t>
            </w:r>
          </w:p>
        </w:tc>
        <w:tc>
          <w:tcPr>
            <w:tcW w:w="425"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02</w:t>
            </w:r>
          </w:p>
        </w:tc>
        <w:tc>
          <w:tcPr>
            <w:tcW w:w="3686" w:type="dxa"/>
            <w:tcBorders>
              <w:top w:val="nil"/>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CNPJ</w:t>
            </w:r>
          </w:p>
        </w:tc>
      </w:tr>
      <w:tr w:rsidR="007C46CC" w:rsidRPr="00E1064F" w:rsidTr="00E06A0A">
        <w:trPr>
          <w:jc w:val="center"/>
        </w:trPr>
        <w:tc>
          <w:tcPr>
            <w:tcW w:w="11057" w:type="dxa"/>
            <w:gridSpan w:val="4"/>
            <w:tcBorders>
              <w:top w:val="single" w:sz="4" w:space="0" w:color="auto"/>
              <w:left w:val="single" w:sz="4" w:space="0" w:color="auto"/>
              <w:bottom w:val="single" w:sz="4" w:space="0" w:color="auto"/>
              <w:right w:val="nil"/>
            </w:tcBorders>
          </w:tcPr>
          <w:p w:rsidR="007C46CC" w:rsidRPr="00E1064F" w:rsidRDefault="007C46CC" w:rsidP="00E06A0A">
            <w:pPr>
              <w:jc w:val="both"/>
              <w:rPr>
                <w:rFonts w:ascii="Arial" w:hAnsi="Arial" w:cs="Arial"/>
                <w:sz w:val="22"/>
                <w:szCs w:val="22"/>
              </w:rPr>
            </w:pPr>
            <w:proofErr w:type="spellStart"/>
            <w:r w:rsidRPr="00E1064F">
              <w:rPr>
                <w:rFonts w:ascii="Arial" w:hAnsi="Arial" w:cs="Arial"/>
                <w:sz w:val="22"/>
                <w:szCs w:val="22"/>
              </w:rPr>
              <w:t>Energisa</w:t>
            </w:r>
            <w:proofErr w:type="spellEnd"/>
            <w:r w:rsidRPr="00E1064F">
              <w:rPr>
                <w:rFonts w:ascii="Arial" w:hAnsi="Arial" w:cs="Arial"/>
                <w:sz w:val="22"/>
                <w:szCs w:val="22"/>
              </w:rPr>
              <w:t xml:space="preserve"> </w:t>
            </w:r>
            <w:r w:rsidRPr="00E1064F">
              <w:rPr>
                <w:rFonts w:ascii="Arial" w:hAnsi="Arial" w:cs="Arial"/>
                <w:bCs/>
                <w:noProof/>
                <w:color w:val="000000"/>
                <w:sz w:val="22"/>
                <w:szCs w:val="22"/>
              </w:rPr>
              <w:t>Paraíba</w:t>
            </w:r>
            <w:r w:rsidRPr="00E1064F">
              <w:rPr>
                <w:rFonts w:ascii="Arial" w:hAnsi="Arial" w:cs="Arial"/>
                <w:sz w:val="22"/>
                <w:szCs w:val="22"/>
              </w:rPr>
              <w:t xml:space="preserve"> - Distribuidora de Energia S.A.</w:t>
            </w:r>
          </w:p>
        </w:tc>
        <w:tc>
          <w:tcPr>
            <w:tcW w:w="4111" w:type="dxa"/>
            <w:gridSpan w:val="2"/>
            <w:tcBorders>
              <w:top w:val="nil"/>
              <w:left w:val="nil"/>
              <w:bottom w:val="nil"/>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bCs/>
                <w:noProof/>
                <w:color w:val="000000"/>
                <w:sz w:val="22"/>
                <w:szCs w:val="22"/>
              </w:rPr>
              <w:t>09.095.183/0001-40</w:t>
            </w:r>
            <w:r w:rsidRPr="00E1064F">
              <w:rPr>
                <w:rFonts w:ascii="Arial" w:hAnsi="Arial" w:cs="Arial"/>
                <w:sz w:val="22"/>
                <w:szCs w:val="22"/>
              </w:rPr>
              <w:t>.</w:t>
            </w:r>
          </w:p>
        </w:tc>
      </w:tr>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03</w:t>
            </w:r>
          </w:p>
        </w:tc>
        <w:tc>
          <w:tcPr>
            <w:tcW w:w="10489" w:type="dxa"/>
            <w:gridSpan w:val="3"/>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 xml:space="preserve">Logradouro </w:t>
            </w:r>
          </w:p>
        </w:tc>
        <w:tc>
          <w:tcPr>
            <w:tcW w:w="425"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04</w:t>
            </w:r>
          </w:p>
        </w:tc>
        <w:tc>
          <w:tcPr>
            <w:tcW w:w="3686"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Número</w:t>
            </w:r>
          </w:p>
        </w:tc>
      </w:tr>
      <w:tr w:rsidR="007C46CC" w:rsidRPr="00E1064F" w:rsidTr="00E06A0A">
        <w:trPr>
          <w:jc w:val="center"/>
        </w:trPr>
        <w:tc>
          <w:tcPr>
            <w:tcW w:w="11057" w:type="dxa"/>
            <w:gridSpan w:val="4"/>
            <w:tcBorders>
              <w:top w:val="single" w:sz="4" w:space="0" w:color="auto"/>
              <w:left w:val="single" w:sz="4" w:space="0" w:color="auto"/>
              <w:bottom w:val="single" w:sz="4" w:space="0" w:color="auto"/>
              <w:right w:val="nil"/>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BR 230, km 25.</w:t>
            </w:r>
          </w:p>
        </w:tc>
        <w:tc>
          <w:tcPr>
            <w:tcW w:w="4111" w:type="dxa"/>
            <w:gridSpan w:val="2"/>
            <w:tcBorders>
              <w:top w:val="nil"/>
              <w:left w:val="nil"/>
              <w:bottom w:val="single"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s/n</w:t>
            </w:r>
            <w:r w:rsidRPr="007C46CC">
              <w:rPr>
                <w:rFonts w:ascii="Arial" w:hAnsi="Arial" w:cs="Arial"/>
                <w:sz w:val="22"/>
                <w:szCs w:val="22"/>
                <w:u w:val="words"/>
                <w:vertAlign w:val="superscript"/>
              </w:rPr>
              <w:t>o</w:t>
            </w:r>
            <w:r w:rsidRPr="00E1064F">
              <w:rPr>
                <w:rFonts w:ascii="Arial" w:hAnsi="Arial" w:cs="Arial"/>
                <w:sz w:val="22"/>
                <w:szCs w:val="22"/>
              </w:rPr>
              <w:t>.</w:t>
            </w:r>
          </w:p>
        </w:tc>
      </w:tr>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05</w:t>
            </w:r>
          </w:p>
        </w:tc>
        <w:tc>
          <w:tcPr>
            <w:tcW w:w="6378"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 xml:space="preserve">Complemento </w:t>
            </w:r>
          </w:p>
        </w:tc>
        <w:tc>
          <w:tcPr>
            <w:tcW w:w="426"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06</w:t>
            </w:r>
          </w:p>
        </w:tc>
        <w:tc>
          <w:tcPr>
            <w:tcW w:w="3685"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Bairro/Distrito</w:t>
            </w:r>
          </w:p>
        </w:tc>
        <w:tc>
          <w:tcPr>
            <w:tcW w:w="425"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07</w:t>
            </w:r>
          </w:p>
        </w:tc>
        <w:tc>
          <w:tcPr>
            <w:tcW w:w="3686"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CEP</w:t>
            </w:r>
          </w:p>
        </w:tc>
      </w:tr>
      <w:tr w:rsidR="007C46CC" w:rsidRPr="00E1064F" w:rsidTr="00E06A0A">
        <w:trPr>
          <w:jc w:val="center"/>
        </w:trPr>
        <w:tc>
          <w:tcPr>
            <w:tcW w:w="6946" w:type="dxa"/>
            <w:gridSpan w:val="2"/>
            <w:tcBorders>
              <w:top w:val="single" w:sz="4" w:space="0" w:color="auto"/>
              <w:left w:val="single" w:sz="4" w:space="0" w:color="auto"/>
              <w:bottom w:val="single" w:sz="4" w:space="0" w:color="auto"/>
              <w:right w:val="nil"/>
            </w:tcBorders>
          </w:tcPr>
          <w:p w:rsidR="007C46CC" w:rsidRPr="00E1064F" w:rsidRDefault="007C46CC" w:rsidP="00E06A0A">
            <w:pPr>
              <w:jc w:val="both"/>
              <w:rPr>
                <w:rFonts w:ascii="Arial" w:hAnsi="Arial" w:cs="Arial"/>
                <w:sz w:val="22"/>
                <w:szCs w:val="22"/>
              </w:rPr>
            </w:pPr>
          </w:p>
        </w:tc>
        <w:tc>
          <w:tcPr>
            <w:tcW w:w="4111" w:type="dxa"/>
            <w:gridSpan w:val="2"/>
            <w:tcBorders>
              <w:top w:val="single" w:sz="4" w:space="0" w:color="auto"/>
              <w:left w:val="nil"/>
              <w:bottom w:val="single" w:sz="4" w:space="0" w:color="auto"/>
              <w:right w:val="nil"/>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Cristo Redentor.</w:t>
            </w:r>
          </w:p>
        </w:tc>
        <w:tc>
          <w:tcPr>
            <w:tcW w:w="4111" w:type="dxa"/>
            <w:gridSpan w:val="2"/>
            <w:tcBorders>
              <w:top w:val="single" w:sz="4" w:space="0" w:color="auto"/>
              <w:left w:val="nil"/>
              <w:bottom w:val="nil"/>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58071-680.</w:t>
            </w:r>
          </w:p>
        </w:tc>
      </w:tr>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08</w:t>
            </w:r>
          </w:p>
        </w:tc>
        <w:tc>
          <w:tcPr>
            <w:tcW w:w="6378"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Município</w:t>
            </w:r>
          </w:p>
        </w:tc>
        <w:tc>
          <w:tcPr>
            <w:tcW w:w="426"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09</w:t>
            </w:r>
          </w:p>
        </w:tc>
        <w:tc>
          <w:tcPr>
            <w:tcW w:w="3685"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UF</w:t>
            </w:r>
          </w:p>
        </w:tc>
        <w:tc>
          <w:tcPr>
            <w:tcW w:w="425"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10</w:t>
            </w:r>
          </w:p>
        </w:tc>
        <w:tc>
          <w:tcPr>
            <w:tcW w:w="3686" w:type="dxa"/>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Telefone</w:t>
            </w:r>
          </w:p>
        </w:tc>
      </w:tr>
      <w:tr w:rsidR="007C46CC" w:rsidRPr="00E1064F" w:rsidTr="00E06A0A">
        <w:trPr>
          <w:jc w:val="center"/>
        </w:trPr>
        <w:tc>
          <w:tcPr>
            <w:tcW w:w="6946" w:type="dxa"/>
            <w:gridSpan w:val="2"/>
            <w:tcBorders>
              <w:top w:val="single" w:sz="4" w:space="0" w:color="auto"/>
              <w:left w:val="single" w:sz="4" w:space="0" w:color="auto"/>
              <w:bottom w:val="single" w:sz="4" w:space="0" w:color="auto"/>
              <w:right w:val="nil"/>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João Pessoa.</w:t>
            </w:r>
          </w:p>
        </w:tc>
        <w:tc>
          <w:tcPr>
            <w:tcW w:w="4111" w:type="dxa"/>
            <w:gridSpan w:val="2"/>
            <w:tcBorders>
              <w:top w:val="single" w:sz="4" w:space="0" w:color="auto"/>
              <w:left w:val="nil"/>
              <w:bottom w:val="single" w:sz="4" w:space="0" w:color="auto"/>
              <w:right w:val="nil"/>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Paraíba.</w:t>
            </w:r>
          </w:p>
        </w:tc>
        <w:tc>
          <w:tcPr>
            <w:tcW w:w="4111" w:type="dxa"/>
            <w:gridSpan w:val="2"/>
            <w:tcBorders>
              <w:top w:val="single" w:sz="4" w:space="0" w:color="auto"/>
              <w:left w:val="nil"/>
              <w:bottom w:val="single"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(21) 2122-6930.</w:t>
            </w:r>
          </w:p>
        </w:tc>
      </w:tr>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11</w:t>
            </w:r>
          </w:p>
        </w:tc>
        <w:tc>
          <w:tcPr>
            <w:tcW w:w="14600" w:type="dxa"/>
            <w:gridSpan w:val="5"/>
            <w:tcBorders>
              <w:top w:val="single" w:sz="4" w:space="0" w:color="auto"/>
              <w:left w:val="single" w:sz="4" w:space="0" w:color="auto"/>
              <w:bottom w:val="nil"/>
              <w:right w:val="single" w:sz="4" w:space="0" w:color="auto"/>
            </w:tcBorders>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Contrato de Concessão</w:t>
            </w:r>
          </w:p>
        </w:tc>
      </w:tr>
      <w:tr w:rsidR="007C46CC" w:rsidRPr="00E1064F" w:rsidTr="00E06A0A">
        <w:trPr>
          <w:jc w:val="center"/>
        </w:trPr>
        <w:tc>
          <w:tcPr>
            <w:tcW w:w="15168" w:type="dxa"/>
            <w:gridSpan w:val="6"/>
            <w:tcBorders>
              <w:top w:val="single" w:sz="4" w:space="0" w:color="auto"/>
              <w:left w:val="single" w:sz="4" w:space="0" w:color="auto"/>
              <w:bottom w:val="single"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Contrato de Concessão n</w:t>
            </w:r>
            <w:r w:rsidRPr="007C46CC">
              <w:rPr>
                <w:rFonts w:ascii="Arial" w:hAnsi="Arial" w:cs="Arial"/>
                <w:sz w:val="22"/>
                <w:szCs w:val="22"/>
                <w:u w:val="words"/>
                <w:vertAlign w:val="superscript"/>
              </w:rPr>
              <w:t>o</w:t>
            </w:r>
            <w:r w:rsidRPr="00E1064F">
              <w:rPr>
                <w:rFonts w:ascii="Arial" w:hAnsi="Arial" w:cs="Arial"/>
                <w:sz w:val="22"/>
                <w:szCs w:val="22"/>
              </w:rPr>
              <w:t xml:space="preserve"> </w:t>
            </w:r>
            <w:r w:rsidRPr="00E1064F">
              <w:rPr>
                <w:rFonts w:ascii="Arial" w:hAnsi="Arial" w:cs="Arial"/>
                <w:noProof/>
                <w:sz w:val="22"/>
                <w:szCs w:val="22"/>
              </w:rPr>
              <w:t>019/2001</w:t>
            </w:r>
            <w:r w:rsidRPr="00E1064F">
              <w:rPr>
                <w:rFonts w:ascii="Arial" w:hAnsi="Arial" w:cs="Arial"/>
                <w:sz w:val="22"/>
                <w:szCs w:val="22"/>
              </w:rPr>
              <w:t>-ANEEL, de 21 de março de 2001.</w:t>
            </w:r>
          </w:p>
        </w:tc>
      </w:tr>
    </w:tbl>
    <w:p w:rsidR="007C46CC" w:rsidRPr="00E1064F" w:rsidRDefault="007C46CC" w:rsidP="007C46CC">
      <w:pPr>
        <w:rPr>
          <w:rFonts w:ascii="Arial" w:hAnsi="Arial" w:cs="Arial"/>
          <w:sz w:val="22"/>
          <w:szCs w:val="22"/>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646"/>
        <w:gridCol w:w="5954"/>
      </w:tblGrid>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12</w:t>
            </w:r>
          </w:p>
        </w:tc>
        <w:tc>
          <w:tcPr>
            <w:tcW w:w="14600" w:type="dxa"/>
            <w:gridSpan w:val="2"/>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keepNext/>
              <w:jc w:val="center"/>
              <w:outlineLvl w:val="1"/>
              <w:rPr>
                <w:rFonts w:ascii="Arial" w:hAnsi="Arial" w:cs="Arial"/>
                <w:bCs/>
                <w:sz w:val="22"/>
                <w:szCs w:val="22"/>
              </w:rPr>
            </w:pPr>
            <w:r w:rsidRPr="00E1064F">
              <w:rPr>
                <w:rFonts w:ascii="Arial" w:hAnsi="Arial" w:cs="Arial"/>
                <w:sz w:val="22"/>
                <w:szCs w:val="22"/>
              </w:rPr>
              <w:t>REPRESENTANTE(S) LEGAL(IS) DA CONCESSIONÁRIA</w:t>
            </w:r>
          </w:p>
        </w:tc>
      </w:tr>
      <w:tr w:rsidR="007C46CC" w:rsidRPr="00E1064F" w:rsidTr="00E06A0A">
        <w:trPr>
          <w:jc w:val="center"/>
        </w:trPr>
        <w:tc>
          <w:tcPr>
            <w:tcW w:w="9214" w:type="dxa"/>
            <w:gridSpan w:val="2"/>
            <w:tcBorders>
              <w:top w:val="single" w:sz="4" w:space="0" w:color="auto"/>
              <w:left w:val="single" w:sz="4" w:space="0" w:color="auto"/>
              <w:bottom w:val="dotted"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 xml:space="preserve">Nome: </w:t>
            </w:r>
            <w:r w:rsidRPr="00E1064F">
              <w:rPr>
                <w:rFonts w:ascii="Arial" w:hAnsi="Arial" w:cs="Arial"/>
                <w:noProof/>
                <w:sz w:val="22"/>
                <w:szCs w:val="22"/>
              </w:rPr>
              <w:t>Maurício Perez Botelho</w:t>
            </w:r>
            <w:r w:rsidRPr="00E1064F">
              <w:rPr>
                <w:rFonts w:ascii="Arial" w:hAnsi="Arial" w:cs="Arial"/>
                <w:sz w:val="22"/>
                <w:szCs w:val="22"/>
              </w:rPr>
              <w:t>.</w:t>
            </w:r>
          </w:p>
        </w:tc>
        <w:tc>
          <w:tcPr>
            <w:tcW w:w="5954" w:type="dxa"/>
            <w:tcBorders>
              <w:top w:val="single" w:sz="4" w:space="0" w:color="auto"/>
              <w:left w:val="single" w:sz="4" w:space="0" w:color="auto"/>
              <w:bottom w:val="dotted"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 xml:space="preserve">CPF: </w:t>
            </w:r>
            <w:r w:rsidRPr="00E1064F">
              <w:rPr>
                <w:rFonts w:ascii="Arial" w:hAnsi="Arial" w:cs="Arial"/>
                <w:noProof/>
                <w:sz w:val="22"/>
                <w:szCs w:val="22"/>
              </w:rPr>
              <w:t>738.738.107-00</w:t>
            </w:r>
            <w:r w:rsidRPr="00E1064F">
              <w:rPr>
                <w:rFonts w:ascii="Arial" w:hAnsi="Arial" w:cs="Arial"/>
                <w:sz w:val="22"/>
                <w:szCs w:val="22"/>
              </w:rPr>
              <w:t>.</w:t>
            </w:r>
          </w:p>
        </w:tc>
      </w:tr>
      <w:tr w:rsidR="007C46CC" w:rsidRPr="00E1064F" w:rsidTr="00E06A0A">
        <w:trPr>
          <w:jc w:val="center"/>
        </w:trPr>
        <w:tc>
          <w:tcPr>
            <w:tcW w:w="9214" w:type="dxa"/>
            <w:gridSpan w:val="2"/>
            <w:tcBorders>
              <w:top w:val="dotted"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 xml:space="preserve">Nome: </w:t>
            </w:r>
            <w:r w:rsidRPr="00E1064F">
              <w:rPr>
                <w:rFonts w:ascii="Arial" w:hAnsi="Arial" w:cs="Arial"/>
                <w:noProof/>
                <w:sz w:val="22"/>
                <w:szCs w:val="22"/>
              </w:rPr>
              <w:t>Alexandre Nogueira Ferreira.</w:t>
            </w:r>
          </w:p>
        </w:tc>
        <w:tc>
          <w:tcPr>
            <w:tcW w:w="5954" w:type="dxa"/>
            <w:tcBorders>
              <w:top w:val="dotted"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 xml:space="preserve">CPF: </w:t>
            </w:r>
            <w:r w:rsidRPr="00E1064F">
              <w:rPr>
                <w:rFonts w:ascii="Arial" w:hAnsi="Arial" w:cs="Arial"/>
                <w:noProof/>
                <w:sz w:val="22"/>
                <w:szCs w:val="22"/>
              </w:rPr>
              <w:t>028.042.606-23</w:t>
            </w:r>
            <w:r w:rsidRPr="00E1064F">
              <w:rPr>
                <w:rFonts w:ascii="Arial" w:hAnsi="Arial" w:cs="Arial"/>
                <w:sz w:val="22"/>
                <w:szCs w:val="22"/>
              </w:rPr>
              <w:t>.</w:t>
            </w:r>
          </w:p>
        </w:tc>
      </w:tr>
    </w:tbl>
    <w:p w:rsidR="007C46CC" w:rsidRPr="00E1064F" w:rsidRDefault="007C46CC" w:rsidP="007C46CC">
      <w:pPr>
        <w:rPr>
          <w:rFonts w:ascii="Arial" w:hAnsi="Arial" w:cs="Arial"/>
          <w:sz w:val="22"/>
          <w:szCs w:val="22"/>
        </w:rPr>
      </w:pPr>
    </w:p>
    <w:tbl>
      <w:tblPr>
        <w:tblW w:w="15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6804"/>
        <w:gridCol w:w="3969"/>
        <w:gridCol w:w="3827"/>
      </w:tblGrid>
      <w:tr w:rsidR="007C46CC" w:rsidRPr="00E1064F" w:rsidTr="00E06A0A">
        <w:trPr>
          <w:jc w:val="center"/>
        </w:trPr>
        <w:tc>
          <w:tcPr>
            <w:tcW w:w="496"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13</w:t>
            </w:r>
          </w:p>
        </w:tc>
        <w:tc>
          <w:tcPr>
            <w:tcW w:w="14600" w:type="dxa"/>
            <w:gridSpan w:val="3"/>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keepNext/>
              <w:jc w:val="center"/>
              <w:outlineLvl w:val="1"/>
              <w:rPr>
                <w:rFonts w:ascii="Arial" w:hAnsi="Arial" w:cs="Arial"/>
                <w:bCs/>
                <w:sz w:val="22"/>
                <w:szCs w:val="22"/>
              </w:rPr>
            </w:pPr>
            <w:r w:rsidRPr="00E1064F">
              <w:rPr>
                <w:rFonts w:ascii="Arial" w:hAnsi="Arial" w:cs="Arial"/>
                <w:sz w:val="22"/>
                <w:szCs w:val="22"/>
              </w:rPr>
              <w:t>RELAÇÃO DOS ACIONISTAS DA CONCESSIONÁRIA (Cia. Fechada)</w:t>
            </w:r>
          </w:p>
        </w:tc>
      </w:tr>
      <w:tr w:rsidR="007C46CC" w:rsidRPr="00E1064F" w:rsidTr="00E06A0A">
        <w:trPr>
          <w:jc w:val="center"/>
        </w:trPr>
        <w:tc>
          <w:tcPr>
            <w:tcW w:w="7300" w:type="dxa"/>
            <w:gridSpan w:val="2"/>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Razão Social ou Nome de Pessoa Física</w:t>
            </w:r>
          </w:p>
        </w:tc>
        <w:tc>
          <w:tcPr>
            <w:tcW w:w="3969" w:type="dxa"/>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CNPJ ou CPF</w:t>
            </w:r>
          </w:p>
        </w:tc>
        <w:tc>
          <w:tcPr>
            <w:tcW w:w="3827" w:type="dxa"/>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Participação (%)</w:t>
            </w:r>
          </w:p>
        </w:tc>
      </w:tr>
      <w:tr w:rsidR="007C46CC" w:rsidRPr="00E1064F" w:rsidTr="00E06A0A">
        <w:trPr>
          <w:jc w:val="center"/>
        </w:trPr>
        <w:tc>
          <w:tcPr>
            <w:tcW w:w="7300" w:type="dxa"/>
            <w:gridSpan w:val="2"/>
            <w:tcBorders>
              <w:top w:val="dotted" w:sz="4" w:space="0" w:color="auto"/>
              <w:left w:val="single" w:sz="4" w:space="0" w:color="auto"/>
              <w:bottom w:val="single" w:sz="4" w:space="0" w:color="auto"/>
              <w:right w:val="single" w:sz="4" w:space="0" w:color="auto"/>
            </w:tcBorders>
            <w:vAlign w:val="center"/>
          </w:tcPr>
          <w:p w:rsidR="007C46CC" w:rsidRPr="00E1064F" w:rsidRDefault="007C46CC" w:rsidP="00E06A0A">
            <w:pPr>
              <w:rPr>
                <w:rFonts w:ascii="Arial" w:hAnsi="Arial" w:cs="Arial"/>
                <w:sz w:val="22"/>
                <w:szCs w:val="22"/>
              </w:rPr>
            </w:pPr>
            <w:r w:rsidRPr="00E1064F">
              <w:rPr>
                <w:rFonts w:ascii="Arial" w:hAnsi="Arial" w:cs="Arial"/>
                <w:sz w:val="22"/>
                <w:szCs w:val="22"/>
              </w:rPr>
              <w:t>Não se aplica.</w:t>
            </w:r>
          </w:p>
        </w:tc>
        <w:tc>
          <w:tcPr>
            <w:tcW w:w="3969" w:type="dxa"/>
            <w:tcBorders>
              <w:top w:val="dotted" w:sz="4" w:space="0" w:color="auto"/>
              <w:left w:val="single" w:sz="4" w:space="0" w:color="auto"/>
              <w:bottom w:val="single" w:sz="4" w:space="0" w:color="auto"/>
              <w:right w:val="single" w:sz="4" w:space="0" w:color="auto"/>
            </w:tcBorders>
            <w:vAlign w:val="center"/>
          </w:tcPr>
          <w:p w:rsidR="007C46CC" w:rsidRPr="00E1064F" w:rsidRDefault="007C46CC" w:rsidP="00E06A0A">
            <w:pPr>
              <w:rPr>
                <w:rFonts w:ascii="Arial" w:hAnsi="Arial" w:cs="Arial"/>
                <w:sz w:val="22"/>
                <w:szCs w:val="22"/>
              </w:rPr>
            </w:pPr>
            <w:r w:rsidRPr="00E1064F">
              <w:rPr>
                <w:rFonts w:ascii="Arial" w:hAnsi="Arial" w:cs="Arial"/>
                <w:sz w:val="22"/>
                <w:szCs w:val="22"/>
              </w:rPr>
              <w:t>Não se aplica.</w:t>
            </w:r>
          </w:p>
        </w:tc>
        <w:tc>
          <w:tcPr>
            <w:tcW w:w="3827" w:type="dxa"/>
            <w:tcBorders>
              <w:top w:val="dotted" w:sz="4" w:space="0" w:color="auto"/>
              <w:left w:val="single" w:sz="4" w:space="0" w:color="auto"/>
              <w:bottom w:val="single" w:sz="4" w:space="0" w:color="auto"/>
              <w:right w:val="single" w:sz="4" w:space="0" w:color="auto"/>
            </w:tcBorders>
            <w:vAlign w:val="center"/>
            <w:hideMark/>
          </w:tcPr>
          <w:p w:rsidR="007C46CC" w:rsidRPr="00E1064F" w:rsidRDefault="007C46CC" w:rsidP="00E06A0A">
            <w:pPr>
              <w:jc w:val="both"/>
              <w:rPr>
                <w:rFonts w:ascii="Arial" w:hAnsi="Arial" w:cs="Arial"/>
                <w:sz w:val="22"/>
                <w:szCs w:val="22"/>
              </w:rPr>
            </w:pPr>
            <w:r w:rsidRPr="00E1064F">
              <w:rPr>
                <w:rFonts w:ascii="Arial" w:hAnsi="Arial" w:cs="Arial"/>
                <w:sz w:val="22"/>
                <w:szCs w:val="22"/>
              </w:rPr>
              <w:t>Não se aplica.</w:t>
            </w:r>
          </w:p>
        </w:tc>
      </w:tr>
    </w:tbl>
    <w:p w:rsidR="007C46CC" w:rsidRPr="00E1064F" w:rsidRDefault="007C46CC" w:rsidP="007C46CC">
      <w:pPr>
        <w:rPr>
          <w:rFonts w:ascii="Arial" w:hAnsi="Arial" w:cs="Arial"/>
          <w:sz w:val="22"/>
          <w:szCs w:val="22"/>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646"/>
        <w:gridCol w:w="5954"/>
      </w:tblGrid>
      <w:tr w:rsidR="007C46CC" w:rsidRPr="00E1064F" w:rsidTr="00E06A0A">
        <w:trPr>
          <w:jc w:val="center"/>
        </w:trPr>
        <w:tc>
          <w:tcPr>
            <w:tcW w:w="568" w:type="dxa"/>
            <w:tcBorders>
              <w:top w:val="single" w:sz="4" w:space="0" w:color="auto"/>
              <w:left w:val="single" w:sz="4" w:space="0" w:color="auto"/>
              <w:bottom w:val="single" w:sz="4" w:space="0" w:color="auto"/>
              <w:right w:val="single" w:sz="4" w:space="0" w:color="auto"/>
            </w:tcBorders>
            <w:hideMark/>
          </w:tcPr>
          <w:p w:rsidR="007C46CC" w:rsidRPr="00E1064F" w:rsidRDefault="007C46CC" w:rsidP="00E06A0A">
            <w:pPr>
              <w:ind w:left="-70"/>
              <w:jc w:val="center"/>
              <w:rPr>
                <w:rFonts w:ascii="Arial" w:hAnsi="Arial" w:cs="Arial"/>
                <w:sz w:val="22"/>
                <w:szCs w:val="22"/>
              </w:rPr>
            </w:pPr>
            <w:r w:rsidRPr="00E1064F">
              <w:rPr>
                <w:rFonts w:ascii="Arial" w:hAnsi="Arial" w:cs="Arial"/>
                <w:sz w:val="22"/>
                <w:szCs w:val="22"/>
              </w:rPr>
              <w:t>14</w:t>
            </w:r>
          </w:p>
        </w:tc>
        <w:tc>
          <w:tcPr>
            <w:tcW w:w="14600" w:type="dxa"/>
            <w:gridSpan w:val="2"/>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keepNext/>
              <w:jc w:val="center"/>
              <w:outlineLvl w:val="1"/>
              <w:rPr>
                <w:rFonts w:ascii="Arial" w:hAnsi="Arial" w:cs="Arial"/>
                <w:bCs/>
                <w:sz w:val="22"/>
                <w:szCs w:val="22"/>
              </w:rPr>
            </w:pPr>
            <w:r w:rsidRPr="00E1064F">
              <w:rPr>
                <w:rFonts w:ascii="Arial" w:hAnsi="Arial" w:cs="Arial"/>
                <w:sz w:val="22"/>
                <w:szCs w:val="22"/>
              </w:rPr>
              <w:t>PESSOA JURÍDICA CONTROLADORA DA CONCESSIONÁRIA (Cia. Aberta)</w:t>
            </w:r>
          </w:p>
        </w:tc>
      </w:tr>
      <w:tr w:rsidR="007C46CC" w:rsidRPr="00E1064F" w:rsidTr="00E06A0A">
        <w:trPr>
          <w:jc w:val="center"/>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Razão Social</w:t>
            </w:r>
          </w:p>
        </w:tc>
        <w:tc>
          <w:tcPr>
            <w:tcW w:w="5954" w:type="dxa"/>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rPr>
                <w:rFonts w:ascii="Arial" w:hAnsi="Arial" w:cs="Arial"/>
                <w:sz w:val="22"/>
                <w:szCs w:val="22"/>
              </w:rPr>
            </w:pPr>
            <w:r w:rsidRPr="00E1064F">
              <w:rPr>
                <w:rFonts w:ascii="Arial" w:hAnsi="Arial" w:cs="Arial"/>
                <w:sz w:val="22"/>
                <w:szCs w:val="22"/>
              </w:rPr>
              <w:t>CNPJ</w:t>
            </w:r>
          </w:p>
        </w:tc>
      </w:tr>
      <w:tr w:rsidR="007C46CC" w:rsidRPr="00E1064F" w:rsidTr="00E06A0A">
        <w:trPr>
          <w:jc w:val="center"/>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7C46CC" w:rsidRPr="00E1064F" w:rsidRDefault="007C46CC" w:rsidP="00E06A0A">
            <w:pPr>
              <w:jc w:val="both"/>
              <w:rPr>
                <w:rFonts w:ascii="Arial" w:hAnsi="Arial" w:cs="Arial"/>
                <w:sz w:val="22"/>
                <w:szCs w:val="22"/>
                <w:highlight w:val="yellow"/>
              </w:rPr>
            </w:pPr>
            <w:r w:rsidRPr="00E1064F">
              <w:rPr>
                <w:rFonts w:ascii="Arial" w:hAnsi="Arial" w:cs="Arial"/>
                <w:noProof/>
                <w:sz w:val="22"/>
                <w:szCs w:val="22"/>
              </w:rPr>
              <w:t>Energisa S.A.</w:t>
            </w:r>
          </w:p>
        </w:tc>
        <w:tc>
          <w:tcPr>
            <w:tcW w:w="5954" w:type="dxa"/>
            <w:tcBorders>
              <w:top w:val="single" w:sz="4" w:space="0" w:color="auto"/>
              <w:left w:val="single" w:sz="4" w:space="0" w:color="auto"/>
              <w:bottom w:val="single" w:sz="4" w:space="0" w:color="auto"/>
              <w:right w:val="single" w:sz="4" w:space="0" w:color="auto"/>
            </w:tcBorders>
            <w:vAlign w:val="center"/>
          </w:tcPr>
          <w:p w:rsidR="007C46CC" w:rsidRPr="00E1064F" w:rsidRDefault="007C46CC" w:rsidP="00E06A0A">
            <w:pPr>
              <w:rPr>
                <w:rFonts w:ascii="Arial" w:hAnsi="Arial" w:cs="Arial"/>
                <w:sz w:val="22"/>
                <w:szCs w:val="22"/>
                <w:highlight w:val="yellow"/>
              </w:rPr>
            </w:pPr>
            <w:r w:rsidRPr="00E1064F">
              <w:rPr>
                <w:rFonts w:ascii="Arial" w:hAnsi="Arial" w:cs="Arial"/>
                <w:noProof/>
                <w:sz w:val="22"/>
                <w:szCs w:val="22"/>
              </w:rPr>
              <w:t>00.864.214/0001-06.</w:t>
            </w:r>
          </w:p>
        </w:tc>
      </w:tr>
    </w:tbl>
    <w:p w:rsidR="007C46CC" w:rsidRPr="00E1064F" w:rsidRDefault="007C46CC" w:rsidP="007C46CC">
      <w:pPr>
        <w:rPr>
          <w:rFonts w:ascii="Arial" w:hAnsi="Arial" w:cs="Arial"/>
          <w:sz w:val="22"/>
          <w:szCs w:val="22"/>
        </w:rPr>
      </w:pPr>
    </w:p>
    <w:tbl>
      <w:tblPr>
        <w:tblW w:w="1516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62"/>
        <w:gridCol w:w="426"/>
        <w:gridCol w:w="2693"/>
        <w:gridCol w:w="425"/>
        <w:gridCol w:w="3119"/>
        <w:gridCol w:w="425"/>
        <w:gridCol w:w="2268"/>
        <w:gridCol w:w="425"/>
        <w:gridCol w:w="2552"/>
        <w:gridCol w:w="425"/>
        <w:gridCol w:w="1843"/>
      </w:tblGrid>
      <w:tr w:rsidR="007C46CC" w:rsidRPr="00E1064F" w:rsidTr="00E06A0A">
        <w:trPr>
          <w:trHeight w:val="255"/>
          <w:tblHeader/>
          <w:jc w:val="center"/>
        </w:trPr>
        <w:tc>
          <w:tcPr>
            <w:tcW w:w="15163" w:type="dxa"/>
            <w:gridSpan w:val="11"/>
            <w:tcBorders>
              <w:top w:val="single" w:sz="4" w:space="0" w:color="auto"/>
              <w:bottom w:val="single" w:sz="4" w:space="0" w:color="auto"/>
              <w:right w:val="single" w:sz="4" w:space="0" w:color="auto"/>
            </w:tcBorders>
            <w:shd w:val="clear" w:color="auto" w:fill="FFFFFF"/>
            <w:vAlign w:val="center"/>
            <w:hideMark/>
          </w:tcPr>
          <w:p w:rsidR="007C46CC" w:rsidRPr="00E1064F" w:rsidRDefault="007C46CC" w:rsidP="00E06A0A">
            <w:pPr>
              <w:jc w:val="center"/>
              <w:rPr>
                <w:rFonts w:ascii="Arial" w:hAnsi="Arial" w:cs="Arial"/>
                <w:sz w:val="22"/>
                <w:szCs w:val="22"/>
              </w:rPr>
            </w:pPr>
            <w:r w:rsidRPr="00E1064F">
              <w:rPr>
                <w:rFonts w:ascii="Arial" w:hAnsi="Arial" w:cs="Arial"/>
                <w:sz w:val="22"/>
                <w:szCs w:val="22"/>
              </w:rPr>
              <w:t>PROJETO(S)</w:t>
            </w:r>
          </w:p>
        </w:tc>
      </w:tr>
      <w:tr w:rsidR="007C46CC" w:rsidRPr="00E1064F" w:rsidTr="00E06A0A">
        <w:tblPrEx>
          <w:tblBorders>
            <w:insideH w:val="single" w:sz="4" w:space="0" w:color="auto"/>
            <w:insideV w:val="single" w:sz="4" w:space="0" w:color="auto"/>
          </w:tblBorders>
        </w:tblPrEx>
        <w:trPr>
          <w:trHeight w:val="131"/>
          <w:jc w:val="center"/>
        </w:trPr>
        <w:tc>
          <w:tcPr>
            <w:tcW w:w="562" w:type="dxa"/>
            <w:noWrap/>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N</w:t>
            </w:r>
            <w:r w:rsidRPr="007C46CC">
              <w:rPr>
                <w:rFonts w:ascii="Arial" w:hAnsi="Arial" w:cs="Arial"/>
                <w:sz w:val="22"/>
                <w:szCs w:val="22"/>
                <w:u w:val="words"/>
                <w:vertAlign w:val="superscript"/>
              </w:rPr>
              <w:t>o</w:t>
            </w:r>
            <w:r w:rsidRPr="00E1064F">
              <w:rPr>
                <w:rFonts w:ascii="Arial" w:hAnsi="Arial" w:cs="Arial"/>
                <w:sz w:val="22"/>
                <w:szCs w:val="22"/>
              </w:rPr>
              <w:t xml:space="preserve"> </w:t>
            </w:r>
          </w:p>
        </w:tc>
        <w:tc>
          <w:tcPr>
            <w:tcW w:w="426"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15</w:t>
            </w:r>
          </w:p>
        </w:tc>
        <w:tc>
          <w:tcPr>
            <w:tcW w:w="2693"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Denominação</w:t>
            </w:r>
          </w:p>
        </w:tc>
        <w:tc>
          <w:tcPr>
            <w:tcW w:w="425"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16</w:t>
            </w:r>
          </w:p>
        </w:tc>
        <w:tc>
          <w:tcPr>
            <w:tcW w:w="3119"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Descrição</w:t>
            </w:r>
          </w:p>
        </w:tc>
        <w:tc>
          <w:tcPr>
            <w:tcW w:w="425"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17</w:t>
            </w:r>
          </w:p>
        </w:tc>
        <w:tc>
          <w:tcPr>
            <w:tcW w:w="2268"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 xml:space="preserve">Sistema </w:t>
            </w:r>
            <w:r w:rsidRPr="00E1064F">
              <w:rPr>
                <w:rFonts w:ascii="Arial" w:hAnsi="Arial" w:cs="Arial"/>
                <w:i/>
                <w:sz w:val="22"/>
                <w:szCs w:val="22"/>
              </w:rPr>
              <w:t>(SED ou SDAT)</w:t>
            </w:r>
          </w:p>
        </w:tc>
        <w:tc>
          <w:tcPr>
            <w:tcW w:w="425"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18</w:t>
            </w:r>
          </w:p>
        </w:tc>
        <w:tc>
          <w:tcPr>
            <w:tcW w:w="2552"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Localização [Município(s)/UF(s)]</w:t>
            </w:r>
          </w:p>
        </w:tc>
        <w:tc>
          <w:tcPr>
            <w:tcW w:w="425"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19</w:t>
            </w:r>
          </w:p>
        </w:tc>
        <w:tc>
          <w:tcPr>
            <w:tcW w:w="1843" w:type="dxa"/>
            <w:vAlign w:val="center"/>
          </w:tcPr>
          <w:p w:rsidR="007C46CC" w:rsidRPr="00E1064F" w:rsidRDefault="007C46CC" w:rsidP="00E06A0A">
            <w:pPr>
              <w:jc w:val="center"/>
              <w:rPr>
                <w:rFonts w:ascii="Arial" w:hAnsi="Arial" w:cs="Arial"/>
                <w:color w:val="000000"/>
                <w:sz w:val="22"/>
                <w:szCs w:val="22"/>
              </w:rPr>
            </w:pPr>
            <w:r w:rsidRPr="00E1064F">
              <w:rPr>
                <w:rFonts w:ascii="Arial" w:hAnsi="Arial" w:cs="Arial"/>
                <w:sz w:val="22"/>
                <w:szCs w:val="22"/>
              </w:rPr>
              <w:t>Data Prevista para Entrada em Operação</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single"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w:t>
            </w:r>
          </w:p>
        </w:tc>
        <w:tc>
          <w:tcPr>
            <w:tcW w:w="3119" w:type="dxa"/>
            <w:gridSpan w:val="2"/>
            <w:tcBorders>
              <w:top w:val="single"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de Linha de Distribuição - LD Santa Rita II - Sapé (2388).</w:t>
            </w:r>
          </w:p>
        </w:tc>
        <w:tc>
          <w:tcPr>
            <w:tcW w:w="3544" w:type="dxa"/>
            <w:gridSpan w:val="2"/>
            <w:tcBorders>
              <w:top w:val="single"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Construção da Linha de Distribuição - LD Santa Rita II - Sapé, 69 kV, com extensão de trinta e sete quilômetros, Padrão Urbano/Rural, com Cabo 336,4 MCM, CAA. </w:t>
            </w:r>
          </w:p>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lastRenderedPageBreak/>
              <w:t xml:space="preserve">Ampliação do Barramento de 69 kV da Subestação - SE Sapé (69/13,8 kV), com a instalação de três Disjuntores de 69 kV, instalação de oito Chaves Tripolares de 69 kV e instalação de nove Transformadores de Corrente - </w:t>
            </w:r>
            <w:proofErr w:type="spellStart"/>
            <w:r w:rsidRPr="00E1064F">
              <w:rPr>
                <w:rFonts w:ascii="Arial" w:hAnsi="Arial" w:cs="Arial"/>
                <w:color w:val="000000"/>
                <w:sz w:val="22"/>
                <w:szCs w:val="22"/>
              </w:rPr>
              <w:t>TC’s</w:t>
            </w:r>
            <w:proofErr w:type="spellEnd"/>
            <w:r w:rsidRPr="00E1064F">
              <w:rPr>
                <w:rFonts w:ascii="Arial" w:hAnsi="Arial" w:cs="Arial"/>
                <w:color w:val="000000"/>
                <w:sz w:val="22"/>
                <w:szCs w:val="22"/>
              </w:rPr>
              <w:t xml:space="preserve"> de 69 kV.</w:t>
            </w:r>
          </w:p>
        </w:tc>
        <w:tc>
          <w:tcPr>
            <w:tcW w:w="2693" w:type="dxa"/>
            <w:gridSpan w:val="2"/>
            <w:tcBorders>
              <w:top w:val="single" w:sz="4" w:space="0" w:color="auto"/>
              <w:left w:val="nil"/>
              <w:bottom w:val="dotted"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color w:val="000000"/>
                <w:sz w:val="22"/>
                <w:szCs w:val="22"/>
              </w:rPr>
              <w:lastRenderedPageBreak/>
              <w:t xml:space="preserve">Sistema de Distribuição de Alta Tensão - SDAT e </w:t>
            </w: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single"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Municípios de </w:t>
            </w:r>
            <w:r w:rsidRPr="00E1064F">
              <w:rPr>
                <w:rFonts w:ascii="Arial" w:hAnsi="Arial" w:cs="Arial"/>
                <w:color w:val="000000"/>
                <w:sz w:val="22"/>
                <w:szCs w:val="22"/>
              </w:rPr>
              <w:t>Santa Rita e Sapé</w:t>
            </w:r>
            <w:r w:rsidRPr="00E1064F">
              <w:rPr>
                <w:rFonts w:ascii="Arial" w:hAnsi="Arial" w:cs="Arial"/>
                <w:sz w:val="22"/>
                <w:szCs w:val="22"/>
              </w:rPr>
              <w:t>, Estado da Paraíba.</w:t>
            </w:r>
          </w:p>
        </w:tc>
        <w:tc>
          <w:tcPr>
            <w:tcW w:w="2268" w:type="dxa"/>
            <w:gridSpan w:val="2"/>
            <w:tcBorders>
              <w:top w:val="single"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Maio/2017.</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2</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da LD Santa Rita - Bessa (4130).</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da Linha de Distribuição - LD Santa Rita - Bessa (Trecho Cruz do Peixe - Bessa), 69 kV, com extensão de cinco quilômetros e setecentos metros, Cabo de Alumínio ACAR 1000 MCM, com previsão do Segundo Circuito.</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sz w:val="22"/>
                <w:szCs w:val="22"/>
              </w:rPr>
              <w:t xml:space="preserve">Sistema de Distribuição de Alta Tensão - </w:t>
            </w:r>
            <w:r w:rsidRPr="00E1064F">
              <w:rPr>
                <w:rFonts w:ascii="Arial" w:hAnsi="Arial" w:cs="Arial"/>
                <w:color w:val="000000"/>
                <w:sz w:val="22"/>
                <w:szCs w:val="22"/>
              </w:rPr>
              <w:t>SDAT.</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Municípios de </w:t>
            </w:r>
            <w:r w:rsidRPr="00E1064F">
              <w:rPr>
                <w:rFonts w:ascii="Arial" w:hAnsi="Arial" w:cs="Arial"/>
                <w:color w:val="000000"/>
                <w:sz w:val="22"/>
                <w:szCs w:val="22"/>
              </w:rPr>
              <w:t>Santa Rita e João Pessoa</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Março/2017.</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3</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Linha de Transmissão - LT e Subestação - SE Pocinhos (1209).</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Construção da Subestação Pocinhos, 69/13,8 kV, 6,25 MVA, Barramento de 69 kV com capacidade para quatro Conexões, sendo duas Entradas de Linha, uma Conexão de Transformador de Força e uma Conexão de Transferência. Barramento de 13,8 kV com capacidade para oito Conexões, sendo quatro Entradas de Linha, uma Conexão de Transformador de Força, uma Conexão de Transformador Auxiliar, uma Conexão de Banco de Capacitores e uma Conexão de Transferência. Banco de Capacitores de 1,2 </w:t>
            </w:r>
            <w:proofErr w:type="spellStart"/>
            <w:r w:rsidRPr="00E1064F">
              <w:rPr>
                <w:rFonts w:ascii="Arial" w:hAnsi="Arial" w:cs="Arial"/>
                <w:color w:val="000000"/>
                <w:sz w:val="22"/>
                <w:szCs w:val="22"/>
              </w:rPr>
              <w:t>Mvar</w:t>
            </w:r>
            <w:proofErr w:type="spellEnd"/>
            <w:r w:rsidRPr="00E1064F">
              <w:rPr>
                <w:rFonts w:ascii="Arial" w:hAnsi="Arial" w:cs="Arial"/>
                <w:color w:val="000000"/>
                <w:sz w:val="22"/>
                <w:szCs w:val="22"/>
              </w:rPr>
              <w:t xml:space="preserve"> e Banco Regulador de Tensão de 333,4 kVA, de 13,8 kV, instalado da SE Pocinhos 69/13,8 kV.</w:t>
            </w:r>
          </w:p>
          <w:p w:rsidR="007C46CC" w:rsidRPr="00E1064F" w:rsidRDefault="007C46CC" w:rsidP="00E06A0A">
            <w:pPr>
              <w:jc w:val="both"/>
              <w:rPr>
                <w:rFonts w:ascii="Arial" w:hAnsi="Arial" w:cs="Arial"/>
                <w:color w:val="000000"/>
                <w:sz w:val="22"/>
                <w:szCs w:val="22"/>
              </w:rPr>
            </w:pPr>
          </w:p>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lastRenderedPageBreak/>
              <w:t>Construção da Linha de Distribuição de Alta Tensão Derivação Pocinhos - Pocinhos e Pocinhos - Derivação Pocinhos, 69 kV, com extensão de dez quilômetros aproximadamente no total, com Cabo de Alumínio CAA 336,4 MCM.</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lastRenderedPageBreak/>
              <w:t xml:space="preserve">Subestação de Distribuição - </w:t>
            </w:r>
            <w:r w:rsidRPr="00E1064F">
              <w:rPr>
                <w:rFonts w:ascii="Arial" w:hAnsi="Arial" w:cs="Arial"/>
                <w:color w:val="000000"/>
                <w:sz w:val="22"/>
                <w:szCs w:val="22"/>
              </w:rPr>
              <w:t xml:space="preserve">SED e </w:t>
            </w:r>
            <w:r w:rsidRPr="00E1064F">
              <w:rPr>
                <w:rFonts w:ascii="Arial" w:hAnsi="Arial" w:cs="Arial"/>
                <w:sz w:val="22"/>
                <w:szCs w:val="22"/>
              </w:rPr>
              <w:t xml:space="preserve">Sistema de Distribuição de Alta Tensão - </w:t>
            </w:r>
            <w:r w:rsidRPr="00E1064F">
              <w:rPr>
                <w:rFonts w:ascii="Arial" w:hAnsi="Arial" w:cs="Arial"/>
                <w:color w:val="000000"/>
                <w:sz w:val="22"/>
                <w:szCs w:val="22"/>
              </w:rPr>
              <w:t>SDAT.</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Pocinhos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Junho/2016.</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4</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da Subestação Soledade (5445).</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Construção da Subestação Soledade, 69/13,8 kV, 6,25 MVA, Barramento de 69 kV com capacidade para quatro Conexões, sendo duas Entradas de Linha, uma Conexão de Transformador de Força e uma Conexão de Transferência. Barramento de 13,8 kV com capacidade de oito Conexões, sendo quatro Entradas de Linha, uma Conexão de Transformador de Força, uma Conexão de Transformador Auxiliar, uma Conexão de Banco de Capacitores e uma Conexão de Transferência. Banco de Capacitores de 1,8 </w:t>
            </w:r>
            <w:proofErr w:type="spellStart"/>
            <w:r w:rsidRPr="00E1064F">
              <w:rPr>
                <w:rFonts w:ascii="Arial" w:hAnsi="Arial" w:cs="Arial"/>
                <w:color w:val="000000"/>
                <w:sz w:val="22"/>
                <w:szCs w:val="22"/>
              </w:rPr>
              <w:t>Mvar</w:t>
            </w:r>
            <w:proofErr w:type="spellEnd"/>
            <w:r w:rsidRPr="00E1064F">
              <w:rPr>
                <w:rFonts w:ascii="Arial" w:hAnsi="Arial" w:cs="Arial"/>
                <w:color w:val="000000"/>
                <w:sz w:val="22"/>
                <w:szCs w:val="22"/>
              </w:rPr>
              <w:t xml:space="preserve"> e Banco Regulador de Tensão de 333,4 kVA de 13,8 kV.          </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Soledade</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Maio/2017.</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5</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Ampliação da SE Cajazeiras (5467).</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Ampliação da Subestação Cajazeiras (69/13,8 kV) com a Substituição do Transformador de Força 02T2 de 10/12,5 MVA por um de 20/25 MVA com Comutador. Abertura do Barramento de 13,8 kV, com opção de Interligação de Barra através de Disjuntor.</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Cajazeiras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Abril/2016.</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6</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Instalação de Disjuntores em Entradas de Linhas (4272).</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Instalação de dois Disjuntores de Transferência 69 kV, em cada uma das Subestações São João do </w:t>
            </w:r>
            <w:r w:rsidRPr="00E1064F">
              <w:rPr>
                <w:rFonts w:ascii="Arial" w:hAnsi="Arial" w:cs="Arial"/>
                <w:color w:val="000000"/>
                <w:sz w:val="22"/>
                <w:szCs w:val="22"/>
              </w:rPr>
              <w:lastRenderedPageBreak/>
              <w:t>Cariri (SJC) 69/13,8 kV e Bananeiras (BNR) 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lastRenderedPageBreak/>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Municípios de </w:t>
            </w:r>
            <w:r w:rsidRPr="00E1064F">
              <w:rPr>
                <w:rFonts w:ascii="Arial" w:hAnsi="Arial" w:cs="Arial"/>
                <w:color w:val="000000"/>
                <w:sz w:val="22"/>
                <w:szCs w:val="22"/>
              </w:rPr>
              <w:t>São João do Cariri e Bananeiras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Junho/2017.</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highlight w:val="yellow"/>
              </w:rPr>
            </w:pPr>
            <w:r w:rsidRPr="00E1064F">
              <w:rPr>
                <w:rFonts w:ascii="Arial" w:hAnsi="Arial" w:cs="Arial"/>
                <w:color w:val="000000"/>
                <w:sz w:val="22"/>
                <w:szCs w:val="22"/>
              </w:rPr>
              <w:t>7</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color w:val="000000"/>
                <w:sz w:val="22"/>
                <w:szCs w:val="22"/>
              </w:rPr>
              <w:t>Ampliação SE Pilões (7219).</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Instalação do Segundo Transformador de Força, 138/69 kV, 75 MVA, com dois </w:t>
            </w:r>
            <w:proofErr w:type="spellStart"/>
            <w:r w:rsidRPr="00E1064F">
              <w:rPr>
                <w:rFonts w:ascii="Arial" w:hAnsi="Arial" w:cs="Arial"/>
                <w:color w:val="000000"/>
                <w:sz w:val="22"/>
                <w:szCs w:val="22"/>
              </w:rPr>
              <w:t>Bays</w:t>
            </w:r>
            <w:proofErr w:type="spellEnd"/>
            <w:r w:rsidRPr="00E1064F">
              <w:rPr>
                <w:rFonts w:ascii="Arial" w:hAnsi="Arial" w:cs="Arial"/>
                <w:color w:val="000000"/>
                <w:sz w:val="22"/>
                <w:szCs w:val="22"/>
              </w:rPr>
              <w:t xml:space="preserve"> de 138 kV, na Subestação Pilões.</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sz w:val="22"/>
                <w:szCs w:val="22"/>
              </w:rPr>
              <w:t xml:space="preserve"> Sistema de Distribuição de Alta Tensão - </w:t>
            </w:r>
            <w:r w:rsidRPr="00E1064F">
              <w:rPr>
                <w:rFonts w:ascii="Arial" w:hAnsi="Arial" w:cs="Arial"/>
                <w:color w:val="000000"/>
                <w:sz w:val="22"/>
                <w:szCs w:val="22"/>
              </w:rPr>
              <w:t>SDAT.</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Pilões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Agosto/2017.</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8</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Instalação de Regulador de Tensão 69 kV na Subestação de Cajazeiras (14244).</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Instalação de um Regulador de Tensão, 50 MVA, 69 kV, Ligação Estrela-Estrela, com Faixa de Regulação entre 0,80 a 1,05 </w:t>
            </w:r>
            <w:proofErr w:type="spellStart"/>
            <w:r w:rsidRPr="00E1064F">
              <w:rPr>
                <w:rFonts w:ascii="Arial" w:hAnsi="Arial" w:cs="Arial"/>
                <w:color w:val="000000"/>
                <w:sz w:val="22"/>
                <w:szCs w:val="22"/>
              </w:rPr>
              <w:t>pu</w:t>
            </w:r>
            <w:proofErr w:type="spellEnd"/>
            <w:r w:rsidRPr="00E1064F">
              <w:rPr>
                <w:rFonts w:ascii="Arial" w:hAnsi="Arial" w:cs="Arial"/>
                <w:color w:val="000000"/>
                <w:sz w:val="22"/>
                <w:szCs w:val="22"/>
              </w:rPr>
              <w:t>, para adequação do Perfil de Tensão das Subestações a Jusante do Barramento de 69 kV da Subestação Cajazeiras (69/13,8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Cajazeiras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Abril/2017.</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9</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Ampliação do Barramento e Implantação de Conexão de Transformador 138 kV na SE Pilões II (18761).</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Ampliação do Barramento de 138 kV e Implantação do Segundo Módulo de Conexão de Transformador (CT) 138 kV na SE Pilões II (Chesf), que permitirá a Conexão e Operação do Segundo Transformador 138/69 kV - 75 MVA em instalação na SE Pilões II (EPB) - 138/69/13,8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Pilões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Junho/2018.</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highlight w:val="yellow"/>
              </w:rPr>
            </w:pPr>
            <w:r w:rsidRPr="00E1064F">
              <w:rPr>
                <w:rFonts w:ascii="Arial" w:hAnsi="Arial" w:cs="Arial"/>
                <w:color w:val="000000"/>
                <w:sz w:val="22"/>
                <w:szCs w:val="22"/>
              </w:rPr>
              <w:t>10</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color w:val="000000"/>
                <w:sz w:val="22"/>
                <w:szCs w:val="22"/>
              </w:rPr>
              <w:t>Motorização Chaves Seccionadoras Regulador 02R1 SE CJZ (21961).</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Instalar Motorização nas Chaves Seccionadoras de 69 kV 32R1-6, 32R1-4 e 32R1-5, do Regulador 02R1, na Subestação Cajazeiras (69/13,8 kV), da EPB.</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Cajazeiras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Junho/2018.</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11</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da Linha de Transmissão - LT e Subestação  Bayeux (7192).</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Construção da Subestação Bayeux, 69/13,8 kV, 25 MVA, Barramento de 69 kV, Principal e Transferência, com capacidade para quatro Conexões, sendo duas Entradas de Linha, uma Conexão de Transformador de Força e uma Conexão de Transferência. Barramento de 13,8 kV, Principal e </w:t>
            </w:r>
            <w:r w:rsidRPr="00E1064F">
              <w:rPr>
                <w:rFonts w:ascii="Arial" w:hAnsi="Arial" w:cs="Arial"/>
                <w:color w:val="000000"/>
                <w:sz w:val="22"/>
                <w:szCs w:val="22"/>
              </w:rPr>
              <w:lastRenderedPageBreak/>
              <w:t xml:space="preserve">Transferência, com capacidade de dez Conexões sendo quatro Entradas de Linha, duas Conexão de Transformador de Força, uma Conexão de Transformador Auxiliar, duas Conexão de Banco de Capacitores e uma Conexão de Transferência. Banco de Capacitores de 3,6 </w:t>
            </w:r>
            <w:proofErr w:type="spellStart"/>
            <w:r w:rsidRPr="00E1064F">
              <w:rPr>
                <w:rFonts w:ascii="Arial" w:hAnsi="Arial" w:cs="Arial"/>
                <w:color w:val="000000"/>
                <w:sz w:val="22"/>
                <w:szCs w:val="22"/>
              </w:rPr>
              <w:t>Mvar</w:t>
            </w:r>
            <w:proofErr w:type="spellEnd"/>
            <w:r w:rsidRPr="00E1064F">
              <w:rPr>
                <w:rFonts w:ascii="Arial" w:hAnsi="Arial" w:cs="Arial"/>
                <w:color w:val="000000"/>
                <w:sz w:val="22"/>
                <w:szCs w:val="22"/>
              </w:rPr>
              <w:t xml:space="preserve"> em 13,8 kV.</w:t>
            </w:r>
          </w:p>
          <w:p w:rsidR="007C46CC" w:rsidRPr="00E1064F" w:rsidRDefault="007C46CC" w:rsidP="00E06A0A">
            <w:pPr>
              <w:jc w:val="both"/>
              <w:rPr>
                <w:rFonts w:ascii="Arial" w:hAnsi="Arial" w:cs="Arial"/>
                <w:color w:val="000000"/>
                <w:sz w:val="22"/>
                <w:szCs w:val="22"/>
              </w:rPr>
            </w:pPr>
          </w:p>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da Linha de Distribuição - LD Derivação Bayeux - Bayeux, 69 kV, com extensão de quatro quilômetros, aproximadamente, com Cabo de Alumínio CAA 636,4 MCM.</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lastRenderedPageBreak/>
              <w:t xml:space="preserve">Subestação de Distribuição - </w:t>
            </w:r>
            <w:r w:rsidRPr="00E1064F">
              <w:rPr>
                <w:rFonts w:ascii="Arial" w:hAnsi="Arial" w:cs="Arial"/>
                <w:color w:val="000000"/>
                <w:sz w:val="22"/>
                <w:szCs w:val="22"/>
              </w:rPr>
              <w:t xml:space="preserve">SED e </w:t>
            </w:r>
            <w:r w:rsidRPr="00E1064F">
              <w:rPr>
                <w:rFonts w:ascii="Arial" w:hAnsi="Arial" w:cs="Arial"/>
                <w:sz w:val="22"/>
                <w:szCs w:val="22"/>
              </w:rPr>
              <w:t xml:space="preserve">Sistema de Distribuição de Alta Tensão - </w:t>
            </w:r>
            <w:r w:rsidRPr="00E1064F">
              <w:rPr>
                <w:rFonts w:ascii="Arial" w:hAnsi="Arial" w:cs="Arial"/>
                <w:color w:val="000000"/>
                <w:sz w:val="22"/>
                <w:szCs w:val="22"/>
              </w:rPr>
              <w:t>SDAT.</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Bayeux</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Junho/2020.</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12</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de Conexão do Transformador de 69 kV na Subestação Guarabira (4271).</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Instalação de Disjuntor de 69 kV e Equipamentos Associados (Chaves Seccionadoras, Transformadores de Corrente, etc.) na Conexão do Transformador - CT de Força, na SE Guarabira (69/13,8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Guarabira</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Junho/2020.</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highlight w:val="yellow"/>
              </w:rPr>
            </w:pPr>
            <w:r w:rsidRPr="00E1064F">
              <w:rPr>
                <w:rFonts w:ascii="Arial" w:hAnsi="Arial" w:cs="Arial"/>
                <w:color w:val="000000"/>
                <w:sz w:val="22"/>
                <w:szCs w:val="22"/>
              </w:rPr>
              <w:t>13</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color w:val="000000"/>
                <w:sz w:val="22"/>
                <w:szCs w:val="22"/>
              </w:rPr>
              <w:t>Instalação de Disjuntores em Entradas de Linhas (4272).</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Instalação de cinco Disjuntores de Transferência 69 kV, em cada uma das Subestações Boa Vista (69/13,8 kV), Dona Inês (69/13,8 kV), Distrito (69/13,8 kV), Guarabira (69/13,8 kV) e Jericó (69/13,8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Municípios de </w:t>
            </w:r>
            <w:r w:rsidRPr="00E1064F">
              <w:rPr>
                <w:rFonts w:ascii="Arial" w:hAnsi="Arial" w:cs="Arial"/>
                <w:color w:val="000000"/>
                <w:sz w:val="22"/>
                <w:szCs w:val="22"/>
              </w:rPr>
              <w:t>Boa Vista, Conde, Dona Inês, João Pessoa, Guarabira e Jericó</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Junho/2020.</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strike/>
                <w:color w:val="000000"/>
                <w:sz w:val="22"/>
                <w:szCs w:val="22"/>
              </w:rPr>
            </w:pPr>
            <w:r w:rsidRPr="00E1064F">
              <w:rPr>
                <w:rFonts w:ascii="Arial" w:hAnsi="Arial" w:cs="Arial"/>
                <w:color w:val="000000"/>
                <w:sz w:val="22"/>
                <w:szCs w:val="22"/>
              </w:rPr>
              <w:t>14</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trike/>
                <w:color w:val="000000"/>
                <w:sz w:val="22"/>
                <w:szCs w:val="22"/>
              </w:rPr>
            </w:pPr>
            <w:r w:rsidRPr="00E1064F">
              <w:rPr>
                <w:rFonts w:ascii="Arial" w:hAnsi="Arial" w:cs="Arial"/>
                <w:color w:val="000000"/>
                <w:sz w:val="22"/>
                <w:szCs w:val="22"/>
              </w:rPr>
              <w:t>Reforma do Barramento de 69 kV da Subestação Distrito (7224).</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trike/>
                <w:color w:val="000000"/>
                <w:sz w:val="22"/>
                <w:szCs w:val="22"/>
              </w:rPr>
            </w:pPr>
            <w:r w:rsidRPr="00E1064F">
              <w:rPr>
                <w:rFonts w:ascii="Arial" w:hAnsi="Arial" w:cs="Arial"/>
                <w:color w:val="000000"/>
                <w:sz w:val="22"/>
                <w:szCs w:val="22"/>
              </w:rPr>
              <w:t>Instalação de três Disjuntores 69 kV nas Posições 12J7, 12M4 e 12D1, na Subestação Distrito (69/13,8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trike/>
                <w:color w:val="000000"/>
                <w:sz w:val="22"/>
                <w:szCs w:val="22"/>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trike/>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João Pessoa</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trike/>
                <w:color w:val="000000"/>
                <w:sz w:val="22"/>
                <w:szCs w:val="22"/>
              </w:rPr>
            </w:pPr>
            <w:r w:rsidRPr="00E1064F">
              <w:rPr>
                <w:rFonts w:ascii="Arial" w:hAnsi="Arial" w:cs="Arial"/>
                <w:color w:val="000000"/>
                <w:sz w:val="22"/>
                <w:szCs w:val="22"/>
              </w:rPr>
              <w:t>Junho/2019.</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15</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 xml:space="preserve">Construção de Seccionadora no Barramento de 69 kV da </w:t>
            </w:r>
            <w:r w:rsidRPr="00E1064F">
              <w:rPr>
                <w:rFonts w:ascii="Arial" w:hAnsi="Arial" w:cs="Arial"/>
                <w:color w:val="000000"/>
                <w:sz w:val="22"/>
                <w:szCs w:val="22"/>
              </w:rPr>
              <w:lastRenderedPageBreak/>
              <w:t>Subestação Cabedelo (14401).</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lastRenderedPageBreak/>
              <w:t xml:space="preserve">Reforma na Subestação Cabedelo (69/13,8 kV) para instalação de três Disjuntores, 69 kV, nas </w:t>
            </w:r>
            <w:r w:rsidRPr="00E1064F">
              <w:rPr>
                <w:rFonts w:ascii="Arial" w:hAnsi="Arial" w:cs="Arial"/>
                <w:color w:val="000000"/>
                <w:sz w:val="22"/>
                <w:szCs w:val="22"/>
              </w:rPr>
              <w:lastRenderedPageBreak/>
              <w:t xml:space="preserve">Posições 12B2, 12B1 e 12D1, sendo: instalação de seis Chaves Seccionadoras Tripolares 69 kV; duas Chaves Seccionadoras Tripolares 72,5 kV; três Disjuntores Trifásico 72,5 kV; nove Transformadores de Corrente - </w:t>
            </w:r>
            <w:proofErr w:type="spellStart"/>
            <w:r w:rsidRPr="00E1064F">
              <w:rPr>
                <w:rFonts w:ascii="Arial" w:hAnsi="Arial" w:cs="Arial"/>
                <w:color w:val="000000"/>
                <w:sz w:val="22"/>
                <w:szCs w:val="22"/>
              </w:rPr>
              <w:t>TCs</w:t>
            </w:r>
            <w:proofErr w:type="spellEnd"/>
            <w:r w:rsidRPr="00E1064F">
              <w:rPr>
                <w:rFonts w:ascii="Arial" w:hAnsi="Arial" w:cs="Arial"/>
                <w:color w:val="000000"/>
                <w:sz w:val="22"/>
                <w:szCs w:val="22"/>
              </w:rPr>
              <w:t xml:space="preserve"> 69 kV com dois Enrolamentos.</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lastRenderedPageBreak/>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Cabedelo</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Junho/2020.</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16</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Construção de Seccionadora no Barramento de 69 kV da Subestação Mangabeira (15582).</w:t>
            </w:r>
          </w:p>
          <w:p w:rsidR="007C46CC" w:rsidRPr="00E1064F" w:rsidRDefault="007C46CC" w:rsidP="00E06A0A">
            <w:pPr>
              <w:jc w:val="both"/>
              <w:rPr>
                <w:rFonts w:ascii="Arial" w:hAnsi="Arial" w:cs="Arial"/>
                <w:color w:val="000000"/>
                <w:sz w:val="22"/>
                <w:szCs w:val="22"/>
              </w:rPr>
            </w:pP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Reforma da Subestação de Mangabeira (69/13,8 kV), contemplando a construção do Barramento de AT, 69 kV, instalação de Disjuntor de Transferência e deslocamento de cinco Disjuntores, 69 kV, atualmente nas Posições 12M1, 12J8 12J4, 12B1 e 12B2 do Barramento existente, e Equipamentos Associados (Chaves Seccionadoras, Transformadores de Corrente, Postes e etc.) para o referido Barramento.</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z w:val="22"/>
                <w:szCs w:val="22"/>
              </w:rPr>
            </w:pPr>
          </w:p>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Subestação de Distribuição - 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João Pessoa</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Junho/2019.</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rPr>
            </w:pPr>
            <w:r w:rsidRPr="00E1064F">
              <w:rPr>
                <w:rFonts w:ascii="Arial" w:hAnsi="Arial" w:cs="Arial"/>
                <w:color w:val="000000"/>
                <w:sz w:val="22"/>
                <w:szCs w:val="22"/>
              </w:rPr>
              <w:t>17</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Substituir Transformadores de Força Depreciados (21322).</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color w:val="000000"/>
                <w:sz w:val="22"/>
                <w:szCs w:val="22"/>
              </w:rPr>
              <w:t>Substituir um Transformador de 5 MVA para 6,25 MVA na Subestação Coremas (69/13,8 kV) e um Transformador de 5 MVA para 6,5 MVA na Subestação Boa Vista (69/13,8 kV), que se encontram depreciados.</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Municípios de </w:t>
            </w:r>
            <w:r w:rsidRPr="00E1064F">
              <w:rPr>
                <w:rFonts w:ascii="Arial" w:hAnsi="Arial" w:cs="Arial"/>
                <w:color w:val="000000"/>
                <w:sz w:val="22"/>
                <w:szCs w:val="22"/>
              </w:rPr>
              <w:t>Coremas e Boa Vista</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Junho/2020.</w:t>
            </w:r>
          </w:p>
        </w:tc>
      </w:tr>
      <w:tr w:rsidR="007C46CC" w:rsidRPr="00E1064F" w:rsidTr="00E06A0A">
        <w:tblPrEx>
          <w:tblBorders>
            <w:top w:val="none" w:sz="0" w:space="0" w:color="auto"/>
            <w:left w:val="none" w:sz="0" w:space="0" w:color="auto"/>
            <w:bottom w:val="none" w:sz="0" w:space="0" w:color="auto"/>
            <w:right w:val="none" w:sz="0" w:space="0" w:color="auto"/>
          </w:tblBorders>
        </w:tblPrEx>
        <w:trPr>
          <w:trHeight w:val="131"/>
          <w:jc w:val="center"/>
        </w:trPr>
        <w:tc>
          <w:tcPr>
            <w:tcW w:w="562" w:type="dxa"/>
            <w:tcBorders>
              <w:top w:val="dotted" w:sz="4" w:space="0" w:color="auto"/>
              <w:left w:val="single" w:sz="4" w:space="0" w:color="auto"/>
              <w:bottom w:val="dotted" w:sz="4" w:space="0" w:color="auto"/>
              <w:right w:val="single" w:sz="4" w:space="0" w:color="auto"/>
            </w:tcBorders>
            <w:noWrap/>
          </w:tcPr>
          <w:p w:rsidR="007C46CC" w:rsidRPr="00E1064F" w:rsidRDefault="007C46CC" w:rsidP="00E06A0A">
            <w:pPr>
              <w:jc w:val="center"/>
              <w:rPr>
                <w:rFonts w:ascii="Arial" w:hAnsi="Arial" w:cs="Arial"/>
                <w:color w:val="000000"/>
                <w:sz w:val="22"/>
                <w:szCs w:val="22"/>
                <w:highlight w:val="yellow"/>
              </w:rPr>
            </w:pPr>
            <w:r w:rsidRPr="00E1064F">
              <w:rPr>
                <w:rFonts w:ascii="Arial" w:hAnsi="Arial" w:cs="Arial"/>
                <w:color w:val="000000"/>
                <w:sz w:val="22"/>
                <w:szCs w:val="22"/>
              </w:rPr>
              <w:t>18</w:t>
            </w:r>
          </w:p>
        </w:tc>
        <w:tc>
          <w:tcPr>
            <w:tcW w:w="3119"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z w:val="22"/>
                <w:szCs w:val="22"/>
                <w:highlight w:val="yellow"/>
              </w:rPr>
            </w:pPr>
            <w:r w:rsidRPr="00E1064F">
              <w:rPr>
                <w:rFonts w:ascii="Arial" w:hAnsi="Arial" w:cs="Arial"/>
                <w:color w:val="000000"/>
                <w:sz w:val="22"/>
                <w:szCs w:val="22"/>
              </w:rPr>
              <w:t>Substituição por Transformador Com Comutador - LTC (21402).</w:t>
            </w:r>
          </w:p>
        </w:tc>
        <w:tc>
          <w:tcPr>
            <w:tcW w:w="3544"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sz w:val="22"/>
                <w:szCs w:val="22"/>
              </w:rPr>
            </w:pPr>
            <w:r w:rsidRPr="00E1064F">
              <w:rPr>
                <w:rFonts w:ascii="Arial" w:hAnsi="Arial" w:cs="Arial"/>
                <w:color w:val="000000"/>
                <w:sz w:val="22"/>
                <w:szCs w:val="22"/>
              </w:rPr>
              <w:t>Substituir um Transformador de Força de 10/12 MVA, Sem Comutador, para 5/6,5 MVA, Com Comutador - LTC, na Subestação Dona Inês (69/13,8 kV).</w:t>
            </w:r>
          </w:p>
        </w:tc>
        <w:tc>
          <w:tcPr>
            <w:tcW w:w="2693"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highlight w:val="yellow"/>
              </w:rPr>
            </w:pPr>
            <w:r w:rsidRPr="00E1064F">
              <w:rPr>
                <w:rFonts w:ascii="Arial" w:hAnsi="Arial" w:cs="Arial"/>
                <w:sz w:val="22"/>
                <w:szCs w:val="22"/>
              </w:rPr>
              <w:t xml:space="preserve">Subestação de Distribuição - </w:t>
            </w:r>
            <w:r w:rsidRPr="00E1064F">
              <w:rPr>
                <w:rFonts w:ascii="Arial" w:hAnsi="Arial" w:cs="Arial"/>
                <w:color w:val="000000"/>
                <w:sz w:val="22"/>
                <w:szCs w:val="22"/>
              </w:rPr>
              <w:t>SED.</w:t>
            </w:r>
          </w:p>
        </w:tc>
        <w:tc>
          <w:tcPr>
            <w:tcW w:w="2977"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sz w:val="22"/>
                <w:szCs w:val="22"/>
              </w:rPr>
              <w:t xml:space="preserve">Município de </w:t>
            </w:r>
            <w:r w:rsidRPr="00E1064F">
              <w:rPr>
                <w:rFonts w:ascii="Arial" w:hAnsi="Arial" w:cs="Arial"/>
                <w:color w:val="000000"/>
                <w:sz w:val="22"/>
                <w:szCs w:val="22"/>
              </w:rPr>
              <w:t>Dona Inês</w:t>
            </w:r>
            <w:r w:rsidRPr="00E1064F">
              <w:rPr>
                <w:rFonts w:ascii="Arial" w:hAnsi="Arial" w:cs="Arial"/>
                <w:sz w:val="22"/>
                <w:szCs w:val="22"/>
              </w:rPr>
              <w:t>, Estado da Paraíba.</w:t>
            </w:r>
          </w:p>
        </w:tc>
        <w:tc>
          <w:tcPr>
            <w:tcW w:w="2268" w:type="dxa"/>
            <w:gridSpan w:val="2"/>
            <w:tcBorders>
              <w:top w:val="dotted" w:sz="4" w:space="0" w:color="auto"/>
              <w:left w:val="nil"/>
              <w:bottom w:val="dotted" w:sz="4" w:space="0" w:color="auto"/>
              <w:right w:val="single" w:sz="4" w:space="0" w:color="auto"/>
            </w:tcBorders>
          </w:tcPr>
          <w:p w:rsidR="007C46CC" w:rsidRPr="00E1064F" w:rsidRDefault="007C46CC" w:rsidP="00E06A0A">
            <w:pPr>
              <w:jc w:val="both"/>
              <w:rPr>
                <w:rFonts w:ascii="Arial" w:hAnsi="Arial" w:cs="Arial"/>
                <w:color w:val="000000"/>
                <w:sz w:val="22"/>
                <w:szCs w:val="22"/>
              </w:rPr>
            </w:pPr>
            <w:r w:rsidRPr="00E1064F">
              <w:rPr>
                <w:rFonts w:ascii="Arial" w:hAnsi="Arial" w:cs="Arial"/>
                <w:color w:val="000000"/>
                <w:sz w:val="22"/>
                <w:szCs w:val="22"/>
              </w:rPr>
              <w:t>Junho/2019.</w:t>
            </w:r>
          </w:p>
        </w:tc>
      </w:tr>
    </w:tbl>
    <w:p w:rsidR="001B762E" w:rsidRPr="00987C7A" w:rsidRDefault="001B762E" w:rsidP="007C46CC">
      <w:pPr>
        <w:overflowPunct w:val="0"/>
        <w:autoSpaceDE w:val="0"/>
        <w:autoSpaceDN w:val="0"/>
        <w:adjustRightInd w:val="0"/>
        <w:jc w:val="center"/>
        <w:textAlignment w:val="baseline"/>
        <w:rPr>
          <w:rFonts w:ascii="Arial" w:hAnsi="Arial" w:cs="Arial"/>
          <w:sz w:val="2"/>
          <w:szCs w:val="2"/>
        </w:rPr>
      </w:pPr>
    </w:p>
    <w:sectPr w:rsidR="001B762E" w:rsidRPr="00987C7A" w:rsidSect="00A1086C">
      <w:headerReference w:type="default" r:id="rId10"/>
      <w:headerReference w:type="first" r:id="rId11"/>
      <w:pgSz w:w="16840" w:h="11907" w:orient="landscape" w:code="9"/>
      <w:pgMar w:top="1134" w:right="851" w:bottom="567" w:left="1134" w:header="73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6B2" w:rsidRDefault="007F76B2">
      <w:r>
        <w:separator/>
      </w:r>
    </w:p>
  </w:endnote>
  <w:endnote w:type="continuationSeparator" w:id="0">
    <w:p w:rsidR="007F76B2" w:rsidRDefault="007F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6B2" w:rsidRDefault="007F76B2">
      <w:r>
        <w:separator/>
      </w:r>
    </w:p>
  </w:footnote>
  <w:footnote w:type="continuationSeparator" w:id="0">
    <w:p w:rsidR="007F76B2" w:rsidRDefault="007F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B2" w:rsidRDefault="007F76B2"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5873BA">
      <w:rPr>
        <w:rFonts w:ascii="Arial" w:hAnsi="Arial" w:cs="Arial"/>
      </w:rPr>
      <w:t>1</w:t>
    </w:r>
    <w:r w:rsidR="001B762E">
      <w:rPr>
        <w:rFonts w:ascii="Arial" w:hAnsi="Arial" w:cs="Arial"/>
      </w:rPr>
      <w:t>2</w:t>
    </w:r>
    <w:r w:rsidR="007C46CC">
      <w:rPr>
        <w:rFonts w:ascii="Arial" w:hAnsi="Arial" w:cs="Arial"/>
      </w:rPr>
      <w:t>6</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B762E">
      <w:rPr>
        <w:rFonts w:ascii="Arial" w:hAnsi="Arial" w:cs="Arial"/>
      </w:rPr>
      <w:t>9</w:t>
    </w:r>
    <w:r>
      <w:rPr>
        <w:rFonts w:ascii="Arial" w:hAnsi="Arial" w:cs="Arial"/>
      </w:rPr>
      <w:t xml:space="preserve"> </w:t>
    </w:r>
    <w:r w:rsidRPr="001906C1">
      <w:rPr>
        <w:rFonts w:ascii="Arial" w:hAnsi="Arial" w:cs="Arial"/>
      </w:rPr>
      <w:t xml:space="preserve"> de  </w:t>
    </w:r>
    <w:r w:rsidR="001B762E">
      <w:rPr>
        <w:rFonts w:ascii="Arial" w:hAnsi="Arial" w:cs="Arial"/>
      </w:rPr>
      <w:t>maio</w:t>
    </w:r>
    <w:r w:rsidR="005873BA">
      <w:rPr>
        <w:rFonts w:ascii="Arial" w:hAnsi="Arial" w:cs="Arial"/>
      </w:rPr>
      <w:t xml:space="preserve"> </w:t>
    </w:r>
    <w:r w:rsidR="00D87F3F">
      <w:rPr>
        <w:rFonts w:ascii="Arial" w:hAnsi="Arial" w:cs="Arial"/>
      </w:rPr>
      <w:t xml:space="preserve"> </w:t>
    </w:r>
    <w:r w:rsidRPr="001906C1">
      <w:rPr>
        <w:rFonts w:ascii="Arial" w:hAnsi="Arial" w:cs="Arial"/>
      </w:rPr>
      <w:t>de 201</w:t>
    </w:r>
    <w:r w:rsidR="005873BA">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7C46CC">
      <w:rPr>
        <w:rStyle w:val="Nmerodepgina"/>
        <w:rFonts w:ascii="Arial" w:hAnsi="Arial" w:cs="Arial"/>
        <w:noProof/>
      </w:rPr>
      <w:t>2</w:t>
    </w:r>
    <w:r w:rsidRPr="001906C1">
      <w:rPr>
        <w:rStyle w:val="Nmerodepgina"/>
        <w:rFonts w:ascii="Arial" w:hAnsi="Arial" w:cs="Arial"/>
      </w:rPr>
      <w:fldChar w:fldCharType="end"/>
    </w:r>
  </w:p>
  <w:p w:rsidR="007F76B2" w:rsidRPr="00A93206" w:rsidRDefault="007F76B2">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A4" w:rsidRDefault="002423A4" w:rsidP="00990747">
    <w:pPr>
      <w:pStyle w:val="Cabealho"/>
      <w:jc w:val="right"/>
      <w:rPr>
        <w:rStyle w:val="Nmerodepgina"/>
        <w:rFonts w:ascii="Arial" w:hAnsi="Arial" w:cs="Arial"/>
      </w:rPr>
    </w:pPr>
    <w:r>
      <w:rPr>
        <w:rFonts w:ascii="Arial" w:hAnsi="Arial" w:cs="Arial"/>
      </w:rPr>
      <w:t xml:space="preserve">Anexo à </w:t>
    </w: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5873BA">
      <w:rPr>
        <w:rFonts w:ascii="Arial" w:hAnsi="Arial" w:cs="Arial"/>
      </w:rPr>
      <w:t>1</w:t>
    </w:r>
    <w:r w:rsidR="001B762E">
      <w:rPr>
        <w:rFonts w:ascii="Arial" w:hAnsi="Arial" w:cs="Arial"/>
      </w:rPr>
      <w:t>2</w:t>
    </w:r>
    <w:r w:rsidR="007C46CC">
      <w:rPr>
        <w:rFonts w:ascii="Arial" w:hAnsi="Arial" w:cs="Arial"/>
      </w:rPr>
      <w:t>6</w:t>
    </w:r>
    <w:r w:rsidRPr="001906C1">
      <w:rPr>
        <w:rFonts w:ascii="Arial" w:hAnsi="Arial" w:cs="Arial"/>
      </w:rPr>
      <w:t xml:space="preserve">, de </w:t>
    </w:r>
    <w:r w:rsidR="001B762E">
      <w:rPr>
        <w:rFonts w:ascii="Arial" w:hAnsi="Arial" w:cs="Arial"/>
      </w:rPr>
      <w:t>9</w:t>
    </w:r>
    <w:r>
      <w:rPr>
        <w:rFonts w:ascii="Arial" w:hAnsi="Arial" w:cs="Arial"/>
      </w:rPr>
      <w:t xml:space="preserve"> </w:t>
    </w:r>
    <w:r w:rsidRPr="001906C1">
      <w:rPr>
        <w:rFonts w:ascii="Arial" w:hAnsi="Arial" w:cs="Arial"/>
      </w:rPr>
      <w:t xml:space="preserve">de  </w:t>
    </w:r>
    <w:r w:rsidR="001B762E">
      <w:rPr>
        <w:rFonts w:ascii="Arial" w:hAnsi="Arial" w:cs="Arial"/>
      </w:rPr>
      <w:t xml:space="preserve">maio </w:t>
    </w:r>
    <w:r w:rsidRPr="001906C1">
      <w:rPr>
        <w:rFonts w:ascii="Arial" w:hAnsi="Arial" w:cs="Arial"/>
      </w:rPr>
      <w:t>de 201</w:t>
    </w:r>
    <w:r w:rsidR="005873BA">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7C46CC">
      <w:rPr>
        <w:rStyle w:val="Nmerodepgina"/>
        <w:rFonts w:ascii="Arial" w:hAnsi="Arial" w:cs="Arial"/>
        <w:noProof/>
      </w:rPr>
      <w:t>6</w:t>
    </w:r>
    <w:r w:rsidRPr="001906C1">
      <w:rPr>
        <w:rStyle w:val="Nmerodepgina"/>
        <w:rFonts w:ascii="Arial" w:hAnsi="Arial" w:cs="Arial"/>
      </w:rPr>
      <w:fldChar w:fldCharType="end"/>
    </w:r>
  </w:p>
  <w:p w:rsidR="002423A4" w:rsidRPr="00A93206" w:rsidRDefault="002423A4">
    <w:pPr>
      <w:pStyle w:val="Cabealh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6B2" w:rsidRDefault="007F76B2" w:rsidP="00B1683B">
    <w:pPr>
      <w:pStyle w:val="Cabealho"/>
      <w:jc w:val="right"/>
      <w:rPr>
        <w:rStyle w:val="Nmerodepgina"/>
        <w:rFonts w:ascii="Arial" w:hAnsi="Arial" w:cs="Arial"/>
      </w:rPr>
    </w:pPr>
    <w:r w:rsidRPr="001906C1">
      <w:rPr>
        <w:rFonts w:ascii="Arial" w:hAnsi="Arial" w:cs="Arial"/>
      </w:rPr>
      <w:t>Anexo à Portaria SPE/MME n</w:t>
    </w:r>
    <w:r w:rsidRPr="001906C1">
      <w:rPr>
        <w:rFonts w:ascii="Arial" w:hAnsi="Arial" w:cs="Arial"/>
        <w:u w:val="words"/>
        <w:vertAlign w:val="superscript"/>
      </w:rPr>
      <w:t>o</w:t>
    </w:r>
    <w:r w:rsidRPr="001906C1">
      <w:rPr>
        <w:rFonts w:ascii="Arial" w:hAnsi="Arial" w:cs="Arial"/>
      </w:rPr>
      <w:t xml:space="preserve">  </w:t>
    </w:r>
    <w:r w:rsidR="005873BA">
      <w:rPr>
        <w:rFonts w:ascii="Arial" w:hAnsi="Arial" w:cs="Arial"/>
      </w:rPr>
      <w:t>1</w:t>
    </w:r>
    <w:r w:rsidR="001B762E">
      <w:rPr>
        <w:rFonts w:ascii="Arial" w:hAnsi="Arial" w:cs="Arial"/>
      </w:rPr>
      <w:t>2</w:t>
    </w:r>
    <w:r w:rsidR="007C46CC">
      <w:rPr>
        <w:rFonts w:ascii="Arial" w:hAnsi="Arial" w:cs="Arial"/>
      </w:rPr>
      <w:t>6</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B762E">
      <w:rPr>
        <w:rFonts w:ascii="Arial" w:hAnsi="Arial" w:cs="Arial"/>
      </w:rPr>
      <w:t>9</w:t>
    </w:r>
    <w:r>
      <w:rPr>
        <w:rFonts w:ascii="Arial" w:hAnsi="Arial" w:cs="Arial"/>
      </w:rPr>
      <w:t xml:space="preserve"> </w:t>
    </w:r>
    <w:r w:rsidRPr="001906C1">
      <w:rPr>
        <w:rFonts w:ascii="Arial" w:hAnsi="Arial" w:cs="Arial"/>
      </w:rPr>
      <w:t xml:space="preserve"> de  </w:t>
    </w:r>
    <w:r w:rsidR="001B762E">
      <w:rPr>
        <w:rFonts w:ascii="Arial" w:hAnsi="Arial" w:cs="Arial"/>
      </w:rPr>
      <w:t>maio</w:t>
    </w:r>
    <w:r w:rsidR="00A1086C">
      <w:rPr>
        <w:rFonts w:ascii="Arial" w:hAnsi="Arial" w:cs="Arial"/>
      </w:rPr>
      <w:t xml:space="preserve"> </w:t>
    </w:r>
    <w:r w:rsidRPr="001906C1">
      <w:rPr>
        <w:rFonts w:ascii="Arial" w:hAnsi="Arial" w:cs="Arial"/>
      </w:rPr>
      <w:t>de 201</w:t>
    </w:r>
    <w:r w:rsidR="005873BA">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7C46CC">
      <w:rPr>
        <w:rStyle w:val="Nmerodepgina"/>
        <w:rFonts w:ascii="Arial" w:hAnsi="Arial" w:cs="Arial"/>
        <w:noProof/>
      </w:rPr>
      <w:t>1</w:t>
    </w:r>
    <w:r w:rsidRPr="001906C1">
      <w:rPr>
        <w:rStyle w:val="Nmerodepgina"/>
        <w:rFonts w:ascii="Arial" w:hAnsi="Arial" w:cs="Arial"/>
      </w:rPr>
      <w:fldChar w:fldCharType="end"/>
    </w:r>
  </w:p>
  <w:p w:rsidR="007F76B2" w:rsidRDefault="007F76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15:restartNumberingAfterBreak="0">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15:restartNumberingAfterBreak="0">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0"/>
  </w:num>
  <w:num w:numId="5">
    <w:abstractNumId w:val="4"/>
  </w:num>
  <w:num w:numId="6">
    <w:abstractNumId w:val="6"/>
  </w:num>
  <w:num w:numId="7">
    <w:abstractNumId w:val="18"/>
  </w:num>
  <w:num w:numId="8">
    <w:abstractNumId w:val="5"/>
  </w:num>
  <w:num w:numId="9">
    <w:abstractNumId w:val="12"/>
  </w:num>
  <w:num w:numId="10">
    <w:abstractNumId w:val="10"/>
  </w:num>
  <w:num w:numId="11">
    <w:abstractNumId w:val="11"/>
  </w:num>
  <w:num w:numId="12">
    <w:abstractNumId w:val="2"/>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3"/>
  </w:num>
  <w:num w:numId="18">
    <w:abstractNumId w:val="19"/>
  </w:num>
  <w:num w:numId="19">
    <w:abstractNumId w:val="7"/>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8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F7A"/>
    <w:rsid w:val="0002110B"/>
    <w:rsid w:val="000222FB"/>
    <w:rsid w:val="00023056"/>
    <w:rsid w:val="0002322C"/>
    <w:rsid w:val="00023441"/>
    <w:rsid w:val="00023BEC"/>
    <w:rsid w:val="000244A4"/>
    <w:rsid w:val="000252DB"/>
    <w:rsid w:val="000256C3"/>
    <w:rsid w:val="000257EE"/>
    <w:rsid w:val="00025CE2"/>
    <w:rsid w:val="00025E4B"/>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F"/>
    <w:rsid w:val="00047E32"/>
    <w:rsid w:val="00050847"/>
    <w:rsid w:val="00051BC5"/>
    <w:rsid w:val="00052267"/>
    <w:rsid w:val="00052F3C"/>
    <w:rsid w:val="0005342B"/>
    <w:rsid w:val="00054806"/>
    <w:rsid w:val="0005607E"/>
    <w:rsid w:val="0005715E"/>
    <w:rsid w:val="000574AD"/>
    <w:rsid w:val="00060B52"/>
    <w:rsid w:val="00060C93"/>
    <w:rsid w:val="00060F6E"/>
    <w:rsid w:val="00061636"/>
    <w:rsid w:val="00062214"/>
    <w:rsid w:val="0006246B"/>
    <w:rsid w:val="00062AFA"/>
    <w:rsid w:val="00062C29"/>
    <w:rsid w:val="0006323F"/>
    <w:rsid w:val="000634E7"/>
    <w:rsid w:val="000644B5"/>
    <w:rsid w:val="000650B5"/>
    <w:rsid w:val="00065619"/>
    <w:rsid w:val="0006574F"/>
    <w:rsid w:val="00065ABD"/>
    <w:rsid w:val="00066188"/>
    <w:rsid w:val="000677F4"/>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703"/>
    <w:rsid w:val="0010352B"/>
    <w:rsid w:val="00103F0D"/>
    <w:rsid w:val="0010405F"/>
    <w:rsid w:val="00104260"/>
    <w:rsid w:val="00104B7E"/>
    <w:rsid w:val="00105181"/>
    <w:rsid w:val="00105599"/>
    <w:rsid w:val="00105AB2"/>
    <w:rsid w:val="00107537"/>
    <w:rsid w:val="00110607"/>
    <w:rsid w:val="0011112F"/>
    <w:rsid w:val="00112513"/>
    <w:rsid w:val="001133E7"/>
    <w:rsid w:val="001135AA"/>
    <w:rsid w:val="001143B1"/>
    <w:rsid w:val="00116375"/>
    <w:rsid w:val="001165BE"/>
    <w:rsid w:val="001167BF"/>
    <w:rsid w:val="0011799B"/>
    <w:rsid w:val="00117C33"/>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FC5"/>
    <w:rsid w:val="00163420"/>
    <w:rsid w:val="00164169"/>
    <w:rsid w:val="00164B92"/>
    <w:rsid w:val="001656F7"/>
    <w:rsid w:val="00165A26"/>
    <w:rsid w:val="00165FDE"/>
    <w:rsid w:val="001667EC"/>
    <w:rsid w:val="00166CFE"/>
    <w:rsid w:val="00167C82"/>
    <w:rsid w:val="0017054D"/>
    <w:rsid w:val="00170C46"/>
    <w:rsid w:val="00172952"/>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6F53"/>
    <w:rsid w:val="00197367"/>
    <w:rsid w:val="00197850"/>
    <w:rsid w:val="00197A89"/>
    <w:rsid w:val="00197FF1"/>
    <w:rsid w:val="001A009A"/>
    <w:rsid w:val="001A022C"/>
    <w:rsid w:val="001A063A"/>
    <w:rsid w:val="001A0E18"/>
    <w:rsid w:val="001A1A9D"/>
    <w:rsid w:val="001A1D63"/>
    <w:rsid w:val="001A1FB0"/>
    <w:rsid w:val="001A213C"/>
    <w:rsid w:val="001A2523"/>
    <w:rsid w:val="001A2A04"/>
    <w:rsid w:val="001A3883"/>
    <w:rsid w:val="001A574C"/>
    <w:rsid w:val="001A61D0"/>
    <w:rsid w:val="001A6249"/>
    <w:rsid w:val="001A7DB8"/>
    <w:rsid w:val="001B0A37"/>
    <w:rsid w:val="001B0A91"/>
    <w:rsid w:val="001B1198"/>
    <w:rsid w:val="001B155B"/>
    <w:rsid w:val="001B1E58"/>
    <w:rsid w:val="001B2E11"/>
    <w:rsid w:val="001B38F7"/>
    <w:rsid w:val="001B46E4"/>
    <w:rsid w:val="001B5CC9"/>
    <w:rsid w:val="001B7587"/>
    <w:rsid w:val="001B762E"/>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83D"/>
    <w:rsid w:val="001E6A22"/>
    <w:rsid w:val="001E7625"/>
    <w:rsid w:val="001E7E2A"/>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F2"/>
    <w:rsid w:val="00226F88"/>
    <w:rsid w:val="00230E56"/>
    <w:rsid w:val="00231349"/>
    <w:rsid w:val="002316F6"/>
    <w:rsid w:val="0023171C"/>
    <w:rsid w:val="00231963"/>
    <w:rsid w:val="00232080"/>
    <w:rsid w:val="00232147"/>
    <w:rsid w:val="00233960"/>
    <w:rsid w:val="00233A8A"/>
    <w:rsid w:val="00234451"/>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AD8"/>
    <w:rsid w:val="00331612"/>
    <w:rsid w:val="00331724"/>
    <w:rsid w:val="00333CED"/>
    <w:rsid w:val="00333D71"/>
    <w:rsid w:val="0033407F"/>
    <w:rsid w:val="00335773"/>
    <w:rsid w:val="00335B64"/>
    <w:rsid w:val="00335BD7"/>
    <w:rsid w:val="00335CB3"/>
    <w:rsid w:val="00336C17"/>
    <w:rsid w:val="003370F5"/>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2F9A"/>
    <w:rsid w:val="0038359A"/>
    <w:rsid w:val="00383CD8"/>
    <w:rsid w:val="00385F4A"/>
    <w:rsid w:val="00386063"/>
    <w:rsid w:val="00386124"/>
    <w:rsid w:val="003861A3"/>
    <w:rsid w:val="00386A25"/>
    <w:rsid w:val="00387485"/>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7D3"/>
    <w:rsid w:val="003B0F6C"/>
    <w:rsid w:val="003B1057"/>
    <w:rsid w:val="003B24F8"/>
    <w:rsid w:val="003B2FF8"/>
    <w:rsid w:val="003B301C"/>
    <w:rsid w:val="003B3094"/>
    <w:rsid w:val="003B31FB"/>
    <w:rsid w:val="003B4813"/>
    <w:rsid w:val="003B541A"/>
    <w:rsid w:val="003B5468"/>
    <w:rsid w:val="003B5611"/>
    <w:rsid w:val="003B6810"/>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3E13"/>
    <w:rsid w:val="003D511C"/>
    <w:rsid w:val="003D7DF3"/>
    <w:rsid w:val="003E00B4"/>
    <w:rsid w:val="003E09E5"/>
    <w:rsid w:val="003E1310"/>
    <w:rsid w:val="003E2F79"/>
    <w:rsid w:val="003E30BC"/>
    <w:rsid w:val="003E33E1"/>
    <w:rsid w:val="003E3FBC"/>
    <w:rsid w:val="003E48DD"/>
    <w:rsid w:val="003E54E5"/>
    <w:rsid w:val="003E5C22"/>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814"/>
    <w:rsid w:val="00405D0F"/>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F26"/>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FFF"/>
    <w:rsid w:val="004951F6"/>
    <w:rsid w:val="00495B98"/>
    <w:rsid w:val="00495F5C"/>
    <w:rsid w:val="0049632C"/>
    <w:rsid w:val="0049680F"/>
    <w:rsid w:val="00496B5F"/>
    <w:rsid w:val="00497337"/>
    <w:rsid w:val="004976CB"/>
    <w:rsid w:val="004A027F"/>
    <w:rsid w:val="004A084D"/>
    <w:rsid w:val="004A0A0F"/>
    <w:rsid w:val="004A1395"/>
    <w:rsid w:val="004A2C1A"/>
    <w:rsid w:val="004A3182"/>
    <w:rsid w:val="004A408E"/>
    <w:rsid w:val="004A5001"/>
    <w:rsid w:val="004A5344"/>
    <w:rsid w:val="004A740B"/>
    <w:rsid w:val="004B0081"/>
    <w:rsid w:val="004B125A"/>
    <w:rsid w:val="004B1335"/>
    <w:rsid w:val="004B368B"/>
    <w:rsid w:val="004B3DC0"/>
    <w:rsid w:val="004B49C7"/>
    <w:rsid w:val="004B58F3"/>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4E3"/>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2E27"/>
    <w:rsid w:val="00543599"/>
    <w:rsid w:val="005437AF"/>
    <w:rsid w:val="00544876"/>
    <w:rsid w:val="00544D59"/>
    <w:rsid w:val="00544E06"/>
    <w:rsid w:val="00544FE7"/>
    <w:rsid w:val="00545005"/>
    <w:rsid w:val="00545DA6"/>
    <w:rsid w:val="00546548"/>
    <w:rsid w:val="00546776"/>
    <w:rsid w:val="00547962"/>
    <w:rsid w:val="0054798C"/>
    <w:rsid w:val="00547FA3"/>
    <w:rsid w:val="00550427"/>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42E9"/>
    <w:rsid w:val="00575739"/>
    <w:rsid w:val="00575978"/>
    <w:rsid w:val="00575A50"/>
    <w:rsid w:val="00575E8D"/>
    <w:rsid w:val="00575FCB"/>
    <w:rsid w:val="00577DBA"/>
    <w:rsid w:val="005805FC"/>
    <w:rsid w:val="005812B0"/>
    <w:rsid w:val="005829D6"/>
    <w:rsid w:val="00582DDC"/>
    <w:rsid w:val="00582E3D"/>
    <w:rsid w:val="00582FCD"/>
    <w:rsid w:val="00583460"/>
    <w:rsid w:val="00584003"/>
    <w:rsid w:val="0058424A"/>
    <w:rsid w:val="005849F2"/>
    <w:rsid w:val="00584E73"/>
    <w:rsid w:val="00585409"/>
    <w:rsid w:val="0058582F"/>
    <w:rsid w:val="005859BA"/>
    <w:rsid w:val="00585DF5"/>
    <w:rsid w:val="00586478"/>
    <w:rsid w:val="0058714A"/>
    <w:rsid w:val="00587249"/>
    <w:rsid w:val="005873BA"/>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A0C76"/>
    <w:rsid w:val="005A182A"/>
    <w:rsid w:val="005A1C3F"/>
    <w:rsid w:val="005A1E81"/>
    <w:rsid w:val="005A2471"/>
    <w:rsid w:val="005A26AB"/>
    <w:rsid w:val="005A2D9D"/>
    <w:rsid w:val="005A3479"/>
    <w:rsid w:val="005A34B5"/>
    <w:rsid w:val="005A37EA"/>
    <w:rsid w:val="005A3A10"/>
    <w:rsid w:val="005A43C5"/>
    <w:rsid w:val="005A4B55"/>
    <w:rsid w:val="005A6853"/>
    <w:rsid w:val="005A6B6C"/>
    <w:rsid w:val="005A6FC4"/>
    <w:rsid w:val="005B0C58"/>
    <w:rsid w:val="005B1575"/>
    <w:rsid w:val="005B26BA"/>
    <w:rsid w:val="005B2B72"/>
    <w:rsid w:val="005B3042"/>
    <w:rsid w:val="005B54C3"/>
    <w:rsid w:val="005B59C3"/>
    <w:rsid w:val="005B5AF1"/>
    <w:rsid w:val="005B606D"/>
    <w:rsid w:val="005B67B6"/>
    <w:rsid w:val="005B7725"/>
    <w:rsid w:val="005B7C40"/>
    <w:rsid w:val="005B7E62"/>
    <w:rsid w:val="005C1E25"/>
    <w:rsid w:val="005C2440"/>
    <w:rsid w:val="005C3207"/>
    <w:rsid w:val="005C3973"/>
    <w:rsid w:val="005C413E"/>
    <w:rsid w:val="005C48F6"/>
    <w:rsid w:val="005C4B0F"/>
    <w:rsid w:val="005C4F02"/>
    <w:rsid w:val="005C4F51"/>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746"/>
    <w:rsid w:val="005E18CC"/>
    <w:rsid w:val="005E277A"/>
    <w:rsid w:val="005E2AEB"/>
    <w:rsid w:val="005E2E63"/>
    <w:rsid w:val="005E41AB"/>
    <w:rsid w:val="005E48B8"/>
    <w:rsid w:val="005E496B"/>
    <w:rsid w:val="005E5AD4"/>
    <w:rsid w:val="005E5F24"/>
    <w:rsid w:val="005E696A"/>
    <w:rsid w:val="005E6E14"/>
    <w:rsid w:val="005E6EB0"/>
    <w:rsid w:val="005E761C"/>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4FC5"/>
    <w:rsid w:val="006053E7"/>
    <w:rsid w:val="006064C1"/>
    <w:rsid w:val="006101CD"/>
    <w:rsid w:val="006103FF"/>
    <w:rsid w:val="006110FD"/>
    <w:rsid w:val="00611F1D"/>
    <w:rsid w:val="00612AFF"/>
    <w:rsid w:val="006136CD"/>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8BF"/>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34B"/>
    <w:rsid w:val="006607EA"/>
    <w:rsid w:val="00660EE1"/>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250F"/>
    <w:rsid w:val="006A30B9"/>
    <w:rsid w:val="006A30FB"/>
    <w:rsid w:val="006A503D"/>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A05"/>
    <w:rsid w:val="006D5FE8"/>
    <w:rsid w:val="006D6214"/>
    <w:rsid w:val="006D6D9F"/>
    <w:rsid w:val="006D6E7C"/>
    <w:rsid w:val="006D725A"/>
    <w:rsid w:val="006E01DF"/>
    <w:rsid w:val="006E0C77"/>
    <w:rsid w:val="006E0D8C"/>
    <w:rsid w:val="006E0E02"/>
    <w:rsid w:val="006E167F"/>
    <w:rsid w:val="006E1E95"/>
    <w:rsid w:val="006E262A"/>
    <w:rsid w:val="006E320C"/>
    <w:rsid w:val="006E3686"/>
    <w:rsid w:val="006E3A72"/>
    <w:rsid w:val="006E3AF0"/>
    <w:rsid w:val="006E4555"/>
    <w:rsid w:val="006E4D20"/>
    <w:rsid w:val="006E5850"/>
    <w:rsid w:val="006E6DCA"/>
    <w:rsid w:val="006E7949"/>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4AEE"/>
    <w:rsid w:val="00714C92"/>
    <w:rsid w:val="00715171"/>
    <w:rsid w:val="00715E96"/>
    <w:rsid w:val="0071622F"/>
    <w:rsid w:val="00716E0D"/>
    <w:rsid w:val="00716F00"/>
    <w:rsid w:val="00717A1C"/>
    <w:rsid w:val="00717E17"/>
    <w:rsid w:val="007214F9"/>
    <w:rsid w:val="007225C4"/>
    <w:rsid w:val="007226ED"/>
    <w:rsid w:val="007229F5"/>
    <w:rsid w:val="00724349"/>
    <w:rsid w:val="00725126"/>
    <w:rsid w:val="00725D6F"/>
    <w:rsid w:val="007269A4"/>
    <w:rsid w:val="00727A11"/>
    <w:rsid w:val="00727CAF"/>
    <w:rsid w:val="00727D1A"/>
    <w:rsid w:val="00727DF3"/>
    <w:rsid w:val="007300D0"/>
    <w:rsid w:val="00730364"/>
    <w:rsid w:val="00730C58"/>
    <w:rsid w:val="00731A1F"/>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8189D"/>
    <w:rsid w:val="007818FE"/>
    <w:rsid w:val="0078348D"/>
    <w:rsid w:val="00783B9E"/>
    <w:rsid w:val="0078418F"/>
    <w:rsid w:val="0078449D"/>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45E8"/>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6420"/>
    <w:rsid w:val="007B6B47"/>
    <w:rsid w:val="007B6E26"/>
    <w:rsid w:val="007B7918"/>
    <w:rsid w:val="007C0097"/>
    <w:rsid w:val="007C084B"/>
    <w:rsid w:val="007C0F12"/>
    <w:rsid w:val="007C0FCF"/>
    <w:rsid w:val="007C174D"/>
    <w:rsid w:val="007C26FF"/>
    <w:rsid w:val="007C2BFB"/>
    <w:rsid w:val="007C2F3D"/>
    <w:rsid w:val="007C3F12"/>
    <w:rsid w:val="007C46CC"/>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76"/>
    <w:rsid w:val="00846E07"/>
    <w:rsid w:val="00847FEE"/>
    <w:rsid w:val="00850158"/>
    <w:rsid w:val="00853BE0"/>
    <w:rsid w:val="00853DD5"/>
    <w:rsid w:val="008542BE"/>
    <w:rsid w:val="00854395"/>
    <w:rsid w:val="00854D64"/>
    <w:rsid w:val="008551CF"/>
    <w:rsid w:val="008551E2"/>
    <w:rsid w:val="00855636"/>
    <w:rsid w:val="00855F2B"/>
    <w:rsid w:val="00856941"/>
    <w:rsid w:val="00856C2F"/>
    <w:rsid w:val="008575C6"/>
    <w:rsid w:val="008638B8"/>
    <w:rsid w:val="00864773"/>
    <w:rsid w:val="0086564B"/>
    <w:rsid w:val="0086596F"/>
    <w:rsid w:val="008672C4"/>
    <w:rsid w:val="008674D5"/>
    <w:rsid w:val="00871D8D"/>
    <w:rsid w:val="00872F5B"/>
    <w:rsid w:val="00874E9F"/>
    <w:rsid w:val="00874F52"/>
    <w:rsid w:val="0087568B"/>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1BE"/>
    <w:rsid w:val="008B41D4"/>
    <w:rsid w:val="008B46E4"/>
    <w:rsid w:val="008B5271"/>
    <w:rsid w:val="008B5580"/>
    <w:rsid w:val="008B6D6C"/>
    <w:rsid w:val="008B7101"/>
    <w:rsid w:val="008B7140"/>
    <w:rsid w:val="008B71C6"/>
    <w:rsid w:val="008B7226"/>
    <w:rsid w:val="008B7E8C"/>
    <w:rsid w:val="008C1494"/>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90D"/>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4C72"/>
    <w:rsid w:val="00935C10"/>
    <w:rsid w:val="0093668A"/>
    <w:rsid w:val="00936EA1"/>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80325"/>
    <w:rsid w:val="009814F0"/>
    <w:rsid w:val="00981E4C"/>
    <w:rsid w:val="00981F32"/>
    <w:rsid w:val="00982C2B"/>
    <w:rsid w:val="00982F83"/>
    <w:rsid w:val="00983058"/>
    <w:rsid w:val="009842D0"/>
    <w:rsid w:val="0098635C"/>
    <w:rsid w:val="00986829"/>
    <w:rsid w:val="00986A1A"/>
    <w:rsid w:val="00986E61"/>
    <w:rsid w:val="00987925"/>
    <w:rsid w:val="00987B55"/>
    <w:rsid w:val="00990747"/>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46D8"/>
    <w:rsid w:val="00A07A0C"/>
    <w:rsid w:val="00A1086C"/>
    <w:rsid w:val="00A1349D"/>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6A3B"/>
    <w:rsid w:val="00A26B7E"/>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50EC4"/>
    <w:rsid w:val="00A50EEA"/>
    <w:rsid w:val="00A52194"/>
    <w:rsid w:val="00A535F3"/>
    <w:rsid w:val="00A5389E"/>
    <w:rsid w:val="00A56040"/>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413D"/>
    <w:rsid w:val="00AB41EC"/>
    <w:rsid w:val="00AB4F55"/>
    <w:rsid w:val="00AB52C5"/>
    <w:rsid w:val="00AB5305"/>
    <w:rsid w:val="00AB6802"/>
    <w:rsid w:val="00AB6E2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B66"/>
    <w:rsid w:val="00B20F8A"/>
    <w:rsid w:val="00B21937"/>
    <w:rsid w:val="00B23782"/>
    <w:rsid w:val="00B24200"/>
    <w:rsid w:val="00B244F4"/>
    <w:rsid w:val="00B24656"/>
    <w:rsid w:val="00B2544F"/>
    <w:rsid w:val="00B26090"/>
    <w:rsid w:val="00B26306"/>
    <w:rsid w:val="00B2653A"/>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EB1"/>
    <w:rsid w:val="00B51EB6"/>
    <w:rsid w:val="00B52288"/>
    <w:rsid w:val="00B5416E"/>
    <w:rsid w:val="00B54537"/>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2368"/>
    <w:rsid w:val="00B728CA"/>
    <w:rsid w:val="00B7401C"/>
    <w:rsid w:val="00B7484C"/>
    <w:rsid w:val="00B74AE5"/>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50F"/>
    <w:rsid w:val="00BC366D"/>
    <w:rsid w:val="00BC3A2A"/>
    <w:rsid w:val="00BC513C"/>
    <w:rsid w:val="00BC606A"/>
    <w:rsid w:val="00BC6593"/>
    <w:rsid w:val="00BC6AB3"/>
    <w:rsid w:val="00BC6CFF"/>
    <w:rsid w:val="00BC723D"/>
    <w:rsid w:val="00BC72B4"/>
    <w:rsid w:val="00BD0DE5"/>
    <w:rsid w:val="00BD22D0"/>
    <w:rsid w:val="00BD35A6"/>
    <w:rsid w:val="00BD38DB"/>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4157"/>
    <w:rsid w:val="00C5455C"/>
    <w:rsid w:val="00C54D58"/>
    <w:rsid w:val="00C55376"/>
    <w:rsid w:val="00C556C8"/>
    <w:rsid w:val="00C55ABD"/>
    <w:rsid w:val="00C56637"/>
    <w:rsid w:val="00C57115"/>
    <w:rsid w:val="00C63599"/>
    <w:rsid w:val="00C63CAF"/>
    <w:rsid w:val="00C63F1C"/>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FDA"/>
    <w:rsid w:val="00C82209"/>
    <w:rsid w:val="00C8299A"/>
    <w:rsid w:val="00C829B8"/>
    <w:rsid w:val="00C83F58"/>
    <w:rsid w:val="00C84BFD"/>
    <w:rsid w:val="00C84DA1"/>
    <w:rsid w:val="00C85427"/>
    <w:rsid w:val="00C8554E"/>
    <w:rsid w:val="00C85EE5"/>
    <w:rsid w:val="00C86188"/>
    <w:rsid w:val="00C865A0"/>
    <w:rsid w:val="00C87AFE"/>
    <w:rsid w:val="00C913FA"/>
    <w:rsid w:val="00C91B47"/>
    <w:rsid w:val="00C91C20"/>
    <w:rsid w:val="00C91D4C"/>
    <w:rsid w:val="00C923ED"/>
    <w:rsid w:val="00C93AEE"/>
    <w:rsid w:val="00C9491C"/>
    <w:rsid w:val="00C95834"/>
    <w:rsid w:val="00C96B97"/>
    <w:rsid w:val="00C97AF2"/>
    <w:rsid w:val="00CA00ED"/>
    <w:rsid w:val="00CA0376"/>
    <w:rsid w:val="00CA0A48"/>
    <w:rsid w:val="00CA2208"/>
    <w:rsid w:val="00CA2FA2"/>
    <w:rsid w:val="00CA32C3"/>
    <w:rsid w:val="00CA3348"/>
    <w:rsid w:val="00CA33BF"/>
    <w:rsid w:val="00CA4306"/>
    <w:rsid w:val="00CA5D61"/>
    <w:rsid w:val="00CA6871"/>
    <w:rsid w:val="00CA7053"/>
    <w:rsid w:val="00CB03C8"/>
    <w:rsid w:val="00CB05E0"/>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2B4A"/>
    <w:rsid w:val="00CC31C8"/>
    <w:rsid w:val="00CC327C"/>
    <w:rsid w:val="00CC3762"/>
    <w:rsid w:val="00CC3C28"/>
    <w:rsid w:val="00CC515A"/>
    <w:rsid w:val="00CC56D0"/>
    <w:rsid w:val="00CC57AE"/>
    <w:rsid w:val="00CC6CE6"/>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316E"/>
    <w:rsid w:val="00D35A26"/>
    <w:rsid w:val="00D35AB1"/>
    <w:rsid w:val="00D37842"/>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718"/>
    <w:rsid w:val="00D86942"/>
    <w:rsid w:val="00D87F3F"/>
    <w:rsid w:val="00D914FC"/>
    <w:rsid w:val="00D91C03"/>
    <w:rsid w:val="00D92811"/>
    <w:rsid w:val="00D92F5F"/>
    <w:rsid w:val="00D935D1"/>
    <w:rsid w:val="00D9472C"/>
    <w:rsid w:val="00D94EEA"/>
    <w:rsid w:val="00D9509F"/>
    <w:rsid w:val="00D956F7"/>
    <w:rsid w:val="00D96AB4"/>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632F"/>
    <w:rsid w:val="00DA7866"/>
    <w:rsid w:val="00DB0B52"/>
    <w:rsid w:val="00DB0E02"/>
    <w:rsid w:val="00DB1250"/>
    <w:rsid w:val="00DB15A9"/>
    <w:rsid w:val="00DB19D3"/>
    <w:rsid w:val="00DB39D8"/>
    <w:rsid w:val="00DB41F2"/>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5427"/>
    <w:rsid w:val="00DD5732"/>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A9A"/>
    <w:rsid w:val="00E02BED"/>
    <w:rsid w:val="00E02C6F"/>
    <w:rsid w:val="00E037AB"/>
    <w:rsid w:val="00E03C84"/>
    <w:rsid w:val="00E03FA6"/>
    <w:rsid w:val="00E0486C"/>
    <w:rsid w:val="00E0726A"/>
    <w:rsid w:val="00E07395"/>
    <w:rsid w:val="00E10155"/>
    <w:rsid w:val="00E104FA"/>
    <w:rsid w:val="00E10C17"/>
    <w:rsid w:val="00E11272"/>
    <w:rsid w:val="00E11D8D"/>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35E8"/>
    <w:rsid w:val="00E73D3C"/>
    <w:rsid w:val="00E74193"/>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A0CBC"/>
    <w:rsid w:val="00EA10F8"/>
    <w:rsid w:val="00EA383D"/>
    <w:rsid w:val="00EA3D25"/>
    <w:rsid w:val="00EA3EFE"/>
    <w:rsid w:val="00EA4221"/>
    <w:rsid w:val="00EA5664"/>
    <w:rsid w:val="00EA62C2"/>
    <w:rsid w:val="00EA722F"/>
    <w:rsid w:val="00EB0BAE"/>
    <w:rsid w:val="00EB1130"/>
    <w:rsid w:val="00EB11F3"/>
    <w:rsid w:val="00EB1394"/>
    <w:rsid w:val="00EB231D"/>
    <w:rsid w:val="00EB2CE6"/>
    <w:rsid w:val="00EB51B3"/>
    <w:rsid w:val="00EB56B3"/>
    <w:rsid w:val="00EB5B34"/>
    <w:rsid w:val="00EC2F22"/>
    <w:rsid w:val="00EC34A3"/>
    <w:rsid w:val="00EC3CE7"/>
    <w:rsid w:val="00EC4139"/>
    <w:rsid w:val="00EC417E"/>
    <w:rsid w:val="00EC422E"/>
    <w:rsid w:val="00EC43AF"/>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DA7"/>
    <w:rsid w:val="00ED4145"/>
    <w:rsid w:val="00ED5AE6"/>
    <w:rsid w:val="00ED5B5F"/>
    <w:rsid w:val="00ED5D85"/>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4B18"/>
    <w:rsid w:val="00EF5E30"/>
    <w:rsid w:val="00EF5FA0"/>
    <w:rsid w:val="00EF6629"/>
    <w:rsid w:val="00EF6985"/>
    <w:rsid w:val="00EF73FE"/>
    <w:rsid w:val="00EF770C"/>
    <w:rsid w:val="00EF79E0"/>
    <w:rsid w:val="00F01691"/>
    <w:rsid w:val="00F02CFB"/>
    <w:rsid w:val="00F03942"/>
    <w:rsid w:val="00F040D0"/>
    <w:rsid w:val="00F043BA"/>
    <w:rsid w:val="00F0547B"/>
    <w:rsid w:val="00F067E0"/>
    <w:rsid w:val="00F06993"/>
    <w:rsid w:val="00F070FF"/>
    <w:rsid w:val="00F071DD"/>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762"/>
    <w:rsid w:val="00F80C8C"/>
    <w:rsid w:val="00F80CCA"/>
    <w:rsid w:val="00F8274F"/>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12C8"/>
    <w:rsid w:val="00FA2990"/>
    <w:rsid w:val="00FA2CDF"/>
    <w:rsid w:val="00FA3824"/>
    <w:rsid w:val="00FA441C"/>
    <w:rsid w:val="00FA4B3C"/>
    <w:rsid w:val="00FA4BAE"/>
    <w:rsid w:val="00FA62F2"/>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7F7"/>
    <w:rsid w:val="00FC7634"/>
    <w:rsid w:val="00FD058E"/>
    <w:rsid w:val="00FD0D9D"/>
    <w:rsid w:val="00FD1F80"/>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0DE"/>
    <w:rsid w:val="00FE6801"/>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8129"/>
    <o:shapelayout v:ext="edit">
      <o:idmap v:ext="edit" data="1"/>
    </o:shapelayout>
  </w:shapeDefaults>
  <w:decimalSymbol w:val=","/>
  <w:listSeparator w:val=";"/>
  <w14:docId w14:val="4D28CC9E"/>
  <w15:docId w15:val="{35A2E2C1-9E5D-48FB-A736-956736F0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11E7-F1C5-43EF-B941-0A03347B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11536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Juarez Duarte Franco</cp:lastModifiedBy>
  <cp:revision>2</cp:revision>
  <cp:lastPrinted>2010-07-14T20:23:00Z</cp:lastPrinted>
  <dcterms:created xsi:type="dcterms:W3CDTF">2017-05-10T11:24:00Z</dcterms:created>
  <dcterms:modified xsi:type="dcterms:W3CDTF">2017-05-10T11:24:00Z</dcterms:modified>
</cp:coreProperties>
</file>