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Ind w:w="-2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94762">
        <w:rPr>
          <w:rFonts w:ascii="Arial" w:hAnsi="Arial" w:cs="Arial"/>
          <w:b/>
          <w:bCs/>
          <w:color w:val="000080"/>
        </w:rPr>
        <w:t>1</w:t>
      </w:r>
      <w:r w:rsidR="004E0608">
        <w:rPr>
          <w:rFonts w:ascii="Arial" w:hAnsi="Arial" w:cs="Arial"/>
          <w:b/>
          <w:bCs/>
          <w:color w:val="000080"/>
        </w:rPr>
        <w:t>1</w:t>
      </w:r>
      <w:r w:rsidR="00356D39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56D39">
        <w:rPr>
          <w:rFonts w:ascii="Arial" w:hAnsi="Arial" w:cs="Arial"/>
          <w:b/>
          <w:bCs/>
          <w:color w:val="000080"/>
        </w:rPr>
        <w:t>23</w:t>
      </w:r>
      <w:r w:rsidR="00C429C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4A18">
        <w:rPr>
          <w:rFonts w:ascii="Arial" w:hAnsi="Arial" w:cs="Arial"/>
          <w:b/>
          <w:bCs/>
          <w:color w:val="000080"/>
        </w:rPr>
        <w:t>A</w:t>
      </w:r>
      <w:r w:rsidR="00180385">
        <w:rPr>
          <w:rFonts w:ascii="Arial" w:hAnsi="Arial" w:cs="Arial"/>
          <w:b/>
          <w:bCs/>
          <w:color w:val="000080"/>
        </w:rPr>
        <w:t>B</w:t>
      </w:r>
      <w:r w:rsidR="00B34A18">
        <w:rPr>
          <w:rFonts w:ascii="Arial" w:hAnsi="Arial" w:cs="Arial"/>
          <w:b/>
          <w:bCs/>
          <w:color w:val="000080"/>
        </w:rPr>
        <w:t>R</w:t>
      </w:r>
      <w:r w:rsidR="00180385">
        <w:rPr>
          <w:rFonts w:ascii="Arial" w:hAnsi="Arial" w:cs="Arial"/>
          <w:b/>
          <w:bCs/>
          <w:color w:val="000080"/>
        </w:rPr>
        <w:t xml:space="preserve">IL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04BD8" w:rsidRDefault="00204BD8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418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E4180">
        <w:rPr>
          <w:rFonts w:ascii="Arial" w:hAnsi="Arial" w:cs="Arial"/>
          <w:color w:val="000000"/>
        </w:rPr>
        <w:t>, no uso da competência que lhe foi delegada pelo art. 1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da Portaria MME </w:t>
      </w:r>
      <w:proofErr w:type="gramStart"/>
      <w:r w:rsidRPr="007E4180">
        <w:rPr>
          <w:rFonts w:ascii="Arial" w:hAnsi="Arial" w:cs="Arial"/>
          <w:color w:val="000000"/>
        </w:rPr>
        <w:t>n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440</w:t>
      </w:r>
      <w:proofErr w:type="gramEnd"/>
      <w:r w:rsidRPr="007E4180">
        <w:rPr>
          <w:rFonts w:ascii="Arial" w:hAnsi="Arial" w:cs="Arial"/>
          <w:color w:val="000000"/>
        </w:rPr>
        <w:t>, de 20 de julho de 2012, tendo em vista o disposto no art. 6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do Decreto n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6.144, de 3 de julho de 2007, no art. 2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>, § 3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, da Portaria MME </w:t>
      </w:r>
      <w:r w:rsidRPr="007E4180">
        <w:rPr>
          <w:rFonts w:ascii="Arial" w:hAnsi="Arial" w:cs="Arial"/>
        </w:rPr>
        <w:t>n</w:t>
      </w:r>
      <w:r w:rsidRPr="007E4180">
        <w:rPr>
          <w:rFonts w:ascii="Arial" w:hAnsi="Arial" w:cs="Arial"/>
          <w:u w:val="words"/>
          <w:vertAlign w:val="superscript"/>
        </w:rPr>
        <w:t>o</w:t>
      </w:r>
      <w:r w:rsidRPr="007E4180">
        <w:rPr>
          <w:rFonts w:ascii="Arial" w:hAnsi="Arial" w:cs="Arial"/>
        </w:rPr>
        <w:t xml:space="preserve"> 274, de 19 de agosto de 2013, e o q</w:t>
      </w:r>
      <w:r w:rsidRPr="007E4180">
        <w:rPr>
          <w:rFonts w:ascii="Arial" w:hAnsi="Arial" w:cs="Arial"/>
          <w:color w:val="000000"/>
        </w:rPr>
        <w:t xml:space="preserve">ue consta </w:t>
      </w:r>
      <w:r w:rsidRPr="007E4180">
        <w:rPr>
          <w:rFonts w:ascii="Arial" w:hAnsi="Arial" w:cs="Arial"/>
        </w:rPr>
        <w:t>do Processo n</w:t>
      </w:r>
      <w:r w:rsidRPr="007E4180">
        <w:rPr>
          <w:rFonts w:ascii="Arial" w:hAnsi="Arial" w:cs="Arial"/>
          <w:u w:val="words"/>
          <w:vertAlign w:val="superscript"/>
        </w:rPr>
        <w:t>o</w:t>
      </w:r>
      <w:r w:rsidRPr="007E4180">
        <w:rPr>
          <w:rFonts w:ascii="Arial" w:hAnsi="Arial" w:cs="Arial"/>
        </w:rPr>
        <w:t xml:space="preserve"> 48500.006807/2013-74, resolve:</w:t>
      </w: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6D39" w:rsidRPr="007E4180" w:rsidRDefault="00356D39" w:rsidP="00356D3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4180">
        <w:rPr>
          <w:rFonts w:ascii="Arial" w:hAnsi="Arial" w:cs="Arial"/>
        </w:rPr>
        <w:t>Art. 1</w:t>
      </w:r>
      <w:r w:rsidRPr="007E4180">
        <w:rPr>
          <w:rFonts w:ascii="Arial" w:hAnsi="Arial" w:cs="Arial"/>
          <w:strike/>
        </w:rPr>
        <w:t>º</w:t>
      </w:r>
      <w:r w:rsidRPr="007E4180">
        <w:rPr>
          <w:rFonts w:ascii="Arial" w:hAnsi="Arial" w:cs="Arial"/>
        </w:rPr>
        <w:t xml:space="preserve"> Aprovar o enquadramento </w:t>
      </w:r>
      <w:r w:rsidRPr="007E4180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Resolução Autorizativa ANEEL </w:t>
      </w:r>
      <w:r w:rsidRPr="007E4180">
        <w:rPr>
          <w:rFonts w:ascii="Arial" w:hAnsi="Arial" w:cs="Arial"/>
        </w:rPr>
        <w:t>n</w:t>
      </w:r>
      <w:r w:rsidRPr="007E4180">
        <w:rPr>
          <w:rFonts w:ascii="Arial" w:hAnsi="Arial" w:cs="Arial"/>
          <w:strike/>
        </w:rPr>
        <w:t>º</w:t>
      </w:r>
      <w:r w:rsidRPr="007E4180">
        <w:rPr>
          <w:rFonts w:ascii="Arial" w:hAnsi="Arial" w:cs="Arial"/>
        </w:rPr>
        <w:t xml:space="preserve"> 4.347, de 24 de setembro de 2013</w:t>
      </w:r>
      <w:r w:rsidRPr="007E4180">
        <w:rPr>
          <w:rFonts w:ascii="Arial" w:hAnsi="Arial" w:cs="Arial"/>
          <w:color w:val="000000"/>
        </w:rPr>
        <w:t>, de titularidade da empresa CTEEP - Companhia de Transmissão de Energia Elétrica Paulista, inscrita no CNPJ/MF sob o n</w:t>
      </w:r>
      <w:r w:rsidRPr="007E4180">
        <w:rPr>
          <w:rFonts w:ascii="Arial" w:hAnsi="Arial" w:cs="Arial"/>
          <w:strike/>
          <w:color w:val="000000"/>
        </w:rPr>
        <w:t>º</w:t>
      </w:r>
      <w:r w:rsidRPr="007E4180">
        <w:rPr>
          <w:rFonts w:ascii="Arial" w:hAnsi="Arial" w:cs="Arial"/>
          <w:color w:val="000000"/>
        </w:rPr>
        <w:t xml:space="preserve"> </w:t>
      </w:r>
      <w:r w:rsidRPr="007E4180">
        <w:rPr>
          <w:rFonts w:ascii="Arial" w:hAnsi="Arial" w:cs="Arial"/>
        </w:rPr>
        <w:t>02.998.611/0001-04</w:t>
      </w:r>
      <w:r w:rsidRPr="007E4180">
        <w:rPr>
          <w:rFonts w:ascii="Arial" w:hAnsi="Arial" w:cs="Arial"/>
          <w:color w:val="000000"/>
        </w:rPr>
        <w:t xml:space="preserve">, detalhado no Anexo </w:t>
      </w:r>
      <w:proofErr w:type="gramStart"/>
      <w:r w:rsidRPr="007E4180">
        <w:rPr>
          <w:rFonts w:ascii="Arial" w:hAnsi="Arial" w:cs="Arial"/>
          <w:color w:val="000000"/>
        </w:rPr>
        <w:t>à</w:t>
      </w:r>
      <w:proofErr w:type="gramEnd"/>
      <w:r w:rsidRPr="007E4180">
        <w:rPr>
          <w:rFonts w:ascii="Arial" w:hAnsi="Arial" w:cs="Arial"/>
          <w:color w:val="000000"/>
        </w:rPr>
        <w:t xml:space="preserve"> presente Portaria.</w:t>
      </w: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6D39" w:rsidRPr="007E4180" w:rsidRDefault="00356D39" w:rsidP="00356D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4180">
        <w:rPr>
          <w:rFonts w:ascii="Arial" w:hAnsi="Arial" w:cs="Arial"/>
          <w:color w:val="000000"/>
        </w:rPr>
        <w:t xml:space="preserve">Parágrafo único. O projeto de que trata o </w:t>
      </w:r>
      <w:r w:rsidRPr="007E4180">
        <w:rPr>
          <w:rFonts w:ascii="Arial" w:hAnsi="Arial" w:cs="Arial"/>
          <w:b/>
          <w:color w:val="000000"/>
        </w:rPr>
        <w:t>caput</w:t>
      </w:r>
      <w:r w:rsidRPr="007E4180">
        <w:rPr>
          <w:rFonts w:ascii="Arial" w:hAnsi="Arial" w:cs="Arial"/>
          <w:color w:val="000000"/>
        </w:rPr>
        <w:t xml:space="preserve"> compreende </w:t>
      </w:r>
      <w:r w:rsidRPr="007E4180">
        <w:rPr>
          <w:rFonts w:ascii="Arial" w:hAnsi="Arial" w:cs="Arial"/>
        </w:rPr>
        <w:t xml:space="preserve">parte das </w:t>
      </w:r>
      <w:r w:rsidRPr="007E4180">
        <w:rPr>
          <w:rFonts w:ascii="Arial" w:hAnsi="Arial" w:cs="Arial"/>
          <w:color w:val="000000"/>
        </w:rPr>
        <w:t xml:space="preserve">instalações constantes do item 20 do Anexo da Resolução Autorizativa ANEEL </w:t>
      </w:r>
      <w:r w:rsidRPr="007E4180">
        <w:rPr>
          <w:rFonts w:ascii="Arial" w:hAnsi="Arial" w:cs="Arial"/>
        </w:rPr>
        <w:t>n</w:t>
      </w:r>
      <w:r w:rsidRPr="007E4180">
        <w:rPr>
          <w:rFonts w:ascii="Arial" w:hAnsi="Arial" w:cs="Arial"/>
          <w:strike/>
        </w:rPr>
        <w:t>º</w:t>
      </w:r>
      <w:r w:rsidRPr="007E4180">
        <w:rPr>
          <w:rFonts w:ascii="Arial" w:hAnsi="Arial" w:cs="Arial"/>
        </w:rPr>
        <w:t xml:space="preserve"> 4.347, de 24 de setembro de 2013, sendo </w:t>
      </w:r>
      <w:r w:rsidRPr="007E4180">
        <w:rPr>
          <w:rFonts w:ascii="Arial" w:hAnsi="Arial" w:cs="Arial"/>
          <w:color w:val="000000"/>
        </w:rPr>
        <w:t>alcançado pelo art. 4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7E4180">
        <w:rPr>
          <w:rFonts w:ascii="Arial" w:hAnsi="Arial" w:cs="Arial"/>
          <w:color w:val="000000"/>
        </w:rPr>
        <w:t>n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> 274</w:t>
      </w:r>
      <w:proofErr w:type="gramEnd"/>
      <w:r w:rsidRPr="007E4180">
        <w:rPr>
          <w:rFonts w:ascii="Arial" w:hAnsi="Arial" w:cs="Arial"/>
          <w:color w:val="000000"/>
        </w:rPr>
        <w:t>, de 19 de agosto de 2013.</w:t>
      </w: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6D39" w:rsidRPr="007E4180" w:rsidRDefault="00356D39" w:rsidP="00356D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4180">
        <w:rPr>
          <w:rFonts w:ascii="Arial" w:hAnsi="Arial" w:cs="Arial"/>
          <w:color w:val="000000"/>
        </w:rPr>
        <w:t>Art. 2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As estimativas dos investimentos têm por base o mês de outubro de 2013 e são de exclusiva responsabilidade da CTEEP - Companhia de Transmissão de Energia Elétrica Paulista, cuja razoabilidade foi atestada pela Agência Nacional de Energia Elétrica - ANEEL.</w:t>
      </w:r>
    </w:p>
    <w:p w:rsidR="00356D39" w:rsidRPr="007E4180" w:rsidRDefault="00356D39" w:rsidP="00356D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6D39" w:rsidRPr="007E4180" w:rsidRDefault="00356D39" w:rsidP="00356D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4180">
        <w:rPr>
          <w:rFonts w:ascii="Arial" w:hAnsi="Arial" w:cs="Arial"/>
          <w:color w:val="000000"/>
        </w:rPr>
        <w:t>Art. 3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A CTEEP - Companhia de Transmissão de Energia Elétrica Paulista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da sua emissão.</w:t>
      </w: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4180">
        <w:rPr>
          <w:rFonts w:ascii="Arial" w:hAnsi="Arial" w:cs="Arial"/>
          <w:color w:val="000000"/>
        </w:rPr>
        <w:t>Art. 4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4180">
        <w:rPr>
          <w:rFonts w:ascii="Arial" w:hAnsi="Arial" w:cs="Arial"/>
          <w:color w:val="000000"/>
        </w:rPr>
        <w:t>Art. 5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6D39" w:rsidRPr="007E4180" w:rsidRDefault="00356D39" w:rsidP="00356D3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4180">
        <w:rPr>
          <w:rFonts w:ascii="Arial" w:hAnsi="Arial" w:cs="Arial"/>
          <w:color w:val="000000"/>
        </w:rPr>
        <w:t>Art. 6</w:t>
      </w:r>
      <w:r w:rsidRPr="007E4180">
        <w:rPr>
          <w:rFonts w:ascii="Arial" w:hAnsi="Arial" w:cs="Arial"/>
          <w:color w:val="000000"/>
          <w:u w:val="words"/>
          <w:vertAlign w:val="superscript"/>
        </w:rPr>
        <w:t>o</w:t>
      </w:r>
      <w:r w:rsidRPr="007E418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48415E" w:rsidRPr="0048415E" w:rsidRDefault="0048415E" w:rsidP="0048415E">
      <w:pPr>
        <w:ind w:firstLine="1134"/>
        <w:jc w:val="both"/>
        <w:rPr>
          <w:rFonts w:ascii="Arial" w:hAnsi="Arial" w:cs="Arial"/>
          <w:sz w:val="18"/>
          <w:szCs w:val="18"/>
        </w:rPr>
      </w:pPr>
    </w:p>
    <w:p w:rsidR="00764AA7" w:rsidRPr="002F7283" w:rsidRDefault="0082118A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C067FB">
        <w:rPr>
          <w:rFonts w:ascii="Arial" w:hAnsi="Arial" w:cs="Arial"/>
          <w:b/>
          <w:bCs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B94C7D" w:rsidRDefault="00764AA7" w:rsidP="00D637F9">
      <w:pPr>
        <w:autoSpaceDE w:val="0"/>
        <w:ind w:right="-40"/>
        <w:jc w:val="both"/>
        <w:rPr>
          <w:rFonts w:ascii="Arial" w:hAnsi="Arial" w:cs="Arial"/>
          <w:color w:val="000000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F27B61">
        <w:rPr>
          <w:rFonts w:ascii="Arial" w:hAnsi="Arial" w:cs="Arial"/>
          <w:color w:val="FF0000"/>
        </w:rPr>
        <w:t>2</w:t>
      </w:r>
      <w:r w:rsidR="00356D39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180385">
        <w:rPr>
          <w:rFonts w:ascii="Arial" w:hAnsi="Arial" w:cs="Arial"/>
          <w:color w:val="FF0000"/>
        </w:rPr>
        <w:t>4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="00585531">
        <w:rPr>
          <w:rFonts w:ascii="Arial" w:hAnsi="Arial" w:cs="Arial"/>
          <w:color w:val="FF0000"/>
        </w:rPr>
        <w:t xml:space="preserve"> e re</w:t>
      </w:r>
      <w:r w:rsidR="00274B82">
        <w:rPr>
          <w:rFonts w:ascii="Arial" w:hAnsi="Arial" w:cs="Arial"/>
          <w:color w:val="FF0000"/>
        </w:rPr>
        <w:t>tifi</w:t>
      </w:r>
      <w:bookmarkStart w:id="0" w:name="_GoBack"/>
      <w:bookmarkEnd w:id="0"/>
      <w:r w:rsidR="00585531" w:rsidRPr="002F7283">
        <w:rPr>
          <w:rFonts w:ascii="Arial" w:hAnsi="Arial" w:cs="Arial"/>
          <w:color w:val="FF0000"/>
        </w:rPr>
        <w:t xml:space="preserve">cado no DOU de </w:t>
      </w:r>
      <w:r w:rsidR="00585531">
        <w:rPr>
          <w:rFonts w:ascii="Arial" w:hAnsi="Arial" w:cs="Arial"/>
          <w:color w:val="FF0000"/>
        </w:rPr>
        <w:t>30</w:t>
      </w:r>
      <w:r w:rsidR="00585531" w:rsidRPr="002F7283">
        <w:rPr>
          <w:rFonts w:ascii="Arial" w:hAnsi="Arial" w:cs="Arial"/>
          <w:color w:val="FF0000"/>
        </w:rPr>
        <w:t>.</w:t>
      </w:r>
      <w:r w:rsidR="00585531">
        <w:rPr>
          <w:rFonts w:ascii="Arial" w:hAnsi="Arial" w:cs="Arial"/>
          <w:color w:val="FF0000"/>
        </w:rPr>
        <w:t>1.2015</w:t>
      </w:r>
      <w:r w:rsidRPr="002F7283">
        <w:rPr>
          <w:rFonts w:ascii="Arial" w:hAnsi="Arial" w:cs="Arial"/>
          <w:color w:val="FF0000"/>
        </w:rPr>
        <w:t>.</w:t>
      </w:r>
      <w:r w:rsidR="00342BF2" w:rsidRPr="0037257C">
        <w:rPr>
          <w:rFonts w:ascii="Arial" w:hAnsi="Arial" w:cs="Arial"/>
          <w:color w:val="000000"/>
        </w:rPr>
        <w:t xml:space="preserve"> </w:t>
      </w:r>
    </w:p>
    <w:p w:rsidR="00B94C7D" w:rsidRDefault="00B94C7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4E0608" w:rsidRPr="00DE2B3F" w:rsidRDefault="004E0608" w:rsidP="004E060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E2B3F">
        <w:rPr>
          <w:rFonts w:ascii="Arial" w:hAnsi="Arial" w:cs="Arial"/>
          <w:b/>
          <w:color w:val="000000"/>
        </w:rPr>
        <w:lastRenderedPageBreak/>
        <w:t>ANEXO</w:t>
      </w:r>
    </w:p>
    <w:p w:rsidR="004E0608" w:rsidRPr="00E67752" w:rsidRDefault="004E0608" w:rsidP="004E060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56D39" w:rsidRPr="007E4180" w:rsidTr="008829E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39" w:rsidRPr="007E4180" w:rsidRDefault="00356D39" w:rsidP="008829E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E418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56D39" w:rsidRPr="007E4180" w:rsidRDefault="00356D39" w:rsidP="00356D39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56D39" w:rsidRPr="007E4180" w:rsidTr="008829E1">
        <w:tc>
          <w:tcPr>
            <w:tcW w:w="10348" w:type="dxa"/>
            <w:vAlign w:val="center"/>
          </w:tcPr>
          <w:p w:rsidR="00356D39" w:rsidRPr="007E4180" w:rsidRDefault="00356D39" w:rsidP="008829E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356D39" w:rsidRPr="007E4180" w:rsidRDefault="00356D39" w:rsidP="00356D39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357"/>
        <w:gridCol w:w="2478"/>
        <w:gridCol w:w="360"/>
        <w:gridCol w:w="2758"/>
      </w:tblGrid>
      <w:tr w:rsidR="00356D39" w:rsidRPr="007E4180" w:rsidTr="008829E1">
        <w:tc>
          <w:tcPr>
            <w:tcW w:w="10348" w:type="dxa"/>
            <w:gridSpan w:val="6"/>
            <w:vAlign w:val="center"/>
          </w:tcPr>
          <w:p w:rsidR="00356D39" w:rsidRPr="007E4180" w:rsidRDefault="00356D39" w:rsidP="008829E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56D39" w:rsidRPr="007E4180" w:rsidTr="008829E1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02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CNPJ      </w:t>
            </w:r>
          </w:p>
        </w:tc>
      </w:tr>
      <w:tr w:rsidR="00356D39" w:rsidRPr="007E4180" w:rsidTr="008829E1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CTEEP - Companhia de Transmissão de Energia Elétrica Paulista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147" w:right="-211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 02.998.611/0001-04</w:t>
            </w:r>
          </w:p>
        </w:tc>
      </w:tr>
      <w:tr w:rsidR="00356D39" w:rsidRPr="007E4180" w:rsidTr="008829E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Número</w:t>
            </w:r>
          </w:p>
        </w:tc>
      </w:tr>
      <w:tr w:rsidR="00356D39" w:rsidRPr="007E4180" w:rsidTr="00882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Rua Casa do 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1.155</w:t>
            </w:r>
          </w:p>
        </w:tc>
      </w:tr>
      <w:tr w:rsidR="00356D39" w:rsidRPr="007E4180" w:rsidTr="008829E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Complemento </w:t>
            </w: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Bairro/Distrito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07</w:t>
            </w:r>
          </w:p>
        </w:tc>
        <w:tc>
          <w:tcPr>
            <w:tcW w:w="2758" w:type="dxa"/>
            <w:tcBorders>
              <w:bottom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CEP</w:t>
            </w:r>
          </w:p>
        </w:tc>
      </w:tr>
      <w:tr w:rsidR="00356D39" w:rsidRPr="007E4180" w:rsidTr="00882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Andar </w:t>
            </w:r>
            <w:proofErr w:type="gramStart"/>
            <w:r w:rsidRPr="007E4180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Vila Olímpia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04.546-004</w:t>
            </w:r>
          </w:p>
        </w:tc>
      </w:tr>
      <w:tr w:rsidR="00356D39" w:rsidRPr="007E4180" w:rsidTr="008829E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Município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09</w:t>
            </w:r>
          </w:p>
        </w:tc>
        <w:tc>
          <w:tcPr>
            <w:tcW w:w="2478" w:type="dxa"/>
            <w:tcBorders>
              <w:bottom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UF</w:t>
            </w:r>
          </w:p>
        </w:tc>
        <w:tc>
          <w:tcPr>
            <w:tcW w:w="360" w:type="dxa"/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10</w:t>
            </w:r>
          </w:p>
        </w:tc>
        <w:tc>
          <w:tcPr>
            <w:tcW w:w="2758" w:type="dxa"/>
            <w:tcBorders>
              <w:bottom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Telefone</w:t>
            </w:r>
          </w:p>
        </w:tc>
      </w:tr>
      <w:tr w:rsidR="00356D39" w:rsidRPr="007E4180" w:rsidTr="00882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São Paulo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SP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 (11) 3138-7000</w:t>
            </w:r>
          </w:p>
        </w:tc>
      </w:tr>
    </w:tbl>
    <w:p w:rsidR="00356D39" w:rsidRPr="007E4180" w:rsidRDefault="00356D39" w:rsidP="00356D39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356D39" w:rsidRPr="007E4180" w:rsidTr="008829E1">
        <w:tc>
          <w:tcPr>
            <w:tcW w:w="432" w:type="dxa"/>
          </w:tcPr>
          <w:p w:rsidR="00356D39" w:rsidRPr="007E4180" w:rsidRDefault="00356D39" w:rsidP="008829E1">
            <w:pPr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356D39" w:rsidRPr="007E4180" w:rsidRDefault="00356D39" w:rsidP="008829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>DADOS DO PROJETO</w:t>
            </w:r>
          </w:p>
        </w:tc>
      </w:tr>
      <w:tr w:rsidR="00356D39" w:rsidRPr="007E4180" w:rsidTr="00E67752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  <w:b/>
              </w:rPr>
            </w:pPr>
            <w:r w:rsidRPr="007E418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56D39" w:rsidRPr="00E67752" w:rsidRDefault="00356D39" w:rsidP="008829E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E67752">
              <w:rPr>
                <w:rFonts w:ascii="Arial" w:hAnsi="Arial" w:cs="Arial"/>
                <w:sz w:val="23"/>
                <w:szCs w:val="23"/>
              </w:rPr>
              <w:t xml:space="preserve">Reforços em Instalações de Transmissão de Energia Elétrica (parte do </w:t>
            </w:r>
            <w:r w:rsidRPr="00E67752">
              <w:rPr>
                <w:rFonts w:ascii="Arial" w:hAnsi="Arial" w:cs="Arial"/>
                <w:color w:val="000000"/>
                <w:sz w:val="23"/>
                <w:szCs w:val="23"/>
              </w:rPr>
              <w:t xml:space="preserve">item 20 do Anexo da </w:t>
            </w:r>
            <w:r w:rsidRPr="00E67752">
              <w:rPr>
                <w:rFonts w:ascii="Arial" w:hAnsi="Arial" w:cs="Arial"/>
                <w:sz w:val="23"/>
                <w:szCs w:val="23"/>
              </w:rPr>
              <w:t>Resolução Autorizativa ANEEL n</w:t>
            </w:r>
            <w:r w:rsidRPr="00E67752">
              <w:rPr>
                <w:rFonts w:ascii="Arial" w:hAnsi="Arial" w:cs="Arial"/>
                <w:sz w:val="23"/>
                <w:szCs w:val="23"/>
                <w:u w:val="single"/>
                <w:vertAlign w:val="superscript"/>
              </w:rPr>
              <w:t>o</w:t>
            </w:r>
            <w:r w:rsidRPr="00E67752">
              <w:rPr>
                <w:rFonts w:ascii="Arial" w:hAnsi="Arial" w:cs="Arial"/>
                <w:sz w:val="23"/>
                <w:szCs w:val="23"/>
              </w:rPr>
              <w:t xml:space="preserve"> 4.347, de 24 de setembro de 2013).</w:t>
            </w:r>
          </w:p>
        </w:tc>
      </w:tr>
      <w:tr w:rsidR="00356D39" w:rsidRPr="007E4180" w:rsidTr="00E67752">
        <w:trPr>
          <w:trHeight w:val="100"/>
        </w:trPr>
        <w:tc>
          <w:tcPr>
            <w:tcW w:w="2552" w:type="dxa"/>
            <w:gridSpan w:val="2"/>
            <w:vMerge w:val="restart"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>Reforços em Instalações de Transmissão de Energia Elétrica, compreendendo: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I - Subestação </w:t>
            </w:r>
            <w:proofErr w:type="spellStart"/>
            <w:r w:rsidRPr="007E4180">
              <w:rPr>
                <w:color w:val="auto"/>
              </w:rPr>
              <w:t>Itapeti</w:t>
            </w:r>
            <w:proofErr w:type="spellEnd"/>
            <w:r w:rsidRPr="007E4180">
              <w:rPr>
                <w:color w:val="auto"/>
              </w:rPr>
              <w:t xml:space="preserve"> 345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a) implantação de Sistema Especial de Proteção de Alívio de Carregamento na Transformação 345 - 230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/3 x 166,6 MVA;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II - Subestação Baixada Santista 138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>instalação de Módulo de Interligação de Barramentos;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III - Subestação Bauru 138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Cabos e Conexões (capacidade necessária de Corrente Nominal maior ou igual a 1250 A) da Linha de Transmissão, em 138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, Bauru (CTEEP) - Bauru (CPFL);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b) </w:t>
            </w:r>
            <w:r w:rsidRPr="007E4180">
              <w:rPr>
                <w:color w:val="auto"/>
              </w:rPr>
              <w:t xml:space="preserve">Substituição de quatro Chaves Seccionadoras (capacidade necessária de Corrente Nominal maior ou igual a 1250 A) do vão Bauru CPFL C1; </w:t>
            </w:r>
            <w:proofErr w:type="gramStart"/>
            <w:r w:rsidRPr="007E4180">
              <w:rPr>
                <w:color w:val="auto"/>
              </w:rPr>
              <w:t>e</w:t>
            </w:r>
            <w:proofErr w:type="gramEnd"/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c) </w:t>
            </w:r>
            <w:r w:rsidRPr="007E4180">
              <w:rPr>
                <w:color w:val="auto"/>
              </w:rPr>
              <w:t>substituição de três Transformadores de Corrente (capacidade necessária de Corrente Nominal maior ou igual a 1250 A) do vão Bauru CPFL C1;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IV - Subestação Limeira 138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Cabos e Conexões (capacidade necessária de Corrente Nominal maior ou igual a 1250 A) dos </w:t>
            </w:r>
            <w:proofErr w:type="gramStart"/>
            <w:r w:rsidRPr="007E4180">
              <w:rPr>
                <w:color w:val="auto"/>
              </w:rPr>
              <w:t>vãos Mogi Mirim</w:t>
            </w:r>
            <w:proofErr w:type="gramEnd"/>
            <w:r w:rsidRPr="007E4180">
              <w:rPr>
                <w:color w:val="auto"/>
              </w:rPr>
              <w:t xml:space="preserve"> III C1 e C2;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b) </w:t>
            </w:r>
            <w:r w:rsidRPr="007E4180">
              <w:rPr>
                <w:color w:val="auto"/>
              </w:rPr>
              <w:t xml:space="preserve">substituição de seis Disjuntores (capacidade necessária de Corrente de Curto-Circuito igual ou maior a 40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dos vãos: Rio Claro C1 e C2; Mogi Mirim III C1 e C2; e Santa Bárbara C1 e C2;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c) </w:t>
            </w:r>
            <w:r w:rsidRPr="007E4180">
              <w:rPr>
                <w:color w:val="auto"/>
              </w:rPr>
              <w:t xml:space="preserve">substituição de dezessete Chaves Seccionadoras (capacidade necessária de Corrente de Curto-Circuito igual ou maior a 40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dos vãos: Rio Claro C1 e C2; Mogi Mirim III C1 e C2; Santa Bárbara C1 e C2; e TR-1;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d) </w:t>
            </w:r>
            <w:r w:rsidRPr="007E4180">
              <w:rPr>
                <w:color w:val="auto"/>
              </w:rPr>
              <w:t xml:space="preserve">substituição de doze Transformadores de Corrente (capacidade necessária de Corrente de Curto-Circuito igual ou maior a 40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dos vãos: Rio Claro C1 e C2; e Mogi Mirim III C1 e C2;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e) </w:t>
            </w:r>
            <w:r w:rsidRPr="007E4180">
              <w:rPr>
                <w:color w:val="auto"/>
              </w:rPr>
              <w:t>substituição de seis Transformadores de Corrente (capacidade necessária de Corrente Nominal maior ou igual a 1250 A) dos vãos Santa Bárbara C1 e C2;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f) </w:t>
            </w:r>
            <w:r w:rsidRPr="007E4180">
              <w:rPr>
                <w:color w:val="auto"/>
              </w:rPr>
              <w:t xml:space="preserve">substituição de seis Transformadores de Corrente (capacidade necessária de Relação de Transformação maior do que 30 ou Tensão de Saturação superior a 400 V, considerando o Nível de Curto-Circuito de 31,5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dos vãos TR-1 e TR-2; e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g) </w:t>
            </w:r>
            <w:r w:rsidRPr="007E4180">
              <w:rPr>
                <w:color w:val="auto"/>
              </w:rPr>
              <w:t xml:space="preserve">instalação de Para-Raios (capacidade necessária de Corrente de Curto-Circuito igual ou maior a 40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nos vãos TR-1 e TR-2;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V - Subestação Dracena 138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implantação de três Disjuntores, duas Interligação de Barras e um Paralelo; </w:t>
            </w:r>
            <w:proofErr w:type="gramStart"/>
            <w:r w:rsidRPr="007E4180">
              <w:rPr>
                <w:color w:val="auto"/>
              </w:rPr>
              <w:t>e</w:t>
            </w:r>
            <w:proofErr w:type="gramEnd"/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b) </w:t>
            </w:r>
            <w:r w:rsidRPr="007E4180">
              <w:rPr>
                <w:color w:val="auto"/>
              </w:rPr>
              <w:t>instalação de Sistema de Proteção Diferencial de Barras;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VI - Subestação Mogi Guaçu 138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Cabos e Conexões (capacidade necessária de Corrente Nominal maior ou igual a 680 A) dos vãos São João da Boa Vista II C1 e C2; </w:t>
            </w:r>
            <w:proofErr w:type="gramStart"/>
            <w:r w:rsidRPr="007E4180">
              <w:rPr>
                <w:color w:val="auto"/>
              </w:rPr>
              <w:t>e</w:t>
            </w:r>
            <w:proofErr w:type="gramEnd"/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>b) substituição dos Barramentos I e II (capacidade necessária de Corrente Nominal maior ou igual a 1250 A);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VII - Subestação </w:t>
            </w:r>
            <w:proofErr w:type="spellStart"/>
            <w:r w:rsidRPr="007E4180">
              <w:rPr>
                <w:color w:val="auto"/>
              </w:rPr>
              <w:t>Jupiá</w:t>
            </w:r>
            <w:proofErr w:type="spellEnd"/>
            <w:r w:rsidRPr="007E4180">
              <w:rPr>
                <w:color w:val="auto"/>
              </w:rPr>
              <w:t xml:space="preserve"> 13,8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Cabos e Conexões (capacidade necessária de Corrente Nominal maior ou igual a 600 A) dos vãos: 240 - Três Lagoas Rural e 241 - Três Lagoas </w:t>
            </w:r>
            <w:proofErr w:type="gramStart"/>
            <w:r w:rsidRPr="007E4180">
              <w:rPr>
                <w:color w:val="auto"/>
              </w:rPr>
              <w:t>1</w:t>
            </w:r>
            <w:proofErr w:type="gramEnd"/>
            <w:r w:rsidRPr="007E4180">
              <w:rPr>
                <w:color w:val="auto"/>
              </w:rPr>
              <w:t>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VIII - Subestação Presidente Prudente 138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>substituição de três Transformadores de Corrente (capacidade necessária de Corrente Nominal maior ou igual a 1250 A) do vão Disjuntor Paralelo 4824-1;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b) </w:t>
            </w:r>
            <w:r w:rsidRPr="007E4180">
              <w:rPr>
                <w:color w:val="auto"/>
              </w:rPr>
              <w:t>substituição de duas Chaves Seccionadoras (capacidade necessária de Corrente Nominal maior ou igual a 1250 A) do vão Disjuntor Paralelo 4824-1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4829-26/28);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c) </w:t>
            </w:r>
            <w:r w:rsidRPr="007E4180">
              <w:rPr>
                <w:color w:val="auto"/>
              </w:rPr>
              <w:t>substituição dos Cabos e Conexões (capacidade necessária de Corrente Nominal maior ou igual a 800 A) do vão Capivara;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d) </w:t>
            </w:r>
            <w:r w:rsidRPr="007E4180">
              <w:rPr>
                <w:color w:val="auto"/>
              </w:rPr>
              <w:t xml:space="preserve">substituição dos Cabos e Conexões (capacidade necessária de Corrente Nominal maior ou igual a 800 A) do vão UTE Cocal II; </w:t>
            </w:r>
            <w:proofErr w:type="gramStart"/>
            <w:r w:rsidRPr="007E4180">
              <w:rPr>
                <w:color w:val="auto"/>
              </w:rPr>
              <w:t>e</w:t>
            </w:r>
            <w:proofErr w:type="gramEnd"/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e) </w:t>
            </w:r>
            <w:r w:rsidRPr="007E4180">
              <w:rPr>
                <w:color w:val="auto"/>
              </w:rPr>
              <w:t>substituição de duas Bobinas de Bloqueio (capacidade necessária de Corrente Nominal maior ou igual a 1250 A) do vão Capivara;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IX - Subestação Presidente Prudente 88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>implantação de Disjuntor Paralelo;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 xml:space="preserve">X - Subestação Presidente Prudente 88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>substituição de duas Chaves Seccionadoras (capacidade necessária de Corrente Nominal maior ou igual a 1250 A) dos vãos ATR-1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4829-42) e ATR-2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4829-48); </w:t>
            </w:r>
            <w:proofErr w:type="gramStart"/>
            <w:r w:rsidRPr="007E4180">
              <w:rPr>
                <w:color w:val="auto"/>
              </w:rPr>
              <w:t>e</w:t>
            </w:r>
            <w:proofErr w:type="gramEnd"/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t xml:space="preserve">b) </w:t>
            </w:r>
            <w:r w:rsidRPr="007E4180">
              <w:rPr>
                <w:color w:val="auto"/>
              </w:rPr>
              <w:t xml:space="preserve">substituição do Barramento de 88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 para Capacidade Mínima de 1200 A;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tabs>
                <w:tab w:val="left" w:pos="-779"/>
                <w:tab w:val="left" w:pos="463"/>
              </w:tabs>
              <w:jc w:val="both"/>
            </w:pPr>
            <w:r w:rsidRPr="007E4180">
              <w:rPr>
                <w:color w:val="auto"/>
              </w:rPr>
              <w:t xml:space="preserve">XI - Subestação Bom Jardim 88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E67752" w:rsidRDefault="00356D39" w:rsidP="008829E1">
            <w:pPr>
              <w:pStyle w:val="Default"/>
              <w:jc w:val="both"/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 xml:space="preserve">a) </w:t>
            </w:r>
            <w:r w:rsidRPr="00E67752">
              <w:rPr>
                <w:color w:val="auto"/>
                <w:sz w:val="22"/>
                <w:szCs w:val="22"/>
              </w:rPr>
              <w:t xml:space="preserve">substituição de quatro Chaves Seccionadoras (capacidade necessária de Corrente Nominal maior ou igual a 2500 A) dos </w:t>
            </w:r>
            <w:proofErr w:type="gramStart"/>
            <w:r w:rsidRPr="00E67752">
              <w:rPr>
                <w:color w:val="auto"/>
                <w:sz w:val="22"/>
                <w:szCs w:val="22"/>
              </w:rPr>
              <w:t>vãos Vila</w:t>
            </w:r>
            <w:proofErr w:type="gramEnd"/>
            <w:r w:rsidRPr="00E67752">
              <w:rPr>
                <w:color w:val="auto"/>
                <w:sz w:val="22"/>
                <w:szCs w:val="22"/>
              </w:rPr>
              <w:t xml:space="preserve"> Rami C1 (Chaves n</w:t>
            </w:r>
            <w:r w:rsidRPr="00E67752">
              <w:rPr>
                <w:strike/>
                <w:color w:val="auto"/>
                <w:sz w:val="22"/>
                <w:szCs w:val="22"/>
              </w:rPr>
              <w:t>º</w:t>
            </w:r>
            <w:r w:rsidRPr="00E67752">
              <w:rPr>
                <w:color w:val="auto"/>
                <w:sz w:val="22"/>
                <w:szCs w:val="22"/>
              </w:rPr>
              <w:t xml:space="preserve"> 19229-264/266) e Vila Rami C2 (Chaves n</w:t>
            </w:r>
            <w:r w:rsidRPr="00E67752">
              <w:rPr>
                <w:strike/>
                <w:color w:val="auto"/>
                <w:sz w:val="22"/>
                <w:szCs w:val="22"/>
              </w:rPr>
              <w:t>º</w:t>
            </w:r>
            <w:r w:rsidRPr="00E67752">
              <w:rPr>
                <w:color w:val="auto"/>
                <w:sz w:val="22"/>
                <w:szCs w:val="22"/>
              </w:rPr>
              <w:t xml:space="preserve"> 19229-274/276);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E67752" w:rsidRDefault="00356D39" w:rsidP="008829E1">
            <w:pPr>
              <w:pStyle w:val="Default"/>
              <w:jc w:val="both"/>
              <w:rPr>
                <w:sz w:val="22"/>
                <w:szCs w:val="22"/>
              </w:rPr>
            </w:pPr>
            <w:r w:rsidRPr="00E67752">
              <w:rPr>
                <w:color w:val="auto"/>
                <w:sz w:val="22"/>
                <w:szCs w:val="22"/>
              </w:rPr>
              <w:t xml:space="preserve">XII - Subestação Cabreúva 138 </w:t>
            </w:r>
            <w:proofErr w:type="gramStart"/>
            <w:r w:rsidRPr="00E67752">
              <w:rPr>
                <w:color w:val="auto"/>
                <w:sz w:val="22"/>
                <w:szCs w:val="22"/>
              </w:rPr>
              <w:t>kV</w:t>
            </w:r>
            <w:proofErr w:type="gramEnd"/>
            <w:r w:rsidRPr="00E67752">
              <w:rPr>
                <w:color w:val="auto"/>
                <w:sz w:val="22"/>
                <w:szCs w:val="22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E67752" w:rsidRDefault="00356D39" w:rsidP="008829E1">
            <w:pPr>
              <w:pStyle w:val="Default"/>
              <w:jc w:val="both"/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 xml:space="preserve">a) </w:t>
            </w:r>
            <w:r w:rsidRPr="00E67752">
              <w:rPr>
                <w:color w:val="auto"/>
                <w:sz w:val="22"/>
                <w:szCs w:val="22"/>
              </w:rPr>
              <w:t xml:space="preserve">substituição dos Cabos e Conexões (capacidade necessária de Corrente Nominal maior ou igual a 1250 A) dos </w:t>
            </w:r>
            <w:proofErr w:type="gramStart"/>
            <w:r w:rsidRPr="00E67752">
              <w:rPr>
                <w:color w:val="auto"/>
                <w:sz w:val="22"/>
                <w:szCs w:val="22"/>
              </w:rPr>
              <w:t>vãos Mairiporã</w:t>
            </w:r>
            <w:proofErr w:type="gramEnd"/>
            <w:r w:rsidRPr="00E67752">
              <w:rPr>
                <w:color w:val="auto"/>
                <w:sz w:val="22"/>
                <w:szCs w:val="22"/>
              </w:rPr>
              <w:t xml:space="preserve"> C-1 e Mairiporã C-2;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tabs>
                <w:tab w:val="left" w:pos="-779"/>
                <w:tab w:val="left" w:pos="463"/>
              </w:tabs>
              <w:jc w:val="both"/>
              <w:rPr>
                <w:sz w:val="23"/>
                <w:szCs w:val="23"/>
              </w:rPr>
            </w:pPr>
            <w:r w:rsidRPr="007E4180">
              <w:rPr>
                <w:color w:val="auto"/>
                <w:sz w:val="23"/>
                <w:szCs w:val="23"/>
              </w:rPr>
              <w:t xml:space="preserve">XIII - Subestação Taubaté 230 </w:t>
            </w:r>
            <w:proofErr w:type="gramStart"/>
            <w:r w:rsidRPr="007E4180">
              <w:rPr>
                <w:color w:val="auto"/>
                <w:sz w:val="23"/>
                <w:szCs w:val="23"/>
              </w:rPr>
              <w:t>kV</w:t>
            </w:r>
            <w:proofErr w:type="gramEnd"/>
            <w:r w:rsidRPr="007E4180">
              <w:rPr>
                <w:color w:val="auto"/>
                <w:sz w:val="23"/>
                <w:szCs w:val="23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  <w:rPr>
                <w:sz w:val="22"/>
                <w:szCs w:val="22"/>
              </w:rPr>
            </w:pPr>
            <w:r w:rsidRPr="007E4180">
              <w:rPr>
                <w:sz w:val="22"/>
                <w:szCs w:val="22"/>
              </w:rPr>
              <w:t xml:space="preserve">a) </w:t>
            </w:r>
            <w:r w:rsidRPr="007E4180">
              <w:rPr>
                <w:color w:val="auto"/>
                <w:sz w:val="22"/>
                <w:szCs w:val="22"/>
              </w:rPr>
              <w:t xml:space="preserve">substituição de cinco Chaves Seccionadoras (capacidade necessária de Corrente Nominal maior ou igual a 2000 A) do vão Aparecida C2 (29-110/112/114/116/118); </w:t>
            </w:r>
            <w:proofErr w:type="gramStart"/>
            <w:r w:rsidRPr="007E4180">
              <w:rPr>
                <w:color w:val="auto"/>
                <w:sz w:val="22"/>
                <w:szCs w:val="22"/>
              </w:rPr>
              <w:t>e</w:t>
            </w:r>
            <w:proofErr w:type="gramEnd"/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356D39" w:rsidRPr="007E4180" w:rsidRDefault="00356D39" w:rsidP="008829E1">
            <w:pPr>
              <w:pStyle w:val="Default"/>
              <w:jc w:val="both"/>
              <w:rPr>
                <w:sz w:val="23"/>
                <w:szCs w:val="23"/>
              </w:rPr>
            </w:pPr>
            <w:r w:rsidRPr="007E4180">
              <w:rPr>
                <w:sz w:val="23"/>
                <w:szCs w:val="23"/>
              </w:rPr>
              <w:t xml:space="preserve">b) </w:t>
            </w:r>
            <w:r w:rsidRPr="007E4180">
              <w:rPr>
                <w:color w:val="auto"/>
                <w:sz w:val="23"/>
                <w:szCs w:val="23"/>
              </w:rPr>
              <w:t>substituição de uma Bobina de Bloqueio (capacidade necessária de Corrente Nominal maior ou igual a 2000 A) do vão Aparecida C2;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356D39" w:rsidRPr="007E4180" w:rsidRDefault="00356D39" w:rsidP="008829E1">
            <w:pPr>
              <w:pStyle w:val="Default"/>
              <w:tabs>
                <w:tab w:val="left" w:pos="-779"/>
                <w:tab w:val="left" w:pos="463"/>
              </w:tabs>
              <w:jc w:val="both"/>
              <w:rPr>
                <w:sz w:val="23"/>
                <w:szCs w:val="23"/>
              </w:rPr>
            </w:pPr>
            <w:r w:rsidRPr="007E4180">
              <w:rPr>
                <w:color w:val="auto"/>
                <w:sz w:val="23"/>
                <w:szCs w:val="23"/>
              </w:rPr>
              <w:t xml:space="preserve">XIV - Subestação São José dos Campos 230 </w:t>
            </w:r>
            <w:proofErr w:type="gramStart"/>
            <w:r w:rsidRPr="007E4180">
              <w:rPr>
                <w:color w:val="auto"/>
                <w:sz w:val="23"/>
                <w:szCs w:val="23"/>
              </w:rPr>
              <w:t>kV</w:t>
            </w:r>
            <w:proofErr w:type="gramEnd"/>
            <w:r w:rsidRPr="007E4180">
              <w:rPr>
                <w:color w:val="auto"/>
                <w:sz w:val="23"/>
                <w:szCs w:val="23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  <w:rPr>
                <w:sz w:val="22"/>
                <w:szCs w:val="22"/>
              </w:rPr>
            </w:pPr>
            <w:r w:rsidRPr="007E4180">
              <w:rPr>
                <w:sz w:val="22"/>
                <w:szCs w:val="22"/>
              </w:rPr>
              <w:t xml:space="preserve">a) </w:t>
            </w:r>
            <w:r w:rsidRPr="007E4180">
              <w:rPr>
                <w:color w:val="auto"/>
                <w:sz w:val="22"/>
                <w:szCs w:val="22"/>
              </w:rPr>
              <w:t xml:space="preserve">substituição dos Cabos e Conexões (capacidade necessária de Corrente Nominal maior ou igual a 2022 A) dos vãos: Taubaté; </w:t>
            </w:r>
            <w:proofErr w:type="spellStart"/>
            <w:r w:rsidRPr="007E4180">
              <w:rPr>
                <w:color w:val="auto"/>
                <w:sz w:val="22"/>
                <w:szCs w:val="22"/>
              </w:rPr>
              <w:t>Itapeti</w:t>
            </w:r>
            <w:proofErr w:type="spellEnd"/>
            <w:r w:rsidRPr="007E4180">
              <w:rPr>
                <w:color w:val="auto"/>
                <w:sz w:val="22"/>
                <w:szCs w:val="22"/>
              </w:rPr>
              <w:t>; Mogi (Furnas); e Disjuntor de Paralelo 37024-1;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</w:pPr>
            <w:r w:rsidRPr="007E4180">
              <w:rPr>
                <w:color w:val="auto"/>
              </w:rPr>
              <w:t>XV - Subestação Mirassol II: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jc w:val="both"/>
              <w:rPr>
                <w:sz w:val="22"/>
                <w:szCs w:val="22"/>
              </w:rPr>
            </w:pPr>
            <w:r w:rsidRPr="007E4180">
              <w:rPr>
                <w:sz w:val="22"/>
                <w:szCs w:val="22"/>
              </w:rPr>
              <w:t xml:space="preserve">a) </w:t>
            </w:r>
            <w:r w:rsidRPr="007E4180">
              <w:rPr>
                <w:color w:val="auto"/>
                <w:sz w:val="22"/>
                <w:szCs w:val="22"/>
              </w:rPr>
              <w:t xml:space="preserve">remanejamento de Banco de Reatores Manobráveis, atualmente conectado ao Terminal Araraquara de um dos Circuitos da Linha de Transmissão, em 440 </w:t>
            </w:r>
            <w:proofErr w:type="gramStart"/>
            <w:r w:rsidRPr="007E4180">
              <w:rPr>
                <w:color w:val="auto"/>
                <w:sz w:val="22"/>
                <w:szCs w:val="22"/>
              </w:rPr>
              <w:t>kV</w:t>
            </w:r>
            <w:proofErr w:type="gramEnd"/>
            <w:r w:rsidRPr="007E4180">
              <w:rPr>
                <w:color w:val="auto"/>
                <w:sz w:val="22"/>
                <w:szCs w:val="22"/>
              </w:rPr>
              <w:t>,  Mirassol II - Araraquara para conexão na Barra de 440 kV da Subestação Mirassol II, da Interligação Elétrica Pinheiros S.A., e obras associadas;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rPr>
                <w:color w:val="auto"/>
              </w:rPr>
              <w:t xml:space="preserve">XVI - Subestação Araraquara 440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remanejamento de Banco de Reatores Manobráveis, atualmente conectado ao Terminal Araraquara de um dos Circuitos da Linha de Transmissão, em 440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, Mirassol II - Araraquara para conexão na Barra de 440 kV da Subestação Araraquara, da CTEEP e obras associadas;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rPr>
                <w:color w:val="auto"/>
              </w:rPr>
              <w:t xml:space="preserve">XVII - Subestação Araraquara 440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Barramentos I e II (capacidade necessária de Corrente Nominal maior ou igual a 4000 A);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b) </w:t>
            </w:r>
            <w:r w:rsidRPr="007E4180">
              <w:rPr>
                <w:color w:val="auto"/>
              </w:rPr>
              <w:t xml:space="preserve">substituição de vinte e sete Chaves Seccionadoras (capacidade necessária de Corrente de Curto-Circuito igual ou maior a 63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dos vãos: TR1 440/138 kV (4 Chaves); TR2 440/138 kV (4 Chaves); TR4 440/138 kV (4 Chaves); Mirassol C1 (2 Chaves); Mirassol C2 (4 Chaves); Araras (2 Chaves); Água Vermelha (4 Chaves); Reator 3 (1 Chave) e Santa Bárbara (2 Chaves);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c) </w:t>
            </w:r>
            <w:r w:rsidRPr="007E4180">
              <w:rPr>
                <w:color w:val="auto"/>
              </w:rPr>
              <w:t xml:space="preserve">substituição de quatorze Disjuntores (capacidade necessária de Corrente de Curto-Circuito igual ou maior a 63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dos vãos: TR1 440/138 kV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4 e 5); TR2 440/138 kV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1 e 2); TR4 440/138 kV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7 e 8); Mirassol C1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6); Mirassol C2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9 e 10); Araras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10); Água Vermelha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12 e 13); Reator 3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45); e Santa Bárbara (n</w:t>
            </w:r>
            <w:r w:rsidRPr="007E4180">
              <w:rPr>
                <w:strike/>
                <w:color w:val="auto"/>
              </w:rPr>
              <w:t>º</w:t>
            </w:r>
            <w:r w:rsidRPr="007E4180">
              <w:rPr>
                <w:color w:val="auto"/>
              </w:rPr>
              <w:t xml:space="preserve"> 46); e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d) </w:t>
            </w:r>
            <w:r w:rsidRPr="007E4180">
              <w:rPr>
                <w:color w:val="auto"/>
              </w:rPr>
              <w:t xml:space="preserve">substituição de quarenta e dois Transformadores de Corrente (capacidade necessária de Corrente de Curto-Circuito igual ou maior a 63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dos vãos: TR1 440/138 kV (6); TR2 440/138 kV (6); TR4 440/138 kV (6);  Mirassol C1 (3); Mirassol C2 (6); Araras (3); Água Vermelha (6); Reator 3 (3) e Santa Bárbara (3);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rPr>
                <w:color w:val="auto"/>
              </w:rPr>
              <w:t xml:space="preserve">XVIII - Linha de Transmissão, em 440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, Embu Guaçu - Jandira: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Para-Raios (capacidade necessária de Corrente de Curto-Circuito igual ou maior a 50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devido ao Seccionamento da antiga Linha de Transmissão Embu Guaçu - Gerdau;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rPr>
                <w:color w:val="auto"/>
              </w:rPr>
              <w:t xml:space="preserve">XIX - Linha de Transmissão, em 440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, Bauru - Salto: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Cabos Para-Raios (capacidade necessária de Corrente de Curto-Circuito igual ou maior a 50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devido ao Seccionamento da antiga Linha de Transmissão, em 440 kV, Bauru - Cabreúva;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rPr>
                <w:color w:val="auto"/>
              </w:rPr>
              <w:t xml:space="preserve">XX - Linha de Transmissão, em 440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 xml:space="preserve">, Jandira - Gerdau: 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 xml:space="preserve">a) </w:t>
            </w:r>
            <w:r w:rsidRPr="007E4180">
              <w:rPr>
                <w:color w:val="auto"/>
              </w:rPr>
              <w:t xml:space="preserve">substituição dos Para-Raios (capacidade necessária de Corrente de Curto-Circuito igual ou maior a 50 </w:t>
            </w:r>
            <w:proofErr w:type="gramStart"/>
            <w:r w:rsidRPr="007E4180">
              <w:rPr>
                <w:color w:val="auto"/>
              </w:rPr>
              <w:t>kA</w:t>
            </w:r>
            <w:proofErr w:type="gramEnd"/>
            <w:r w:rsidRPr="007E4180">
              <w:rPr>
                <w:color w:val="auto"/>
              </w:rPr>
              <w:t>) devido ao Seccionamento da antiga Linha de Transmissão Embu Guaçu - Gerdau;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356D39" w:rsidRPr="007E4180" w:rsidRDefault="00356D39" w:rsidP="008829E1">
            <w:pPr>
              <w:pStyle w:val="Default"/>
              <w:tabs>
                <w:tab w:val="left" w:pos="-779"/>
                <w:tab w:val="left" w:pos="463"/>
              </w:tabs>
              <w:spacing w:before="40"/>
              <w:jc w:val="both"/>
            </w:pPr>
            <w:r w:rsidRPr="007E4180">
              <w:rPr>
                <w:color w:val="auto"/>
              </w:rPr>
              <w:t xml:space="preserve">XXI - Subestação Ramon </w:t>
            </w:r>
            <w:proofErr w:type="spellStart"/>
            <w:r w:rsidRPr="007E4180">
              <w:rPr>
                <w:color w:val="auto"/>
              </w:rPr>
              <w:t>Rebert</w:t>
            </w:r>
            <w:proofErr w:type="spellEnd"/>
            <w:r w:rsidRPr="007E4180">
              <w:rPr>
                <w:color w:val="auto"/>
              </w:rPr>
              <w:t xml:space="preserve"> Filho 88 </w:t>
            </w:r>
            <w:proofErr w:type="gramStart"/>
            <w:r w:rsidRPr="007E4180">
              <w:rPr>
                <w:color w:val="auto"/>
              </w:rPr>
              <w:t>kV</w:t>
            </w:r>
            <w:proofErr w:type="gramEnd"/>
            <w:r w:rsidRPr="007E4180">
              <w:rPr>
                <w:color w:val="auto"/>
              </w:rPr>
              <w:t>:</w:t>
            </w:r>
          </w:p>
        </w:tc>
      </w:tr>
      <w:tr w:rsidR="00356D39" w:rsidRPr="007E4180" w:rsidTr="00E67752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356D39" w:rsidRPr="007E4180" w:rsidRDefault="00356D39" w:rsidP="008829E1">
            <w:pPr>
              <w:pStyle w:val="Default"/>
              <w:spacing w:before="40"/>
              <w:jc w:val="both"/>
            </w:pPr>
            <w:r w:rsidRPr="007E4180">
              <w:t>a) adequação das Chaves Seccionadoras (capacidade necessária de Corrente Nominal maior ou igual a 2000 A) e Conexões (</w:t>
            </w:r>
            <w:proofErr w:type="spellStart"/>
            <w:r w:rsidRPr="007E4180">
              <w:t>Muflas</w:t>
            </w:r>
            <w:proofErr w:type="spellEnd"/>
            <w:r w:rsidRPr="007E4180">
              <w:t>, Cabos e Outros) Associadas dos vãos Carrão C1 e Carrão C2.</w:t>
            </w:r>
          </w:p>
        </w:tc>
      </w:tr>
      <w:tr w:rsidR="00356D39" w:rsidRPr="007E4180" w:rsidTr="00E6775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3/8/2014: item I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3/10/2014: item X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3/11/2014: item VII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3/4/2015: item XIV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3/6/2015: item IX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3/8/2015: item VIII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3/10/2015: item XV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De 3/10/2013 a 3/12/2015: itens II, III, IV, V, </w:t>
            </w:r>
            <w:proofErr w:type="gramStart"/>
            <w:r w:rsidRPr="007E4180">
              <w:rPr>
                <w:rFonts w:ascii="Arial" w:hAnsi="Arial" w:cs="Arial"/>
              </w:rPr>
              <w:t>VI,</w:t>
            </w:r>
            <w:proofErr w:type="gramEnd"/>
            <w:r w:rsidRPr="007E4180">
              <w:rPr>
                <w:rFonts w:ascii="Arial" w:hAnsi="Arial" w:cs="Arial"/>
              </w:rPr>
              <w:t xml:space="preserve"> XI, XII, XIII, XVIII, XIX, XX e XXI da Descrição do Projeto;</w:t>
            </w:r>
          </w:p>
          <w:p w:rsidR="00356D39" w:rsidRPr="007E4180" w:rsidRDefault="00356D39" w:rsidP="008829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De 3/10/2013 a 3/10/2016: item XVII da Descrição do Projeto; </w:t>
            </w:r>
            <w:proofErr w:type="gramStart"/>
            <w:r w:rsidRPr="007E4180">
              <w:rPr>
                <w:rFonts w:ascii="Arial" w:hAnsi="Arial" w:cs="Arial"/>
              </w:rPr>
              <w:t>e</w:t>
            </w:r>
            <w:proofErr w:type="gramEnd"/>
          </w:p>
          <w:p w:rsidR="00356D39" w:rsidRPr="007E4180" w:rsidRDefault="00356D39" w:rsidP="008829E1">
            <w:pPr>
              <w:jc w:val="both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De 3/10/2013 a 3/2/2017: item XVI da Descrição do Projeto.</w:t>
            </w:r>
          </w:p>
        </w:tc>
      </w:tr>
      <w:tr w:rsidR="00356D39" w:rsidRPr="007E4180" w:rsidTr="00E6775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Localidade do Projeto [Municípios/UF]</w:t>
            </w:r>
          </w:p>
        </w:tc>
        <w:tc>
          <w:tcPr>
            <w:tcW w:w="7796" w:type="dxa"/>
          </w:tcPr>
          <w:p w:rsidR="00356D39" w:rsidRPr="007E4180" w:rsidRDefault="00356D39" w:rsidP="00585531">
            <w:pPr>
              <w:pStyle w:val="Default"/>
              <w:jc w:val="both"/>
            </w:pPr>
            <w:r w:rsidRPr="007E4180">
              <w:t xml:space="preserve">Municípios de Mogi das Cruzes, Cubatão, Bauru, Limeira, Dracena, Mogi Guaçu, </w:t>
            </w:r>
            <w:r w:rsidR="00585531">
              <w:t xml:space="preserve">Castilho, </w:t>
            </w:r>
            <w:r w:rsidRPr="007E4180">
              <w:t>Presidente Prudente, Jundiaí, Cabreúva, Taubaté, São José dos Campos, Mirassol, Araraquara, Embu Guaçu, Itapecerica da Serra, Cotia, Itapevi, Jandira,</w:t>
            </w:r>
            <w:r w:rsidRPr="007E4180">
              <w:rPr>
                <w:b/>
              </w:rPr>
              <w:t xml:space="preserve"> </w:t>
            </w:r>
            <w:r w:rsidRPr="007E4180">
              <w:t>Pederneiras, Macatuba, Jaú, Barra Bonita, Mineiros do Tietê, Dois Córregos, Santa Maria da Serra, São Pedro, Piracicaba, Rio das Pedras, Mombuca, Capivari, Elias Fausto, Salto, Indaiatuba, Araçariguama, São Roque e São Paulo, Estado de São Paulo.</w:t>
            </w:r>
          </w:p>
        </w:tc>
      </w:tr>
    </w:tbl>
    <w:p w:rsidR="00356D39" w:rsidRPr="007E4180" w:rsidRDefault="00356D39" w:rsidP="00356D39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56D39" w:rsidRPr="007E4180" w:rsidTr="008829E1">
        <w:tc>
          <w:tcPr>
            <w:tcW w:w="432" w:type="dxa"/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56D39" w:rsidRPr="007E4180" w:rsidRDefault="00356D39" w:rsidP="008829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7E4180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356D39" w:rsidRPr="007E4180" w:rsidTr="008829E1">
        <w:trPr>
          <w:trHeight w:val="153"/>
        </w:trPr>
        <w:tc>
          <w:tcPr>
            <w:tcW w:w="6991" w:type="dxa"/>
            <w:gridSpan w:val="2"/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Nome: Reynaldo </w:t>
            </w:r>
            <w:proofErr w:type="spellStart"/>
            <w:r w:rsidRPr="007E4180">
              <w:rPr>
                <w:rFonts w:ascii="Arial" w:hAnsi="Arial" w:cs="Arial"/>
              </w:rPr>
              <w:t>Passanezi</w:t>
            </w:r>
            <w:proofErr w:type="spellEnd"/>
            <w:r w:rsidRPr="007E4180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7" w:type="dxa"/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CPF: </w:t>
            </w:r>
            <w:r w:rsidRPr="007E4180">
              <w:rPr>
                <w:rFonts w:ascii="Arial" w:hAnsi="Arial" w:cs="Arial"/>
                <w:color w:val="000000"/>
              </w:rPr>
              <w:t>056.264.178-50.</w:t>
            </w:r>
          </w:p>
        </w:tc>
      </w:tr>
      <w:tr w:rsidR="00356D39" w:rsidRPr="007E4180" w:rsidTr="008829E1">
        <w:trPr>
          <w:trHeight w:val="147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Nome: </w:t>
            </w:r>
            <w:r w:rsidRPr="007E4180">
              <w:rPr>
                <w:rFonts w:ascii="Arial" w:hAnsi="Arial" w:cs="Arial"/>
                <w:color w:val="000000"/>
              </w:rPr>
              <w:t>Marcos José Lopes Filho.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CPF: </w:t>
            </w:r>
            <w:r w:rsidRPr="007E4180">
              <w:rPr>
                <w:rFonts w:ascii="Arial" w:hAnsi="Arial" w:cs="Arial"/>
                <w:color w:val="000000"/>
              </w:rPr>
              <w:t>719.763.104-15.</w:t>
            </w:r>
          </w:p>
        </w:tc>
      </w:tr>
      <w:tr w:rsidR="00356D39" w:rsidRPr="007E4180" w:rsidTr="008829E1">
        <w:trPr>
          <w:trHeight w:val="42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Nome: </w:t>
            </w:r>
            <w:proofErr w:type="spellStart"/>
            <w:r w:rsidRPr="007E4180">
              <w:rPr>
                <w:rFonts w:ascii="Arial" w:hAnsi="Arial" w:cs="Arial"/>
                <w:color w:val="000000"/>
              </w:rPr>
              <w:t>Carisa</w:t>
            </w:r>
            <w:proofErr w:type="spellEnd"/>
            <w:r w:rsidRPr="007E4180">
              <w:rPr>
                <w:rFonts w:ascii="Arial" w:hAnsi="Arial" w:cs="Arial"/>
                <w:color w:val="000000"/>
              </w:rPr>
              <w:t xml:space="preserve"> Santos Portela Cristal.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 xml:space="preserve">CPF: </w:t>
            </w:r>
            <w:r w:rsidRPr="007E4180">
              <w:rPr>
                <w:rFonts w:ascii="Arial" w:hAnsi="Arial" w:cs="Arial"/>
                <w:color w:val="000000"/>
              </w:rPr>
              <w:t>251.266.718-98.</w:t>
            </w:r>
          </w:p>
        </w:tc>
      </w:tr>
    </w:tbl>
    <w:p w:rsidR="00356D39" w:rsidRPr="007E4180" w:rsidRDefault="00356D39" w:rsidP="00356D39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356D39" w:rsidRPr="007E4180" w:rsidTr="008829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>ESTIMATIVAS DOS VALORES DOS BENS E SERVIÇOS</w:t>
            </w:r>
          </w:p>
          <w:p w:rsidR="00356D39" w:rsidRPr="007E4180" w:rsidRDefault="00356D39" w:rsidP="008829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356D39" w:rsidRPr="007E4180" w:rsidTr="008829E1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7E4180">
              <w:rPr>
                <w:rFonts w:ascii="Arial" w:hAnsi="Arial" w:cs="Arial"/>
                <w:color w:val="000000"/>
              </w:rPr>
              <w:t>93.343.602,44.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56D39" w:rsidRPr="007E4180" w:rsidTr="008829E1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7E4180">
              <w:rPr>
                <w:rFonts w:ascii="Arial" w:hAnsi="Arial" w:cs="Arial"/>
                <w:color w:val="000000"/>
              </w:rPr>
              <w:t>39.561.826,05.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56D39" w:rsidRPr="007E4180" w:rsidTr="008829E1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7E4180">
              <w:rPr>
                <w:rFonts w:ascii="Arial" w:hAnsi="Arial" w:cs="Arial"/>
                <w:color w:val="000000"/>
              </w:rPr>
              <w:t>6.944.610,34.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56D39" w:rsidRPr="007E4180" w:rsidTr="008829E1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  <w:b/>
              </w:rPr>
            </w:pPr>
            <w:r w:rsidRPr="007E4180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7E4180">
              <w:rPr>
                <w:rFonts w:ascii="Arial" w:hAnsi="Arial" w:cs="Arial"/>
                <w:b/>
              </w:rPr>
              <w:t>139.850.038,83</w:t>
            </w:r>
            <w:r w:rsidRPr="007E418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56D39" w:rsidRPr="007E4180" w:rsidRDefault="00356D39" w:rsidP="00356D39">
      <w:pPr>
        <w:ind w:left="720"/>
        <w:rPr>
          <w:rFonts w:ascii="Arial" w:hAnsi="Arial" w:cs="Arial"/>
          <w:b/>
          <w:bCs/>
          <w:sz w:val="10"/>
          <w:szCs w:val="2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356D39" w:rsidRPr="007E4180" w:rsidTr="008829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39" w:rsidRPr="007E4180" w:rsidRDefault="00356D39" w:rsidP="008829E1">
            <w:pPr>
              <w:ind w:left="-70"/>
              <w:jc w:val="center"/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>ESTIMATIVAS DOS VALORES DOS BENS E SERVIÇOS</w:t>
            </w:r>
          </w:p>
          <w:p w:rsidR="00356D39" w:rsidRPr="007E4180" w:rsidRDefault="00356D39" w:rsidP="008829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E4180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356D39" w:rsidRPr="007E4180" w:rsidTr="008829E1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color w:val="000000"/>
              </w:rPr>
            </w:pPr>
            <w:r w:rsidRPr="007E4180">
              <w:rPr>
                <w:rFonts w:ascii="Arial" w:hAnsi="Arial" w:cs="Arial"/>
                <w:color w:val="000000"/>
              </w:rPr>
              <w:t>85.280.676,71.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56D39" w:rsidRPr="007E4180" w:rsidTr="008829E1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color w:val="000000"/>
              </w:rPr>
            </w:pPr>
            <w:r w:rsidRPr="007E4180">
              <w:rPr>
                <w:rFonts w:ascii="Arial" w:hAnsi="Arial" w:cs="Arial"/>
                <w:color w:val="000000"/>
              </w:rPr>
              <w:t>36.404.802,55.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56D39" w:rsidRPr="007E4180" w:rsidTr="008829E1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</w:rPr>
            </w:pPr>
            <w:r w:rsidRPr="007E4180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color w:val="000000"/>
              </w:rPr>
            </w:pPr>
            <w:r w:rsidRPr="007E4180">
              <w:rPr>
                <w:rFonts w:ascii="Arial" w:hAnsi="Arial" w:cs="Arial"/>
                <w:color w:val="000000"/>
              </w:rPr>
              <w:t>6.382.005,86.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56D39" w:rsidRPr="007E4180" w:rsidTr="008829E1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rPr>
                <w:rFonts w:ascii="Arial" w:hAnsi="Arial" w:cs="Arial"/>
                <w:b/>
              </w:rPr>
            </w:pPr>
            <w:r w:rsidRPr="007E4180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E4180">
              <w:rPr>
                <w:rFonts w:ascii="Arial" w:hAnsi="Arial" w:cs="Arial"/>
                <w:b/>
                <w:color w:val="000000"/>
              </w:rPr>
              <w:t>128.067.485,12</w:t>
            </w:r>
            <w:r w:rsidRPr="007E418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D39" w:rsidRPr="007E4180" w:rsidRDefault="00356D39" w:rsidP="008829E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F298A" w:rsidRPr="00E95CED" w:rsidRDefault="00DF298A" w:rsidP="00356D3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"/>
          <w:szCs w:val="2"/>
        </w:rPr>
      </w:pPr>
    </w:p>
    <w:sectPr w:rsidR="00DF298A" w:rsidRPr="00E95CED" w:rsidSect="005D6476">
      <w:headerReference w:type="default" r:id="rId10"/>
      <w:pgSz w:w="11907" w:h="16840" w:code="9"/>
      <w:pgMar w:top="851" w:right="567" w:bottom="454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B7" w:rsidRDefault="001916B7">
      <w:r>
        <w:separator/>
      </w:r>
    </w:p>
  </w:endnote>
  <w:endnote w:type="continuationSeparator" w:id="0">
    <w:p w:rsidR="001916B7" w:rsidRDefault="0019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B7" w:rsidRDefault="001916B7">
      <w:r>
        <w:separator/>
      </w:r>
    </w:p>
  </w:footnote>
  <w:footnote w:type="continuationSeparator" w:id="0">
    <w:p w:rsidR="001916B7" w:rsidRDefault="00191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8C" w:rsidRDefault="00524A8C" w:rsidP="00524A8C">
    <w:pPr>
      <w:pStyle w:val="Cabealho"/>
      <w:jc w:val="right"/>
      <w:rPr>
        <w:rStyle w:val="Nmerodepgina"/>
        <w:rFonts w:ascii="Arial" w:hAnsi="Arial" w:cs="Arial"/>
      </w:rPr>
    </w:pPr>
    <w:r w:rsidRPr="0093382D">
      <w:rPr>
        <w:rFonts w:ascii="Arial" w:hAnsi="Arial" w:cs="Arial"/>
      </w:rPr>
      <w:t xml:space="preserve">Portaria SPE/MME </w:t>
    </w:r>
    <w:proofErr w:type="gramStart"/>
    <w:r w:rsidRPr="0093382D">
      <w:rPr>
        <w:rFonts w:ascii="Arial" w:hAnsi="Arial" w:cs="Arial"/>
      </w:rPr>
      <w:t>n</w:t>
    </w:r>
    <w:r w:rsidRPr="0093382D">
      <w:rPr>
        <w:rFonts w:ascii="Arial" w:hAnsi="Arial" w:cs="Arial"/>
        <w:u w:val="words"/>
        <w:vertAlign w:val="superscript"/>
      </w:rPr>
      <w:t>o</w:t>
    </w:r>
    <w:r w:rsidRPr="0093382D">
      <w:rPr>
        <w:rFonts w:ascii="Arial" w:hAnsi="Arial" w:cs="Arial"/>
      </w:rPr>
      <w:t xml:space="preserve"> </w:t>
    </w:r>
    <w:r w:rsidR="00194762">
      <w:rPr>
        <w:rFonts w:ascii="Arial" w:hAnsi="Arial" w:cs="Arial"/>
      </w:rPr>
      <w:t>1</w:t>
    </w:r>
    <w:r w:rsidR="004E0608">
      <w:rPr>
        <w:rFonts w:ascii="Arial" w:hAnsi="Arial" w:cs="Arial"/>
      </w:rPr>
      <w:t>1</w:t>
    </w:r>
    <w:r w:rsidR="00356D39">
      <w:rPr>
        <w:rFonts w:ascii="Arial" w:hAnsi="Arial" w:cs="Arial"/>
      </w:rPr>
      <w:t>9</w:t>
    </w:r>
    <w:proofErr w:type="gramEnd"/>
    <w:r w:rsidRPr="0093382D">
      <w:rPr>
        <w:rFonts w:ascii="Arial" w:hAnsi="Arial" w:cs="Arial"/>
      </w:rPr>
      <w:t xml:space="preserve">, de </w:t>
    </w:r>
    <w:r w:rsidR="00356D39">
      <w:rPr>
        <w:rFonts w:ascii="Arial" w:hAnsi="Arial" w:cs="Arial"/>
      </w:rPr>
      <w:t>23</w:t>
    </w:r>
    <w:r w:rsidRPr="0093382D">
      <w:rPr>
        <w:rFonts w:ascii="Arial" w:hAnsi="Arial" w:cs="Arial"/>
      </w:rPr>
      <w:t xml:space="preserve"> de </w:t>
    </w:r>
    <w:r w:rsidR="001A7DB8">
      <w:rPr>
        <w:rFonts w:ascii="Arial" w:hAnsi="Arial" w:cs="Arial"/>
      </w:rPr>
      <w:t>a</w:t>
    </w:r>
    <w:r w:rsidR="00194762">
      <w:rPr>
        <w:rFonts w:ascii="Arial" w:hAnsi="Arial" w:cs="Arial"/>
      </w:rPr>
      <w:t xml:space="preserve">bril </w:t>
    </w:r>
    <w:r w:rsidRPr="0093382D">
      <w:rPr>
        <w:rFonts w:ascii="Arial" w:hAnsi="Arial" w:cs="Arial"/>
      </w:rPr>
      <w:t>de 201</w:t>
    </w:r>
    <w:r>
      <w:rPr>
        <w:rFonts w:ascii="Arial" w:hAnsi="Arial" w:cs="Arial"/>
      </w:rPr>
      <w:t>4</w:t>
    </w:r>
    <w:r w:rsidRPr="0093382D">
      <w:rPr>
        <w:rFonts w:ascii="Arial" w:hAnsi="Arial" w:cs="Arial"/>
      </w:rPr>
      <w:t xml:space="preserve"> - fl. </w:t>
    </w:r>
    <w:r w:rsidRPr="0093382D">
      <w:rPr>
        <w:rStyle w:val="Nmerodepgina"/>
        <w:rFonts w:ascii="Arial" w:hAnsi="Arial" w:cs="Arial"/>
      </w:rPr>
      <w:fldChar w:fldCharType="begin"/>
    </w:r>
    <w:r w:rsidRPr="0093382D">
      <w:rPr>
        <w:rStyle w:val="Nmerodepgina"/>
        <w:rFonts w:ascii="Arial" w:hAnsi="Arial" w:cs="Arial"/>
      </w:rPr>
      <w:instrText xml:space="preserve"> PAGE </w:instrText>
    </w:r>
    <w:r w:rsidRPr="0093382D">
      <w:rPr>
        <w:rStyle w:val="Nmerodepgina"/>
        <w:rFonts w:ascii="Arial" w:hAnsi="Arial" w:cs="Arial"/>
      </w:rPr>
      <w:fldChar w:fldCharType="separate"/>
    </w:r>
    <w:r w:rsidR="00274B82">
      <w:rPr>
        <w:rStyle w:val="Nmerodepgina"/>
        <w:rFonts w:ascii="Arial" w:hAnsi="Arial" w:cs="Arial"/>
        <w:noProof/>
      </w:rPr>
      <w:t>5</w:t>
    </w:r>
    <w:r w:rsidRPr="0093382D">
      <w:rPr>
        <w:rStyle w:val="Nmerodepgina"/>
        <w:rFonts w:ascii="Arial" w:hAnsi="Arial" w:cs="Arial"/>
      </w:rPr>
      <w:fldChar w:fldCharType="end"/>
    </w:r>
  </w:p>
  <w:p w:rsidR="00524A8C" w:rsidRPr="00524A8C" w:rsidRDefault="00524A8C" w:rsidP="00524A8C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  <w:p w:rsidR="00524A8C" w:rsidRPr="00524A8C" w:rsidRDefault="00524A8C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BE45F81"/>
    <w:multiLevelType w:val="hybridMultilevel"/>
    <w:tmpl w:val="69FC44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4">
    <w:nsid w:val="23F40042"/>
    <w:multiLevelType w:val="hybridMultilevel"/>
    <w:tmpl w:val="FF96B5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7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EC1567A"/>
    <w:multiLevelType w:val="hybridMultilevel"/>
    <w:tmpl w:val="B69E7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54F2B8D"/>
    <w:multiLevelType w:val="hybridMultilevel"/>
    <w:tmpl w:val="1B2019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outline w:val="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6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5BEA6942"/>
    <w:multiLevelType w:val="hybridMultilevel"/>
    <w:tmpl w:val="40B267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8B12507"/>
    <w:multiLevelType w:val="hybridMultilevel"/>
    <w:tmpl w:val="556ED7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7E415894"/>
    <w:multiLevelType w:val="hybridMultilevel"/>
    <w:tmpl w:val="B13CF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2"/>
  </w:num>
  <w:num w:numId="5">
    <w:abstractNumId w:val="3"/>
  </w:num>
  <w:num w:numId="6">
    <w:abstractNumId w:val="21"/>
  </w:num>
  <w:num w:numId="7">
    <w:abstractNumId w:val="0"/>
  </w:num>
  <w:num w:numId="8">
    <w:abstractNumId w:val="5"/>
  </w:num>
  <w:num w:numId="9">
    <w:abstractNumId w:val="20"/>
  </w:num>
  <w:num w:numId="10">
    <w:abstractNumId w:val="9"/>
  </w:num>
  <w:num w:numId="11">
    <w:abstractNumId w:val="12"/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16"/>
  </w:num>
  <w:num w:numId="15">
    <w:abstractNumId w:val="13"/>
  </w:num>
  <w:num w:numId="16">
    <w:abstractNumId w:val="11"/>
  </w:num>
  <w:num w:numId="17">
    <w:abstractNumId w:val="15"/>
  </w:num>
  <w:num w:numId="18">
    <w:abstractNumId w:val="7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8"/>
  </w:num>
  <w:num w:numId="24">
    <w:abstractNumId w:val="23"/>
  </w:num>
  <w:num w:numId="2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C5"/>
    <w:rsid w:val="00013485"/>
    <w:rsid w:val="00014EBF"/>
    <w:rsid w:val="00015BF8"/>
    <w:rsid w:val="00015E97"/>
    <w:rsid w:val="00015FC1"/>
    <w:rsid w:val="00016F7A"/>
    <w:rsid w:val="0002110B"/>
    <w:rsid w:val="000222FB"/>
    <w:rsid w:val="0002322C"/>
    <w:rsid w:val="00023441"/>
    <w:rsid w:val="00023BEC"/>
    <w:rsid w:val="000252DB"/>
    <w:rsid w:val="000256C3"/>
    <w:rsid w:val="000257EE"/>
    <w:rsid w:val="00025CE2"/>
    <w:rsid w:val="00026A30"/>
    <w:rsid w:val="000279CB"/>
    <w:rsid w:val="00027C60"/>
    <w:rsid w:val="00027EC2"/>
    <w:rsid w:val="00033089"/>
    <w:rsid w:val="000337A3"/>
    <w:rsid w:val="00033FA7"/>
    <w:rsid w:val="00034E24"/>
    <w:rsid w:val="0003637D"/>
    <w:rsid w:val="00036553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4AD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74F"/>
    <w:rsid w:val="00065ABD"/>
    <w:rsid w:val="000677F4"/>
    <w:rsid w:val="00067869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16D6"/>
    <w:rsid w:val="00081AAA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C073A"/>
    <w:rsid w:val="000C0DFD"/>
    <w:rsid w:val="000C2F4B"/>
    <w:rsid w:val="000C340C"/>
    <w:rsid w:val="000C4A91"/>
    <w:rsid w:val="000C4E0A"/>
    <w:rsid w:val="000C4F13"/>
    <w:rsid w:val="000C52BB"/>
    <w:rsid w:val="000C569E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ED4"/>
    <w:rsid w:val="000E7036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78B"/>
    <w:rsid w:val="00127A77"/>
    <w:rsid w:val="00130A8D"/>
    <w:rsid w:val="001332A9"/>
    <w:rsid w:val="00133F2B"/>
    <w:rsid w:val="00134D06"/>
    <w:rsid w:val="0013534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BEF"/>
    <w:rsid w:val="0014497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EF0"/>
    <w:rsid w:val="00162FC5"/>
    <w:rsid w:val="00163420"/>
    <w:rsid w:val="00164169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7367"/>
    <w:rsid w:val="00197850"/>
    <w:rsid w:val="00197A89"/>
    <w:rsid w:val="001A009A"/>
    <w:rsid w:val="001A022C"/>
    <w:rsid w:val="001A063A"/>
    <w:rsid w:val="001A0E18"/>
    <w:rsid w:val="001A1A9D"/>
    <w:rsid w:val="001A1D63"/>
    <w:rsid w:val="001A213C"/>
    <w:rsid w:val="001A2523"/>
    <w:rsid w:val="001A61D0"/>
    <w:rsid w:val="001A6249"/>
    <w:rsid w:val="001A7DB8"/>
    <w:rsid w:val="001B0A91"/>
    <w:rsid w:val="001B155B"/>
    <w:rsid w:val="001B1E58"/>
    <w:rsid w:val="001B2E11"/>
    <w:rsid w:val="001B38F7"/>
    <w:rsid w:val="001B5CC9"/>
    <w:rsid w:val="001B7587"/>
    <w:rsid w:val="001C001C"/>
    <w:rsid w:val="001C0930"/>
    <w:rsid w:val="001C1983"/>
    <w:rsid w:val="001C1B81"/>
    <w:rsid w:val="001C2684"/>
    <w:rsid w:val="001C44BC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74FA"/>
    <w:rsid w:val="001D7B47"/>
    <w:rsid w:val="001E0773"/>
    <w:rsid w:val="001E077F"/>
    <w:rsid w:val="001E1CC7"/>
    <w:rsid w:val="001E1EF4"/>
    <w:rsid w:val="001E41C7"/>
    <w:rsid w:val="001E490E"/>
    <w:rsid w:val="001E583D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4BD8"/>
    <w:rsid w:val="002064FC"/>
    <w:rsid w:val="0020653C"/>
    <w:rsid w:val="00206AF2"/>
    <w:rsid w:val="002104D7"/>
    <w:rsid w:val="002106EC"/>
    <w:rsid w:val="002117AC"/>
    <w:rsid w:val="00211867"/>
    <w:rsid w:val="00211DA3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B82"/>
    <w:rsid w:val="00274F75"/>
    <w:rsid w:val="00275327"/>
    <w:rsid w:val="00275A26"/>
    <w:rsid w:val="002764F8"/>
    <w:rsid w:val="00276C02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780"/>
    <w:rsid w:val="002957B4"/>
    <w:rsid w:val="0029684C"/>
    <w:rsid w:val="002A0570"/>
    <w:rsid w:val="002A1DCD"/>
    <w:rsid w:val="002A1F2E"/>
    <w:rsid w:val="002A2182"/>
    <w:rsid w:val="002A322C"/>
    <w:rsid w:val="002A3836"/>
    <w:rsid w:val="002A3AB3"/>
    <w:rsid w:val="002A45AB"/>
    <w:rsid w:val="002A49EB"/>
    <w:rsid w:val="002A4B97"/>
    <w:rsid w:val="002A5443"/>
    <w:rsid w:val="002A64B6"/>
    <w:rsid w:val="002A66A3"/>
    <w:rsid w:val="002A6DD1"/>
    <w:rsid w:val="002B26D8"/>
    <w:rsid w:val="002B37B8"/>
    <w:rsid w:val="002B6DCB"/>
    <w:rsid w:val="002B72FE"/>
    <w:rsid w:val="002C0706"/>
    <w:rsid w:val="002C19B8"/>
    <w:rsid w:val="002C2292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3295"/>
    <w:rsid w:val="002D4084"/>
    <w:rsid w:val="002D4652"/>
    <w:rsid w:val="002D4A8A"/>
    <w:rsid w:val="002D4D1B"/>
    <w:rsid w:val="002D53D3"/>
    <w:rsid w:val="002D5AB2"/>
    <w:rsid w:val="002D66E9"/>
    <w:rsid w:val="002D703C"/>
    <w:rsid w:val="002D73A0"/>
    <w:rsid w:val="002D75EE"/>
    <w:rsid w:val="002D75F1"/>
    <w:rsid w:val="002E0560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6301"/>
    <w:rsid w:val="002E6962"/>
    <w:rsid w:val="002E6C0A"/>
    <w:rsid w:val="002F179C"/>
    <w:rsid w:val="002F19D6"/>
    <w:rsid w:val="002F2109"/>
    <w:rsid w:val="002F3F08"/>
    <w:rsid w:val="002F492D"/>
    <w:rsid w:val="002F4A23"/>
    <w:rsid w:val="002F4EAE"/>
    <w:rsid w:val="002F59F3"/>
    <w:rsid w:val="002F6015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E01"/>
    <w:rsid w:val="00305F3F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30AD8"/>
    <w:rsid w:val="00331612"/>
    <w:rsid w:val="00331724"/>
    <w:rsid w:val="00333D71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6499"/>
    <w:rsid w:val="00356B06"/>
    <w:rsid w:val="00356D39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124"/>
    <w:rsid w:val="003861A3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E00B4"/>
    <w:rsid w:val="003E09E5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44A5"/>
    <w:rsid w:val="00414FC5"/>
    <w:rsid w:val="004151ED"/>
    <w:rsid w:val="00415494"/>
    <w:rsid w:val="0041568A"/>
    <w:rsid w:val="0041607E"/>
    <w:rsid w:val="0041644F"/>
    <w:rsid w:val="00416C99"/>
    <w:rsid w:val="00420997"/>
    <w:rsid w:val="00420C43"/>
    <w:rsid w:val="00421840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4116E"/>
    <w:rsid w:val="0044158F"/>
    <w:rsid w:val="00441B1B"/>
    <w:rsid w:val="00442384"/>
    <w:rsid w:val="00442411"/>
    <w:rsid w:val="00442441"/>
    <w:rsid w:val="004425BC"/>
    <w:rsid w:val="00443E91"/>
    <w:rsid w:val="00445295"/>
    <w:rsid w:val="00445B93"/>
    <w:rsid w:val="00445E88"/>
    <w:rsid w:val="00446D6B"/>
    <w:rsid w:val="00451883"/>
    <w:rsid w:val="00451C44"/>
    <w:rsid w:val="004528E5"/>
    <w:rsid w:val="00452CB1"/>
    <w:rsid w:val="00453C75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B5F"/>
    <w:rsid w:val="00497337"/>
    <w:rsid w:val="004A027F"/>
    <w:rsid w:val="004A084D"/>
    <w:rsid w:val="004A1395"/>
    <w:rsid w:val="004A2C1A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B21"/>
    <w:rsid w:val="00507972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6C7"/>
    <w:rsid w:val="0051588E"/>
    <w:rsid w:val="00516232"/>
    <w:rsid w:val="00516267"/>
    <w:rsid w:val="005169EA"/>
    <w:rsid w:val="00517C8C"/>
    <w:rsid w:val="00520106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C39"/>
    <w:rsid w:val="00531A33"/>
    <w:rsid w:val="00531BF9"/>
    <w:rsid w:val="005326FC"/>
    <w:rsid w:val="00533975"/>
    <w:rsid w:val="00534247"/>
    <w:rsid w:val="00534BB1"/>
    <w:rsid w:val="0053558C"/>
    <w:rsid w:val="00535A4B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FB0"/>
    <w:rsid w:val="00556559"/>
    <w:rsid w:val="00556BC2"/>
    <w:rsid w:val="00556E02"/>
    <w:rsid w:val="005575BA"/>
    <w:rsid w:val="005578FF"/>
    <w:rsid w:val="00560207"/>
    <w:rsid w:val="00560228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1A06"/>
    <w:rsid w:val="00571E93"/>
    <w:rsid w:val="00572DA4"/>
    <w:rsid w:val="00573632"/>
    <w:rsid w:val="005742E9"/>
    <w:rsid w:val="00575978"/>
    <w:rsid w:val="00575A50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531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BB9"/>
    <w:rsid w:val="00596B4D"/>
    <w:rsid w:val="00597536"/>
    <w:rsid w:val="005A0C76"/>
    <w:rsid w:val="005A182A"/>
    <w:rsid w:val="005A1C3F"/>
    <w:rsid w:val="005A2471"/>
    <w:rsid w:val="005A26AB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15EC"/>
    <w:rsid w:val="005E18CC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564"/>
    <w:rsid w:val="005F157A"/>
    <w:rsid w:val="005F1839"/>
    <w:rsid w:val="005F329C"/>
    <w:rsid w:val="005F5853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C00"/>
    <w:rsid w:val="00623D99"/>
    <w:rsid w:val="00624A52"/>
    <w:rsid w:val="00624B3F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B25"/>
    <w:rsid w:val="00655BB2"/>
    <w:rsid w:val="0065712E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78FA"/>
    <w:rsid w:val="00667B0C"/>
    <w:rsid w:val="00667DB4"/>
    <w:rsid w:val="00667DEC"/>
    <w:rsid w:val="006713F7"/>
    <w:rsid w:val="00671900"/>
    <w:rsid w:val="00671A2B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6532"/>
    <w:rsid w:val="006878F3"/>
    <w:rsid w:val="00687EF0"/>
    <w:rsid w:val="0069020C"/>
    <w:rsid w:val="00690B52"/>
    <w:rsid w:val="00690B59"/>
    <w:rsid w:val="00691668"/>
    <w:rsid w:val="00691AD0"/>
    <w:rsid w:val="00691DE3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9CA"/>
    <w:rsid w:val="006C4056"/>
    <w:rsid w:val="006C4296"/>
    <w:rsid w:val="006C438E"/>
    <w:rsid w:val="006C4C0F"/>
    <w:rsid w:val="006C5498"/>
    <w:rsid w:val="006C5EE8"/>
    <w:rsid w:val="006C628A"/>
    <w:rsid w:val="006C7104"/>
    <w:rsid w:val="006C7287"/>
    <w:rsid w:val="006C7397"/>
    <w:rsid w:val="006C768A"/>
    <w:rsid w:val="006C7E53"/>
    <w:rsid w:val="006D1281"/>
    <w:rsid w:val="006D1E2F"/>
    <w:rsid w:val="006D3C33"/>
    <w:rsid w:val="006D44CD"/>
    <w:rsid w:val="006D467E"/>
    <w:rsid w:val="006D49EE"/>
    <w:rsid w:val="006D5A05"/>
    <w:rsid w:val="006D5FE8"/>
    <w:rsid w:val="006D6214"/>
    <w:rsid w:val="006D6D9F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6DCA"/>
    <w:rsid w:val="006E7949"/>
    <w:rsid w:val="006F1726"/>
    <w:rsid w:val="006F1991"/>
    <w:rsid w:val="006F327C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E13"/>
    <w:rsid w:val="00703B18"/>
    <w:rsid w:val="00704AEC"/>
    <w:rsid w:val="007055F8"/>
    <w:rsid w:val="00705BDE"/>
    <w:rsid w:val="00705CA1"/>
    <w:rsid w:val="007062BA"/>
    <w:rsid w:val="00707672"/>
    <w:rsid w:val="00710435"/>
    <w:rsid w:val="00711B48"/>
    <w:rsid w:val="00711C88"/>
    <w:rsid w:val="00714AEE"/>
    <w:rsid w:val="00714C92"/>
    <w:rsid w:val="00715171"/>
    <w:rsid w:val="00715E96"/>
    <w:rsid w:val="0071622F"/>
    <w:rsid w:val="00716F00"/>
    <w:rsid w:val="00717A1C"/>
    <w:rsid w:val="00717E17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3DB7"/>
    <w:rsid w:val="00733EB5"/>
    <w:rsid w:val="0073417B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5221"/>
    <w:rsid w:val="007459EB"/>
    <w:rsid w:val="00745E92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B44"/>
    <w:rsid w:val="00754CDB"/>
    <w:rsid w:val="00755A36"/>
    <w:rsid w:val="007566E8"/>
    <w:rsid w:val="00756AB2"/>
    <w:rsid w:val="00756C99"/>
    <w:rsid w:val="00757C02"/>
    <w:rsid w:val="00760307"/>
    <w:rsid w:val="007603E3"/>
    <w:rsid w:val="007619C3"/>
    <w:rsid w:val="00762862"/>
    <w:rsid w:val="00762A67"/>
    <w:rsid w:val="00762DED"/>
    <w:rsid w:val="00763602"/>
    <w:rsid w:val="00763C02"/>
    <w:rsid w:val="00764AA7"/>
    <w:rsid w:val="0076568C"/>
    <w:rsid w:val="007657F9"/>
    <w:rsid w:val="0076783A"/>
    <w:rsid w:val="00767DE5"/>
    <w:rsid w:val="00767F31"/>
    <w:rsid w:val="00770416"/>
    <w:rsid w:val="00770B91"/>
    <w:rsid w:val="0077139A"/>
    <w:rsid w:val="0077158D"/>
    <w:rsid w:val="0077201B"/>
    <w:rsid w:val="007723B3"/>
    <w:rsid w:val="00772D2F"/>
    <w:rsid w:val="0077320E"/>
    <w:rsid w:val="0077333B"/>
    <w:rsid w:val="007738C5"/>
    <w:rsid w:val="00773950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966"/>
    <w:rsid w:val="00795820"/>
    <w:rsid w:val="0079617B"/>
    <w:rsid w:val="007A05FF"/>
    <w:rsid w:val="007A20C1"/>
    <w:rsid w:val="007A22D5"/>
    <w:rsid w:val="007A45E8"/>
    <w:rsid w:val="007A606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95D"/>
    <w:rsid w:val="007B55EE"/>
    <w:rsid w:val="007B5F58"/>
    <w:rsid w:val="007B6420"/>
    <w:rsid w:val="007B6B47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A3B"/>
    <w:rsid w:val="007E280B"/>
    <w:rsid w:val="007E324E"/>
    <w:rsid w:val="007E37B1"/>
    <w:rsid w:val="007E46A3"/>
    <w:rsid w:val="007E48B5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768F"/>
    <w:rsid w:val="00817F79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4D5"/>
    <w:rsid w:val="00871D8D"/>
    <w:rsid w:val="00872F5B"/>
    <w:rsid w:val="00874E9F"/>
    <w:rsid w:val="00874F52"/>
    <w:rsid w:val="00877F82"/>
    <w:rsid w:val="00880DAE"/>
    <w:rsid w:val="008834C1"/>
    <w:rsid w:val="00883C0B"/>
    <w:rsid w:val="008848FD"/>
    <w:rsid w:val="00884CC8"/>
    <w:rsid w:val="0088686E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580"/>
    <w:rsid w:val="008B6D6C"/>
    <w:rsid w:val="008B7101"/>
    <w:rsid w:val="008B7140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6F5B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5C69"/>
    <w:rsid w:val="00905DA8"/>
    <w:rsid w:val="00906A5A"/>
    <w:rsid w:val="00907933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CEE"/>
    <w:rsid w:val="009201C3"/>
    <w:rsid w:val="009202C7"/>
    <w:rsid w:val="009226C7"/>
    <w:rsid w:val="00922897"/>
    <w:rsid w:val="0092452E"/>
    <w:rsid w:val="00924950"/>
    <w:rsid w:val="00924C9C"/>
    <w:rsid w:val="009252B8"/>
    <w:rsid w:val="00926502"/>
    <w:rsid w:val="009279B0"/>
    <w:rsid w:val="00930418"/>
    <w:rsid w:val="009306A4"/>
    <w:rsid w:val="00930976"/>
    <w:rsid w:val="00930A0B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61003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6565"/>
    <w:rsid w:val="00997593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6EC"/>
    <w:rsid w:val="009B64B0"/>
    <w:rsid w:val="009B6532"/>
    <w:rsid w:val="009B7205"/>
    <w:rsid w:val="009B73BB"/>
    <w:rsid w:val="009C04FC"/>
    <w:rsid w:val="009C1994"/>
    <w:rsid w:val="009C3D6D"/>
    <w:rsid w:val="009C3E56"/>
    <w:rsid w:val="009C5572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5D2"/>
    <w:rsid w:val="009D1996"/>
    <w:rsid w:val="009D1AD3"/>
    <w:rsid w:val="009D23D8"/>
    <w:rsid w:val="009D2695"/>
    <w:rsid w:val="009D40AF"/>
    <w:rsid w:val="009D611D"/>
    <w:rsid w:val="009D6479"/>
    <w:rsid w:val="009D70CB"/>
    <w:rsid w:val="009D7A8F"/>
    <w:rsid w:val="009D7BE5"/>
    <w:rsid w:val="009E012D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53E5"/>
    <w:rsid w:val="009F5402"/>
    <w:rsid w:val="009F5D3C"/>
    <w:rsid w:val="009F642B"/>
    <w:rsid w:val="009F7C48"/>
    <w:rsid w:val="00A00720"/>
    <w:rsid w:val="00A00F84"/>
    <w:rsid w:val="00A0128E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78F"/>
    <w:rsid w:val="00A23903"/>
    <w:rsid w:val="00A23D98"/>
    <w:rsid w:val="00A2531A"/>
    <w:rsid w:val="00A26A3B"/>
    <w:rsid w:val="00A26B7E"/>
    <w:rsid w:val="00A279F4"/>
    <w:rsid w:val="00A316C1"/>
    <w:rsid w:val="00A3200F"/>
    <w:rsid w:val="00A32DD9"/>
    <w:rsid w:val="00A32F0A"/>
    <w:rsid w:val="00A33D47"/>
    <w:rsid w:val="00A3410F"/>
    <w:rsid w:val="00A35371"/>
    <w:rsid w:val="00A360CA"/>
    <w:rsid w:val="00A36610"/>
    <w:rsid w:val="00A377C6"/>
    <w:rsid w:val="00A407DF"/>
    <w:rsid w:val="00A40AC0"/>
    <w:rsid w:val="00A43547"/>
    <w:rsid w:val="00A44333"/>
    <w:rsid w:val="00A44B6F"/>
    <w:rsid w:val="00A45057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1148"/>
    <w:rsid w:val="00A920C3"/>
    <w:rsid w:val="00A92430"/>
    <w:rsid w:val="00A93875"/>
    <w:rsid w:val="00A94319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A8C"/>
    <w:rsid w:val="00AC739C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59E6"/>
    <w:rsid w:val="00AF65F9"/>
    <w:rsid w:val="00AF77A1"/>
    <w:rsid w:val="00AF78B0"/>
    <w:rsid w:val="00B0127A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93"/>
    <w:rsid w:val="00B114EB"/>
    <w:rsid w:val="00B11691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BA9"/>
    <w:rsid w:val="00B60414"/>
    <w:rsid w:val="00B60711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E17"/>
    <w:rsid w:val="00B76F9A"/>
    <w:rsid w:val="00B77552"/>
    <w:rsid w:val="00B80632"/>
    <w:rsid w:val="00B81ACB"/>
    <w:rsid w:val="00B82195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789"/>
    <w:rsid w:val="00B94C7D"/>
    <w:rsid w:val="00B956C9"/>
    <w:rsid w:val="00B95D5D"/>
    <w:rsid w:val="00B9618E"/>
    <w:rsid w:val="00B96457"/>
    <w:rsid w:val="00BA0809"/>
    <w:rsid w:val="00BA1735"/>
    <w:rsid w:val="00BA4261"/>
    <w:rsid w:val="00BA4357"/>
    <w:rsid w:val="00BA4E8A"/>
    <w:rsid w:val="00BA5EE2"/>
    <w:rsid w:val="00BA6034"/>
    <w:rsid w:val="00BA60EA"/>
    <w:rsid w:val="00BA620F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593"/>
    <w:rsid w:val="00BC6AB3"/>
    <w:rsid w:val="00BC723D"/>
    <w:rsid w:val="00BC72B4"/>
    <w:rsid w:val="00BD0DE5"/>
    <w:rsid w:val="00BD22D0"/>
    <w:rsid w:val="00BD35A6"/>
    <w:rsid w:val="00BD38DB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D34"/>
    <w:rsid w:val="00BE2EF7"/>
    <w:rsid w:val="00BE327E"/>
    <w:rsid w:val="00BE4364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9A5"/>
    <w:rsid w:val="00C0182A"/>
    <w:rsid w:val="00C01955"/>
    <w:rsid w:val="00C01E6A"/>
    <w:rsid w:val="00C04221"/>
    <w:rsid w:val="00C05718"/>
    <w:rsid w:val="00C05E21"/>
    <w:rsid w:val="00C05E9E"/>
    <w:rsid w:val="00C114DF"/>
    <w:rsid w:val="00C13132"/>
    <w:rsid w:val="00C139DA"/>
    <w:rsid w:val="00C13B5D"/>
    <w:rsid w:val="00C13ECA"/>
    <w:rsid w:val="00C156CF"/>
    <w:rsid w:val="00C15AF0"/>
    <w:rsid w:val="00C16B03"/>
    <w:rsid w:val="00C16BD6"/>
    <w:rsid w:val="00C17511"/>
    <w:rsid w:val="00C17574"/>
    <w:rsid w:val="00C17912"/>
    <w:rsid w:val="00C17F1F"/>
    <w:rsid w:val="00C2005D"/>
    <w:rsid w:val="00C205AF"/>
    <w:rsid w:val="00C2240E"/>
    <w:rsid w:val="00C23699"/>
    <w:rsid w:val="00C2563C"/>
    <w:rsid w:val="00C269E9"/>
    <w:rsid w:val="00C26F96"/>
    <w:rsid w:val="00C27240"/>
    <w:rsid w:val="00C27538"/>
    <w:rsid w:val="00C27957"/>
    <w:rsid w:val="00C31969"/>
    <w:rsid w:val="00C32E0A"/>
    <w:rsid w:val="00C32FA0"/>
    <w:rsid w:val="00C33473"/>
    <w:rsid w:val="00C34E6C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5CA1"/>
    <w:rsid w:val="00C45CA6"/>
    <w:rsid w:val="00C45DD7"/>
    <w:rsid w:val="00C45DEB"/>
    <w:rsid w:val="00C50937"/>
    <w:rsid w:val="00C5228A"/>
    <w:rsid w:val="00C54157"/>
    <w:rsid w:val="00C54D58"/>
    <w:rsid w:val="00C556C8"/>
    <w:rsid w:val="00C55ABD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E79"/>
    <w:rsid w:val="00C70735"/>
    <w:rsid w:val="00C71997"/>
    <w:rsid w:val="00C727ED"/>
    <w:rsid w:val="00C73758"/>
    <w:rsid w:val="00C7379C"/>
    <w:rsid w:val="00C74F4B"/>
    <w:rsid w:val="00C75A57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F4"/>
    <w:rsid w:val="00CB0DB4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F23"/>
    <w:rsid w:val="00CB5135"/>
    <w:rsid w:val="00CB524A"/>
    <w:rsid w:val="00CB597E"/>
    <w:rsid w:val="00CB5AD1"/>
    <w:rsid w:val="00CB5BF1"/>
    <w:rsid w:val="00CB5C75"/>
    <w:rsid w:val="00CB6176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FD"/>
    <w:rsid w:val="00D07D52"/>
    <w:rsid w:val="00D07E9E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B11"/>
    <w:rsid w:val="00D26510"/>
    <w:rsid w:val="00D269E4"/>
    <w:rsid w:val="00D26EB5"/>
    <w:rsid w:val="00D3188B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6021F"/>
    <w:rsid w:val="00D607F9"/>
    <w:rsid w:val="00D626A0"/>
    <w:rsid w:val="00D62C7E"/>
    <w:rsid w:val="00D633A7"/>
    <w:rsid w:val="00D637F9"/>
    <w:rsid w:val="00D63D30"/>
    <w:rsid w:val="00D6470B"/>
    <w:rsid w:val="00D6476C"/>
    <w:rsid w:val="00D64BFA"/>
    <w:rsid w:val="00D669D9"/>
    <w:rsid w:val="00D66C01"/>
    <w:rsid w:val="00D715E8"/>
    <w:rsid w:val="00D71D8A"/>
    <w:rsid w:val="00D72A28"/>
    <w:rsid w:val="00D735C9"/>
    <w:rsid w:val="00D746A4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4A51"/>
    <w:rsid w:val="00D85921"/>
    <w:rsid w:val="00D86718"/>
    <w:rsid w:val="00D86942"/>
    <w:rsid w:val="00D91C03"/>
    <w:rsid w:val="00D92811"/>
    <w:rsid w:val="00D92F5F"/>
    <w:rsid w:val="00D935D1"/>
    <w:rsid w:val="00D94EEA"/>
    <w:rsid w:val="00D9509F"/>
    <w:rsid w:val="00D96AB4"/>
    <w:rsid w:val="00DA0AF3"/>
    <w:rsid w:val="00DA1358"/>
    <w:rsid w:val="00DA29B8"/>
    <w:rsid w:val="00DA2ABF"/>
    <w:rsid w:val="00DA2C96"/>
    <w:rsid w:val="00DA3396"/>
    <w:rsid w:val="00DA374C"/>
    <w:rsid w:val="00DA433E"/>
    <w:rsid w:val="00DA632F"/>
    <w:rsid w:val="00DA7866"/>
    <w:rsid w:val="00DB0B52"/>
    <w:rsid w:val="00DB1250"/>
    <w:rsid w:val="00DB15A9"/>
    <w:rsid w:val="00DB19D3"/>
    <w:rsid w:val="00DB39D8"/>
    <w:rsid w:val="00DB58A4"/>
    <w:rsid w:val="00DB7389"/>
    <w:rsid w:val="00DC069D"/>
    <w:rsid w:val="00DC06E4"/>
    <w:rsid w:val="00DC0FBA"/>
    <w:rsid w:val="00DC1DFB"/>
    <w:rsid w:val="00DC1F58"/>
    <w:rsid w:val="00DC2729"/>
    <w:rsid w:val="00DC2C0E"/>
    <w:rsid w:val="00DC2DDF"/>
    <w:rsid w:val="00DC2FB8"/>
    <w:rsid w:val="00DC4098"/>
    <w:rsid w:val="00DC72FE"/>
    <w:rsid w:val="00DD1CE8"/>
    <w:rsid w:val="00DD2965"/>
    <w:rsid w:val="00DD2FCE"/>
    <w:rsid w:val="00DD323A"/>
    <w:rsid w:val="00DD32EA"/>
    <w:rsid w:val="00DD5427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395"/>
    <w:rsid w:val="00E10155"/>
    <w:rsid w:val="00E10C17"/>
    <w:rsid w:val="00E11272"/>
    <w:rsid w:val="00E11F98"/>
    <w:rsid w:val="00E13B76"/>
    <w:rsid w:val="00E1497E"/>
    <w:rsid w:val="00E15B09"/>
    <w:rsid w:val="00E214D1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7039"/>
    <w:rsid w:val="00E57910"/>
    <w:rsid w:val="00E57F6C"/>
    <w:rsid w:val="00E61EF7"/>
    <w:rsid w:val="00E621C3"/>
    <w:rsid w:val="00E62AFA"/>
    <w:rsid w:val="00E63272"/>
    <w:rsid w:val="00E63C55"/>
    <w:rsid w:val="00E63CEF"/>
    <w:rsid w:val="00E63F01"/>
    <w:rsid w:val="00E65CBC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A60"/>
    <w:rsid w:val="00E8153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92F"/>
    <w:rsid w:val="00EA0CBC"/>
    <w:rsid w:val="00EA383D"/>
    <w:rsid w:val="00EA3D25"/>
    <w:rsid w:val="00EA3EFE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3CE7"/>
    <w:rsid w:val="00EC417E"/>
    <w:rsid w:val="00EC4766"/>
    <w:rsid w:val="00EC49CF"/>
    <w:rsid w:val="00EC57B7"/>
    <w:rsid w:val="00EC7608"/>
    <w:rsid w:val="00EC7F7D"/>
    <w:rsid w:val="00ED0640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709D"/>
    <w:rsid w:val="00ED756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EDC"/>
    <w:rsid w:val="00F1221F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71B6"/>
    <w:rsid w:val="00F374CB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1089"/>
    <w:rsid w:val="00F51DE5"/>
    <w:rsid w:val="00F5204B"/>
    <w:rsid w:val="00F53D3C"/>
    <w:rsid w:val="00F565C6"/>
    <w:rsid w:val="00F56C47"/>
    <w:rsid w:val="00F60F27"/>
    <w:rsid w:val="00F61187"/>
    <w:rsid w:val="00F61DF8"/>
    <w:rsid w:val="00F628FF"/>
    <w:rsid w:val="00F63108"/>
    <w:rsid w:val="00F634C6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A05A8"/>
    <w:rsid w:val="00FA0985"/>
    <w:rsid w:val="00FA12C8"/>
    <w:rsid w:val="00FA2CDF"/>
    <w:rsid w:val="00FA3824"/>
    <w:rsid w:val="00FA441C"/>
    <w:rsid w:val="00FA4BAE"/>
    <w:rsid w:val="00FA64CC"/>
    <w:rsid w:val="00FA6D3C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1FEB"/>
    <w:rsid w:val="00FC22F0"/>
    <w:rsid w:val="00FC26B4"/>
    <w:rsid w:val="00FC2C63"/>
    <w:rsid w:val="00FC2D86"/>
    <w:rsid w:val="00FC340D"/>
    <w:rsid w:val="00FC3C83"/>
    <w:rsid w:val="00FC3F61"/>
    <w:rsid w:val="00FC43D4"/>
    <w:rsid w:val="00FC4836"/>
    <w:rsid w:val="00FC510D"/>
    <w:rsid w:val="00FC67F7"/>
    <w:rsid w:val="00FC7634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E07"/>
    <w:rsid w:val="00FE6801"/>
    <w:rsid w:val="00FE768A"/>
    <w:rsid w:val="00FF016A"/>
    <w:rsid w:val="00FF0C62"/>
    <w:rsid w:val="00FF1A71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5FB6-ECFF-4BEA-A727-D82F52D7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2049</Words>
  <Characters>10616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5</cp:revision>
  <cp:lastPrinted>2010-07-14T20:23:00Z</cp:lastPrinted>
  <dcterms:created xsi:type="dcterms:W3CDTF">2014-04-24T11:37:00Z</dcterms:created>
  <dcterms:modified xsi:type="dcterms:W3CDTF">2015-01-30T10:36:00Z</dcterms:modified>
</cp:coreProperties>
</file>