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Pr="00C97AD8" w:rsidRDefault="00141F2B" w:rsidP="00141F2B">
      <w:pPr>
        <w:jc w:val="right"/>
        <w:rPr>
          <w:sz w:val="24"/>
          <w:szCs w:val="24"/>
        </w:rPr>
      </w:pPr>
      <w:bookmarkStart w:id="0" w:name="_GoBack"/>
      <w:bookmarkEnd w:id="0"/>
      <w:r w:rsidRPr="00C97AD8">
        <w:rPr>
          <w:sz w:val="24"/>
          <w:szCs w:val="24"/>
        </w:rPr>
        <w:t xml:space="preserve">Brasília, </w:t>
      </w:r>
      <w:r w:rsidR="002A6289">
        <w:rPr>
          <w:sz w:val="24"/>
          <w:szCs w:val="24"/>
        </w:rPr>
        <w:t>03</w:t>
      </w:r>
      <w:r w:rsidR="005544CA">
        <w:rPr>
          <w:sz w:val="24"/>
          <w:szCs w:val="24"/>
        </w:rPr>
        <w:t xml:space="preserve"> de </w:t>
      </w:r>
      <w:r w:rsidR="002A6289">
        <w:rPr>
          <w:sz w:val="24"/>
          <w:szCs w:val="24"/>
        </w:rPr>
        <w:t>agosto</w:t>
      </w:r>
      <w:r w:rsidR="005544CA">
        <w:rPr>
          <w:sz w:val="24"/>
          <w:szCs w:val="24"/>
        </w:rPr>
        <w:t xml:space="preserve"> </w:t>
      </w:r>
      <w:r w:rsidRPr="00C97AD8">
        <w:rPr>
          <w:sz w:val="24"/>
          <w:szCs w:val="24"/>
        </w:rPr>
        <w:t>de 201</w:t>
      </w:r>
      <w:r w:rsidR="002A6289">
        <w:rPr>
          <w:sz w:val="24"/>
          <w:szCs w:val="24"/>
        </w:rPr>
        <w:t>5</w:t>
      </w:r>
      <w:r w:rsidRPr="00C97AD8">
        <w:rPr>
          <w:sz w:val="24"/>
          <w:szCs w:val="24"/>
        </w:rPr>
        <w:t>.</w:t>
      </w:r>
    </w:p>
    <w:p w:rsidR="00141F2B" w:rsidRPr="00C97AD8" w:rsidRDefault="00141F2B" w:rsidP="00141F2B">
      <w:pPr>
        <w:jc w:val="both"/>
        <w:rPr>
          <w:sz w:val="24"/>
          <w:szCs w:val="24"/>
        </w:rPr>
      </w:pPr>
    </w:p>
    <w:p w:rsidR="00141F2B" w:rsidRPr="00C97AD8" w:rsidRDefault="00141F2B" w:rsidP="00141F2B">
      <w:pPr>
        <w:jc w:val="both"/>
        <w:rPr>
          <w:sz w:val="24"/>
          <w:szCs w:val="24"/>
        </w:rPr>
      </w:pPr>
      <w:r w:rsidRPr="00C97AD8">
        <w:rPr>
          <w:sz w:val="24"/>
          <w:szCs w:val="24"/>
        </w:rPr>
        <w:t xml:space="preserve">A Sua Senhoria </w:t>
      </w:r>
      <w:r w:rsidR="00790A28">
        <w:rPr>
          <w:sz w:val="24"/>
          <w:szCs w:val="24"/>
        </w:rPr>
        <w:t>a</w:t>
      </w:r>
      <w:r w:rsidRPr="00C97AD8">
        <w:rPr>
          <w:sz w:val="24"/>
          <w:szCs w:val="24"/>
        </w:rPr>
        <w:t xml:space="preserve"> Senhor</w:t>
      </w:r>
      <w:r w:rsidR="00790A28">
        <w:rPr>
          <w:sz w:val="24"/>
          <w:szCs w:val="24"/>
        </w:rPr>
        <w:t>a</w:t>
      </w:r>
    </w:p>
    <w:p w:rsidR="00141F2B" w:rsidRPr="00C97AD8" w:rsidRDefault="00790A28" w:rsidP="00141F2B">
      <w:pPr>
        <w:jc w:val="both"/>
        <w:rPr>
          <w:sz w:val="24"/>
          <w:szCs w:val="24"/>
        </w:rPr>
      </w:pPr>
      <w:r>
        <w:rPr>
          <w:sz w:val="24"/>
          <w:szCs w:val="24"/>
        </w:rPr>
        <w:t>Renata Adriana Costa Danesi</w:t>
      </w:r>
    </w:p>
    <w:p w:rsidR="00141F2B" w:rsidRPr="00C97AD8" w:rsidRDefault="00141F2B" w:rsidP="00141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Representante Legal da empresa </w:t>
      </w:r>
      <w:r w:rsidR="00790A28">
        <w:rPr>
          <w:sz w:val="24"/>
          <w:szCs w:val="24"/>
        </w:rPr>
        <w:t>ALLCARE ADMINISTRADORA DE BENEFÍCIOS EM SAÚDE LTDA</w:t>
      </w:r>
    </w:p>
    <w:p w:rsidR="00141F2B" w:rsidRDefault="00790A28" w:rsidP="00141F2B">
      <w:pPr>
        <w:jc w:val="both"/>
        <w:rPr>
          <w:sz w:val="24"/>
          <w:szCs w:val="24"/>
        </w:rPr>
      </w:pPr>
      <w:r>
        <w:rPr>
          <w:sz w:val="24"/>
          <w:szCs w:val="24"/>
        </w:rPr>
        <w:t>SCS Quadra 03, Bloco A, Lote 107/111, Ed. Antônia Alves P. de Souza – Asa Sul</w:t>
      </w:r>
    </w:p>
    <w:p w:rsidR="00141F2B" w:rsidRPr="00C97AD8" w:rsidRDefault="00141F2B" w:rsidP="00141F2B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Brasília/DF</w:t>
      </w:r>
    </w:p>
    <w:p w:rsidR="00141F2B" w:rsidRPr="00C97AD8" w:rsidRDefault="00141F2B" w:rsidP="00141F2B">
      <w:pPr>
        <w:jc w:val="both"/>
        <w:rPr>
          <w:sz w:val="24"/>
          <w:szCs w:val="24"/>
        </w:rPr>
      </w:pPr>
      <w:r w:rsidRPr="00C97AD8">
        <w:rPr>
          <w:sz w:val="24"/>
          <w:szCs w:val="24"/>
        </w:rPr>
        <w:t xml:space="preserve">CEP: </w:t>
      </w:r>
      <w:r w:rsidR="00790A28">
        <w:rPr>
          <w:sz w:val="24"/>
          <w:szCs w:val="24"/>
        </w:rPr>
        <w:t>70303-907</w:t>
      </w:r>
    </w:p>
    <w:p w:rsidR="00141F2B" w:rsidRPr="00C97AD8" w:rsidRDefault="00141F2B" w:rsidP="00141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97AD8">
        <w:rPr>
          <w:sz w:val="24"/>
          <w:szCs w:val="24"/>
        </w:rPr>
        <w:t xml:space="preserve"> </w:t>
      </w:r>
      <w:r w:rsidRPr="00C97AD8">
        <w:rPr>
          <w:color w:val="0000FF"/>
          <w:sz w:val="24"/>
          <w:szCs w:val="24"/>
        </w:rPr>
        <w:t xml:space="preserve">   </w:t>
      </w:r>
    </w:p>
    <w:p w:rsidR="00141F2B" w:rsidRPr="00C97AD8" w:rsidRDefault="00141F2B" w:rsidP="00141F2B">
      <w:pPr>
        <w:ind w:firstLine="1418"/>
        <w:jc w:val="both"/>
        <w:rPr>
          <w:sz w:val="24"/>
          <w:szCs w:val="24"/>
        </w:rPr>
      </w:pPr>
      <w:r w:rsidRPr="00C97AD8">
        <w:rPr>
          <w:sz w:val="24"/>
          <w:szCs w:val="24"/>
        </w:rPr>
        <w:tab/>
        <w:t xml:space="preserve">  </w:t>
      </w:r>
    </w:p>
    <w:p w:rsidR="00141F2B" w:rsidRPr="00C97AD8" w:rsidRDefault="00141F2B" w:rsidP="00141F2B">
      <w:pPr>
        <w:ind w:firstLine="1418"/>
        <w:jc w:val="both"/>
        <w:rPr>
          <w:sz w:val="24"/>
          <w:szCs w:val="24"/>
          <w:vertAlign w:val="superscript"/>
        </w:rPr>
      </w:pPr>
    </w:p>
    <w:p w:rsidR="00141F2B" w:rsidRPr="00C97AD8" w:rsidRDefault="00141F2B" w:rsidP="00141F2B">
      <w:pPr>
        <w:ind w:firstLine="1418"/>
        <w:jc w:val="both"/>
        <w:rPr>
          <w:sz w:val="24"/>
          <w:szCs w:val="24"/>
        </w:rPr>
      </w:pPr>
      <w:r w:rsidRPr="00C97AD8">
        <w:rPr>
          <w:sz w:val="24"/>
          <w:szCs w:val="24"/>
        </w:rPr>
        <w:t>Prezad</w:t>
      </w:r>
      <w:r w:rsidR="00790A28">
        <w:rPr>
          <w:sz w:val="24"/>
          <w:szCs w:val="24"/>
        </w:rPr>
        <w:t>a</w:t>
      </w:r>
      <w:r w:rsidRPr="00C97AD8">
        <w:rPr>
          <w:sz w:val="24"/>
          <w:szCs w:val="24"/>
        </w:rPr>
        <w:t xml:space="preserve"> </w:t>
      </w:r>
      <w:r w:rsidR="00790A28">
        <w:rPr>
          <w:sz w:val="24"/>
          <w:szCs w:val="24"/>
        </w:rPr>
        <w:t>Representante</w:t>
      </w:r>
      <w:r w:rsidRPr="00C97AD8">
        <w:rPr>
          <w:sz w:val="24"/>
          <w:szCs w:val="24"/>
        </w:rPr>
        <w:t>,</w:t>
      </w:r>
    </w:p>
    <w:p w:rsidR="00141F2B" w:rsidRPr="00C97AD8" w:rsidRDefault="00141F2B" w:rsidP="00141F2B">
      <w:pPr>
        <w:ind w:firstLine="1418"/>
        <w:jc w:val="both"/>
        <w:rPr>
          <w:sz w:val="24"/>
          <w:szCs w:val="24"/>
        </w:rPr>
      </w:pPr>
    </w:p>
    <w:p w:rsidR="00245516" w:rsidRPr="002451CC" w:rsidRDefault="00DE4703" w:rsidP="00245516">
      <w:pPr>
        <w:tabs>
          <w:tab w:val="left" w:pos="141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245516" w:rsidRPr="00013297">
        <w:rPr>
          <w:sz w:val="24"/>
          <w:szCs w:val="24"/>
        </w:rPr>
        <w:t>Dirijo-me a Vossa Senhoria a propósito da impugnação apresentada,</w:t>
      </w:r>
      <w:r w:rsidR="00245516">
        <w:rPr>
          <w:sz w:val="24"/>
          <w:szCs w:val="24"/>
        </w:rPr>
        <w:t xml:space="preserve"> </w:t>
      </w:r>
      <w:r w:rsidR="00245516" w:rsidRPr="00013297">
        <w:rPr>
          <w:sz w:val="24"/>
          <w:szCs w:val="24"/>
        </w:rPr>
        <w:t>tempestivamente, na qual alega possíveis irregularidades constantes no Instrumento</w:t>
      </w:r>
      <w:r w:rsidR="00245516">
        <w:rPr>
          <w:sz w:val="24"/>
          <w:szCs w:val="24"/>
        </w:rPr>
        <w:t xml:space="preserve"> convocatório de regência da Convocação para Credenciamento </w:t>
      </w:r>
      <w:r w:rsidR="00245516" w:rsidRPr="00013297">
        <w:rPr>
          <w:sz w:val="24"/>
          <w:szCs w:val="24"/>
        </w:rPr>
        <w:t xml:space="preserve">nº </w:t>
      </w:r>
      <w:r w:rsidR="00245516">
        <w:rPr>
          <w:sz w:val="24"/>
          <w:szCs w:val="24"/>
        </w:rPr>
        <w:t>01</w:t>
      </w:r>
      <w:r w:rsidR="00245516" w:rsidRPr="00013297">
        <w:rPr>
          <w:sz w:val="24"/>
          <w:szCs w:val="24"/>
        </w:rPr>
        <w:t>/201</w:t>
      </w:r>
      <w:r w:rsidR="00245516">
        <w:rPr>
          <w:sz w:val="24"/>
          <w:szCs w:val="24"/>
        </w:rPr>
        <w:t>5</w:t>
      </w:r>
      <w:r w:rsidR="00245516" w:rsidRPr="00013297">
        <w:rPr>
          <w:sz w:val="24"/>
          <w:szCs w:val="24"/>
        </w:rPr>
        <w:t xml:space="preserve">-MME, tendo como objeto </w:t>
      </w:r>
      <w:r w:rsidR="00245516">
        <w:rPr>
          <w:sz w:val="24"/>
          <w:szCs w:val="24"/>
        </w:rPr>
        <w:t xml:space="preserve">o </w:t>
      </w:r>
      <w:r w:rsidR="00245516" w:rsidRPr="002451CC">
        <w:rPr>
          <w:sz w:val="24"/>
          <w:szCs w:val="24"/>
        </w:rPr>
        <w:t>“</w:t>
      </w:r>
      <w:r w:rsidR="00245516" w:rsidRPr="00BD6A3A">
        <w:rPr>
          <w:sz w:val="24"/>
          <w:szCs w:val="24"/>
        </w:rPr>
        <w:t>Credenciamento de empresa</w:t>
      </w:r>
      <w:r w:rsidR="00245516">
        <w:rPr>
          <w:sz w:val="24"/>
          <w:szCs w:val="24"/>
        </w:rPr>
        <w:t>(</w:t>
      </w:r>
      <w:r w:rsidR="00245516" w:rsidRPr="00BD6A3A">
        <w:rPr>
          <w:sz w:val="24"/>
          <w:szCs w:val="24"/>
        </w:rPr>
        <w:t>s</w:t>
      </w:r>
      <w:r w:rsidR="00245516">
        <w:rPr>
          <w:sz w:val="24"/>
          <w:szCs w:val="24"/>
        </w:rPr>
        <w:t>)</w:t>
      </w:r>
      <w:r w:rsidR="00245516" w:rsidRPr="00BD6A3A">
        <w:rPr>
          <w:sz w:val="24"/>
          <w:szCs w:val="24"/>
        </w:rPr>
        <w:t xml:space="preserve"> </w:t>
      </w:r>
      <w:r w:rsidR="00245516" w:rsidRPr="00BD6A3A">
        <w:rPr>
          <w:b/>
          <w:sz w:val="24"/>
          <w:szCs w:val="24"/>
        </w:rPr>
        <w:t>Administradora</w:t>
      </w:r>
      <w:r w:rsidR="00245516">
        <w:rPr>
          <w:b/>
          <w:sz w:val="24"/>
          <w:szCs w:val="24"/>
        </w:rPr>
        <w:t>(s)</w:t>
      </w:r>
      <w:r w:rsidR="00245516" w:rsidRPr="00BD6A3A">
        <w:rPr>
          <w:b/>
          <w:sz w:val="24"/>
          <w:szCs w:val="24"/>
        </w:rPr>
        <w:t xml:space="preserve"> de Benefícios</w:t>
      </w:r>
      <w:r w:rsidR="00245516" w:rsidRPr="00BD6A3A">
        <w:rPr>
          <w:sz w:val="24"/>
          <w:szCs w:val="24"/>
        </w:rPr>
        <w:t xml:space="preserve"> </w:t>
      </w:r>
      <w:r w:rsidR="00245516" w:rsidRPr="00EF7E59">
        <w:rPr>
          <w:b/>
          <w:sz w:val="24"/>
          <w:szCs w:val="24"/>
        </w:rPr>
        <w:t>ofertados por, no mínimo, 2 (duas) Operadoras de Planos de Saúde particular, coletivo e empresarial, devidamente autorizadas pela Agência Nacional de Saúde Suplementar – ANS</w:t>
      </w:r>
      <w:r w:rsidR="00245516" w:rsidRPr="00BD6A3A">
        <w:rPr>
          <w:sz w:val="24"/>
          <w:szCs w:val="24"/>
        </w:rPr>
        <w:t>,</w:t>
      </w:r>
      <w:r w:rsidR="00245516">
        <w:rPr>
          <w:sz w:val="24"/>
          <w:szCs w:val="24"/>
        </w:rPr>
        <w:t xml:space="preserve"> </w:t>
      </w:r>
      <w:r w:rsidR="00245516" w:rsidRPr="00054A24">
        <w:rPr>
          <w:sz w:val="24"/>
          <w:szCs w:val="24"/>
        </w:rPr>
        <w:t xml:space="preserve">objetivando a prestação de </w:t>
      </w:r>
      <w:r w:rsidR="00245516">
        <w:rPr>
          <w:sz w:val="24"/>
          <w:szCs w:val="24"/>
        </w:rPr>
        <w:t xml:space="preserve">serviços </w:t>
      </w:r>
      <w:r w:rsidR="00245516" w:rsidRPr="00054A24">
        <w:rPr>
          <w:sz w:val="24"/>
          <w:szCs w:val="24"/>
        </w:rPr>
        <w:t xml:space="preserve">de assistência médica ambulatorial e hospitalar, fisioterápica, psicológica e farmacêutica na internação, compreendendo partos e tratamentos, realizados exclusivamente no País, com padrão de enfermaria, centro de terapia intensiva, ou similar, para tratamento das doenças listadas na Classificação Estatística Internacional de Doenças e Problemas Relacionados com a Saúde, da Organização Mundial de Saúde, aos servidores ativos e inativos, integrantes do quadro de pessoal permanente e do quadro especial em extinção do MME sob regime celetista, aos ocupantes de cargos de Natureza Especial e de cargos comissionados sem vínculo com a Administração Pública Federal, aos requisitados de outros Órgãos Públicos, e respectivos dependentes, bem como aos beneficiários de pensão, com cobertura em âmbito nacional, em especial nas Unidades da Federação indicadas, contemplando atendimentos disciplinados pela Lei nº 9.656, de 1998, </w:t>
      </w:r>
      <w:r w:rsidR="00245516" w:rsidRPr="00610E81">
        <w:rPr>
          <w:sz w:val="24"/>
          <w:szCs w:val="24"/>
        </w:rPr>
        <w:t>pelas Resoluções da Agência Nacional de Saúde Suplementar – ANS,</w:t>
      </w:r>
      <w:r w:rsidR="00245516" w:rsidRPr="00054A24">
        <w:rPr>
          <w:sz w:val="24"/>
          <w:szCs w:val="24"/>
        </w:rPr>
        <w:t xml:space="preserve"> pela Portaria Normativa nº 5, de 11/10/2010, da Secretaria de Recursos Humanos do Ministério do Planejamento, Orçamento e Gestão, </w:t>
      </w:r>
      <w:r w:rsidR="00245516">
        <w:rPr>
          <w:sz w:val="24"/>
          <w:szCs w:val="24"/>
        </w:rPr>
        <w:t>pelas</w:t>
      </w:r>
      <w:r w:rsidR="00245516" w:rsidRPr="00054A24">
        <w:rPr>
          <w:sz w:val="24"/>
          <w:szCs w:val="24"/>
        </w:rPr>
        <w:t xml:space="preserve"> normas vigentes</w:t>
      </w:r>
      <w:r w:rsidR="00245516">
        <w:rPr>
          <w:sz w:val="24"/>
          <w:szCs w:val="24"/>
        </w:rPr>
        <w:t>,</w:t>
      </w:r>
      <w:r w:rsidR="00245516" w:rsidRPr="00054A24">
        <w:rPr>
          <w:sz w:val="24"/>
          <w:szCs w:val="24"/>
        </w:rPr>
        <w:t xml:space="preserve"> orientações e </w:t>
      </w:r>
      <w:r w:rsidR="00245516">
        <w:rPr>
          <w:sz w:val="24"/>
          <w:szCs w:val="24"/>
        </w:rPr>
        <w:t xml:space="preserve">demais condições gerais constantes no </w:t>
      </w:r>
      <w:r w:rsidR="00245516" w:rsidRPr="00054A24">
        <w:rPr>
          <w:sz w:val="24"/>
          <w:szCs w:val="24"/>
        </w:rPr>
        <w:t>Projeto Básico</w:t>
      </w:r>
      <w:r w:rsidR="00245516">
        <w:rPr>
          <w:sz w:val="24"/>
          <w:szCs w:val="24"/>
        </w:rPr>
        <w:t xml:space="preserve"> – Anexo I do Edital de Convocação para Credenciamento</w:t>
      </w:r>
      <w:r w:rsidR="00245516" w:rsidRPr="002451CC">
        <w:rPr>
          <w:sz w:val="24"/>
          <w:szCs w:val="24"/>
        </w:rPr>
        <w:t>”.</w:t>
      </w:r>
    </w:p>
    <w:p w:rsidR="00141F2B" w:rsidRPr="00C97AD8" w:rsidRDefault="00DE4703" w:rsidP="00245516">
      <w:pPr>
        <w:tabs>
          <w:tab w:val="left" w:pos="141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141F2B" w:rsidRPr="00C97AD8">
        <w:rPr>
          <w:sz w:val="24"/>
          <w:szCs w:val="24"/>
        </w:rPr>
        <w:t>De acordo com as alegações da peça impugnatória sua empresa requer que seja</w:t>
      </w:r>
      <w:r w:rsidR="00141F2B">
        <w:rPr>
          <w:sz w:val="24"/>
          <w:szCs w:val="24"/>
        </w:rPr>
        <w:t>m</w:t>
      </w:r>
      <w:r w:rsidR="00141F2B" w:rsidRPr="00C97AD8">
        <w:rPr>
          <w:sz w:val="24"/>
          <w:szCs w:val="24"/>
        </w:rPr>
        <w:t xml:space="preserve"> </w:t>
      </w:r>
      <w:r w:rsidR="00141F2B">
        <w:rPr>
          <w:sz w:val="24"/>
          <w:szCs w:val="24"/>
        </w:rPr>
        <w:t>alteradas algumas solicitações do Instrumento Convocatório</w:t>
      </w:r>
      <w:r w:rsidR="00790A28">
        <w:rPr>
          <w:sz w:val="24"/>
          <w:szCs w:val="24"/>
        </w:rPr>
        <w:t xml:space="preserve">, </w:t>
      </w:r>
      <w:r w:rsidR="00790A28" w:rsidRPr="00013297">
        <w:rPr>
          <w:sz w:val="24"/>
          <w:szCs w:val="24"/>
        </w:rPr>
        <w:t>alegando em síntese que</w:t>
      </w:r>
      <w:r w:rsidR="00141F2B" w:rsidRPr="00C97AD8">
        <w:rPr>
          <w:sz w:val="24"/>
          <w:szCs w:val="24"/>
        </w:rPr>
        <w:t>:</w:t>
      </w:r>
    </w:p>
    <w:p w:rsidR="00141F2B" w:rsidRPr="00C97AD8" w:rsidRDefault="00141F2B" w:rsidP="00DE4703">
      <w:pPr>
        <w:spacing w:after="120"/>
        <w:ind w:left="708" w:firstLine="708"/>
        <w:jc w:val="both"/>
        <w:rPr>
          <w:b/>
          <w:i/>
          <w:sz w:val="24"/>
          <w:szCs w:val="24"/>
        </w:rPr>
      </w:pPr>
      <w:r w:rsidRPr="00C97AD8">
        <w:rPr>
          <w:b/>
          <w:i/>
          <w:sz w:val="24"/>
          <w:szCs w:val="24"/>
        </w:rPr>
        <w:t>“(...)</w:t>
      </w:r>
    </w:p>
    <w:p w:rsidR="008F02C3" w:rsidRDefault="00790A28" w:rsidP="00245516">
      <w:pPr>
        <w:pStyle w:val="Pargrafo"/>
        <w:numPr>
          <w:ilvl w:val="0"/>
          <w:numId w:val="2"/>
        </w:numPr>
        <w:spacing w:line="240" w:lineRule="auto"/>
        <w:ind w:left="1843" w:hanging="283"/>
        <w:rPr>
          <w:i/>
          <w:sz w:val="24"/>
          <w:szCs w:val="24"/>
        </w:rPr>
      </w:pPr>
      <w:r>
        <w:rPr>
          <w:i/>
          <w:sz w:val="24"/>
          <w:szCs w:val="24"/>
        </w:rPr>
        <w:t>Obrigatoriedade da apresentação da Certidão atualizada da ANS referente aos ativos garantidores;</w:t>
      </w:r>
    </w:p>
    <w:p w:rsidR="00790A28" w:rsidRDefault="00790A28" w:rsidP="00245516">
      <w:pPr>
        <w:pStyle w:val="Pargrafo"/>
        <w:numPr>
          <w:ilvl w:val="0"/>
          <w:numId w:val="2"/>
        </w:numPr>
        <w:spacing w:line="240" w:lineRule="auto"/>
        <w:ind w:left="1843" w:hanging="283"/>
        <w:rPr>
          <w:i/>
          <w:sz w:val="24"/>
          <w:szCs w:val="24"/>
        </w:rPr>
      </w:pPr>
      <w:r>
        <w:rPr>
          <w:i/>
          <w:sz w:val="24"/>
          <w:szCs w:val="24"/>
        </w:rPr>
        <w:t>Possibilidade de apresentação de operadora com planos estaduais e/ou nacionais e/ou grupo de municípios;</w:t>
      </w:r>
    </w:p>
    <w:p w:rsidR="00790A28" w:rsidRDefault="00790A28" w:rsidP="00245516">
      <w:pPr>
        <w:pStyle w:val="Pargrafo"/>
        <w:numPr>
          <w:ilvl w:val="0"/>
          <w:numId w:val="2"/>
        </w:numPr>
        <w:spacing w:line="240" w:lineRule="auto"/>
        <w:ind w:left="1843" w:hanging="283"/>
        <w:rPr>
          <w:i/>
          <w:sz w:val="24"/>
          <w:szCs w:val="24"/>
        </w:rPr>
      </w:pPr>
      <w:r>
        <w:rPr>
          <w:i/>
          <w:sz w:val="24"/>
          <w:szCs w:val="24"/>
        </w:rPr>
        <w:t>Possibilidade de apresentação de uma operadora de assistência à saúde.</w:t>
      </w:r>
    </w:p>
    <w:p w:rsidR="00141F2B" w:rsidRDefault="00141F2B" w:rsidP="00DE4703">
      <w:pPr>
        <w:spacing w:after="120"/>
        <w:ind w:left="708" w:firstLine="708"/>
        <w:jc w:val="both"/>
        <w:rPr>
          <w:b/>
          <w:i/>
          <w:sz w:val="24"/>
          <w:szCs w:val="24"/>
        </w:rPr>
      </w:pPr>
      <w:r w:rsidRPr="00C97AD8">
        <w:rPr>
          <w:b/>
          <w:i/>
          <w:sz w:val="24"/>
          <w:szCs w:val="24"/>
        </w:rPr>
        <w:t>(...)”</w:t>
      </w:r>
    </w:p>
    <w:p w:rsidR="005707CD" w:rsidRPr="00FD5DDE" w:rsidRDefault="00DE4703" w:rsidP="005707C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5707CD">
        <w:rPr>
          <w:sz w:val="24"/>
          <w:szCs w:val="24"/>
        </w:rPr>
        <w:tab/>
      </w:r>
      <w:r w:rsidR="005707CD" w:rsidRPr="00FD5DDE">
        <w:rPr>
          <w:sz w:val="24"/>
          <w:szCs w:val="24"/>
        </w:rPr>
        <w:t>Preliminarmente, importa observar que o Ministério de Minas e Energia – MME</w:t>
      </w:r>
      <w:r w:rsidR="005707CD">
        <w:rPr>
          <w:sz w:val="24"/>
          <w:szCs w:val="24"/>
        </w:rPr>
        <w:t xml:space="preserve"> </w:t>
      </w:r>
      <w:r w:rsidR="005707CD" w:rsidRPr="00FD5DDE">
        <w:rPr>
          <w:sz w:val="24"/>
          <w:szCs w:val="24"/>
        </w:rPr>
        <w:t xml:space="preserve">realiza procedimento </w:t>
      </w:r>
      <w:r w:rsidR="005707CD" w:rsidRPr="00054A24">
        <w:rPr>
          <w:sz w:val="24"/>
          <w:szCs w:val="24"/>
        </w:rPr>
        <w:t xml:space="preserve">disciplinado </w:t>
      </w:r>
      <w:r w:rsidR="005707CD">
        <w:rPr>
          <w:sz w:val="24"/>
          <w:szCs w:val="24"/>
        </w:rPr>
        <w:t xml:space="preserve">pela </w:t>
      </w:r>
      <w:r w:rsidR="005707CD" w:rsidRPr="00054A24">
        <w:rPr>
          <w:sz w:val="24"/>
          <w:szCs w:val="24"/>
        </w:rPr>
        <w:t xml:space="preserve">Lei nº 9.656, de 1998, </w:t>
      </w:r>
      <w:r w:rsidR="005707CD" w:rsidRPr="00610E81">
        <w:rPr>
          <w:sz w:val="24"/>
          <w:szCs w:val="24"/>
        </w:rPr>
        <w:t xml:space="preserve">pelas Resoluções da Agência Nacional </w:t>
      </w:r>
      <w:r w:rsidR="005707CD" w:rsidRPr="00610E81">
        <w:rPr>
          <w:sz w:val="24"/>
          <w:szCs w:val="24"/>
        </w:rPr>
        <w:lastRenderedPageBreak/>
        <w:t>de Saúde Suplementar – ANS,</w:t>
      </w:r>
      <w:r w:rsidR="005707CD" w:rsidRPr="00054A24">
        <w:rPr>
          <w:sz w:val="24"/>
          <w:szCs w:val="24"/>
        </w:rPr>
        <w:t xml:space="preserve"> pela Portaria Normativa nº 5, de 11/10/2010, da Secretaria de Recursos Humanos do Ministério do Planejamento, Orçamento e Gestão</w:t>
      </w:r>
      <w:r w:rsidR="005707CD" w:rsidRPr="00FD5DDE">
        <w:rPr>
          <w:sz w:val="24"/>
          <w:szCs w:val="24"/>
        </w:rPr>
        <w:t>,</w:t>
      </w:r>
      <w:r w:rsidR="005707CD" w:rsidRPr="00054A24">
        <w:rPr>
          <w:sz w:val="24"/>
          <w:szCs w:val="24"/>
        </w:rPr>
        <w:t xml:space="preserve"> </w:t>
      </w:r>
      <w:r w:rsidR="005707CD">
        <w:rPr>
          <w:sz w:val="24"/>
          <w:szCs w:val="24"/>
        </w:rPr>
        <w:t>pelas</w:t>
      </w:r>
      <w:r w:rsidR="005707CD" w:rsidRPr="00054A24">
        <w:rPr>
          <w:sz w:val="24"/>
          <w:szCs w:val="24"/>
        </w:rPr>
        <w:t xml:space="preserve"> normas vigentes</w:t>
      </w:r>
      <w:r w:rsidR="005707CD">
        <w:rPr>
          <w:sz w:val="24"/>
          <w:szCs w:val="24"/>
        </w:rPr>
        <w:t>,</w:t>
      </w:r>
      <w:r w:rsidR="005707CD" w:rsidRPr="00054A24">
        <w:rPr>
          <w:sz w:val="24"/>
          <w:szCs w:val="24"/>
        </w:rPr>
        <w:t xml:space="preserve"> orientações e </w:t>
      </w:r>
      <w:r w:rsidR="005707CD">
        <w:rPr>
          <w:sz w:val="24"/>
          <w:szCs w:val="24"/>
        </w:rPr>
        <w:t xml:space="preserve">demais condições gerais constantes no </w:t>
      </w:r>
      <w:r w:rsidR="005707CD" w:rsidRPr="00054A24">
        <w:rPr>
          <w:sz w:val="24"/>
          <w:szCs w:val="24"/>
        </w:rPr>
        <w:t>Projeto Básico</w:t>
      </w:r>
      <w:r w:rsidR="005707CD">
        <w:rPr>
          <w:sz w:val="24"/>
          <w:szCs w:val="24"/>
        </w:rPr>
        <w:t xml:space="preserve"> – Anexo I do Edital de Convocação para Credenciamento</w:t>
      </w:r>
      <w:r w:rsidR="00D05093">
        <w:rPr>
          <w:sz w:val="24"/>
          <w:szCs w:val="24"/>
        </w:rPr>
        <w:t xml:space="preserve"> nº 01/2015</w:t>
      </w:r>
      <w:r w:rsidR="005707CD" w:rsidRPr="00FD5DDE">
        <w:rPr>
          <w:sz w:val="24"/>
          <w:szCs w:val="24"/>
        </w:rPr>
        <w:t>.</w:t>
      </w:r>
    </w:p>
    <w:p w:rsidR="005707CD" w:rsidRDefault="005707CD" w:rsidP="005707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07CD" w:rsidRDefault="005707CD" w:rsidP="005707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5DDE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DDE">
        <w:rPr>
          <w:sz w:val="24"/>
          <w:szCs w:val="24"/>
        </w:rPr>
        <w:t>Ocorre que um aspecto fundamental a ser considerado é a imperiosa prática dos</w:t>
      </w:r>
      <w:r>
        <w:rPr>
          <w:sz w:val="24"/>
          <w:szCs w:val="24"/>
        </w:rPr>
        <w:t xml:space="preserve"> </w:t>
      </w:r>
      <w:r w:rsidRPr="00FD5DDE">
        <w:rPr>
          <w:sz w:val="24"/>
          <w:szCs w:val="24"/>
        </w:rPr>
        <w:t>atos anteriores à “abertura do processo de licitação”, assim denominada a fase interna: a</w:t>
      </w:r>
      <w:r>
        <w:rPr>
          <w:sz w:val="24"/>
          <w:szCs w:val="24"/>
        </w:rPr>
        <w:t xml:space="preserve"> </w:t>
      </w:r>
      <w:r w:rsidRPr="00FD5DDE">
        <w:rPr>
          <w:sz w:val="24"/>
          <w:szCs w:val="24"/>
        </w:rPr>
        <w:t>Administração apurou a necessidade da sua realização e definiu, com muita cautela, os termos</w:t>
      </w:r>
      <w:r>
        <w:rPr>
          <w:sz w:val="24"/>
          <w:szCs w:val="24"/>
        </w:rPr>
        <w:t xml:space="preserve"> </w:t>
      </w:r>
      <w:r w:rsidRPr="00FD5DDE">
        <w:rPr>
          <w:sz w:val="24"/>
          <w:szCs w:val="24"/>
        </w:rPr>
        <w:t xml:space="preserve">em que seria realizada, ou seja, a definição do objeto </w:t>
      </w:r>
      <w:r>
        <w:rPr>
          <w:sz w:val="24"/>
          <w:szCs w:val="24"/>
        </w:rPr>
        <w:t>do Credenciamento</w:t>
      </w:r>
      <w:r w:rsidRPr="00FD5DDE">
        <w:rPr>
          <w:sz w:val="24"/>
          <w:szCs w:val="24"/>
        </w:rPr>
        <w:t xml:space="preserve"> no âmbito desse Ministério, </w:t>
      </w:r>
      <w:r>
        <w:rPr>
          <w:sz w:val="24"/>
          <w:szCs w:val="24"/>
        </w:rPr>
        <w:t xml:space="preserve">da </w:t>
      </w:r>
      <w:r w:rsidRPr="00FD5DDE">
        <w:rPr>
          <w:sz w:val="24"/>
          <w:szCs w:val="24"/>
        </w:rPr>
        <w:t>autorização, entre outros mais.</w:t>
      </w:r>
    </w:p>
    <w:p w:rsidR="005707CD" w:rsidRDefault="005707CD" w:rsidP="005707C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5093" w:rsidRDefault="005707CD" w:rsidP="002936D8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302E0">
        <w:rPr>
          <w:sz w:val="24"/>
          <w:szCs w:val="24"/>
        </w:rPr>
        <w:t xml:space="preserve">5. </w:t>
      </w:r>
      <w:r w:rsidRPr="001302E0">
        <w:rPr>
          <w:sz w:val="24"/>
          <w:szCs w:val="24"/>
        </w:rPr>
        <w:tab/>
      </w:r>
      <w:r w:rsidRPr="001302E0">
        <w:rPr>
          <w:sz w:val="24"/>
          <w:szCs w:val="24"/>
        </w:rPr>
        <w:tab/>
        <w:t>Assim, uma questão que apresenta relevantes reflexos práticos e teóricos relaciona-se com o “Projeto Básico”. Como se sabe, ele representa uma projeção detalhada d</w:t>
      </w:r>
      <w:r>
        <w:rPr>
          <w:sz w:val="24"/>
          <w:szCs w:val="24"/>
        </w:rPr>
        <w:t>o</w:t>
      </w:r>
      <w:r w:rsidRPr="001302E0">
        <w:rPr>
          <w:sz w:val="24"/>
          <w:szCs w:val="24"/>
        </w:rPr>
        <w:t xml:space="preserve"> futur</w:t>
      </w:r>
      <w:r>
        <w:rPr>
          <w:sz w:val="24"/>
          <w:szCs w:val="24"/>
        </w:rPr>
        <w:t>o</w:t>
      </w:r>
      <w:r w:rsidRPr="001302E0">
        <w:rPr>
          <w:sz w:val="24"/>
          <w:szCs w:val="24"/>
        </w:rPr>
        <w:t xml:space="preserve"> </w:t>
      </w:r>
      <w:r>
        <w:rPr>
          <w:sz w:val="24"/>
          <w:szCs w:val="24"/>
        </w:rPr>
        <w:t>credenciamento</w:t>
      </w:r>
      <w:r w:rsidRPr="001302E0">
        <w:rPr>
          <w:sz w:val="24"/>
          <w:szCs w:val="24"/>
        </w:rPr>
        <w:t xml:space="preserve"> e seu conteúdo dependerá da natureza do objeto a ser </w:t>
      </w:r>
      <w:r>
        <w:rPr>
          <w:sz w:val="24"/>
          <w:szCs w:val="24"/>
        </w:rPr>
        <w:t>credencia</w:t>
      </w:r>
      <w:r w:rsidR="002936D8">
        <w:rPr>
          <w:sz w:val="24"/>
          <w:szCs w:val="24"/>
        </w:rPr>
        <w:t>do</w:t>
      </w:r>
      <w:r w:rsidRPr="001302E0">
        <w:rPr>
          <w:sz w:val="24"/>
          <w:szCs w:val="24"/>
        </w:rPr>
        <w:t xml:space="preserve">. Justamente por isso, todas as informações e orientações necessárias </w:t>
      </w:r>
      <w:r w:rsidR="00D05093">
        <w:rPr>
          <w:sz w:val="24"/>
          <w:szCs w:val="24"/>
        </w:rPr>
        <w:t>ao credenciamento</w:t>
      </w:r>
      <w:r w:rsidRPr="001302E0">
        <w:rPr>
          <w:sz w:val="24"/>
          <w:szCs w:val="24"/>
        </w:rPr>
        <w:t>, também, deverão ser tanto mais complexas e minuciosas na medida em que assim exija seu objeto.</w:t>
      </w:r>
      <w:r w:rsidR="006C2AF9">
        <w:rPr>
          <w:sz w:val="24"/>
          <w:szCs w:val="24"/>
        </w:rPr>
        <w:t xml:space="preserve"> Nessa medida, caberá à Administração deste Ministério exercer seu juízo de conveniência e de oportunidade ao observar as condições estabelecidas para oferecer aos seus servidores a melhor opção de assistência à saúde.</w:t>
      </w:r>
    </w:p>
    <w:p w:rsidR="00141F2B" w:rsidRDefault="006A2DC6" w:rsidP="002936D8">
      <w:pPr>
        <w:pStyle w:val="Recuodecorpodetexto"/>
        <w:tabs>
          <w:tab w:val="left" w:pos="1418"/>
        </w:tabs>
        <w:spacing w:after="120"/>
        <w:ind w:right="-3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DE4703">
        <w:rPr>
          <w:sz w:val="24"/>
          <w:szCs w:val="24"/>
        </w:rPr>
        <w:t>.</w:t>
      </w:r>
      <w:r w:rsidR="00DE4703">
        <w:rPr>
          <w:sz w:val="24"/>
          <w:szCs w:val="24"/>
        </w:rPr>
        <w:tab/>
      </w:r>
      <w:r w:rsidR="00141F2B" w:rsidRPr="00C97AD8">
        <w:rPr>
          <w:sz w:val="24"/>
          <w:szCs w:val="24"/>
        </w:rPr>
        <w:t>Procedendo-se à valoração do mérito quanto ao</w:t>
      </w:r>
      <w:r w:rsidR="006770B9">
        <w:rPr>
          <w:sz w:val="24"/>
          <w:szCs w:val="24"/>
        </w:rPr>
        <w:t>s</w:t>
      </w:r>
      <w:r w:rsidR="00141F2B" w:rsidRPr="00C97AD8">
        <w:rPr>
          <w:sz w:val="24"/>
          <w:szCs w:val="24"/>
        </w:rPr>
        <w:t xml:space="preserve"> ponto</w:t>
      </w:r>
      <w:r w:rsidR="006770B9">
        <w:rPr>
          <w:sz w:val="24"/>
          <w:szCs w:val="24"/>
        </w:rPr>
        <w:t>s</w:t>
      </w:r>
      <w:r w:rsidR="00141F2B" w:rsidRPr="00C97AD8">
        <w:rPr>
          <w:sz w:val="24"/>
          <w:szCs w:val="24"/>
        </w:rPr>
        <w:t xml:space="preserve"> suscitado</w:t>
      </w:r>
      <w:r w:rsidR="006770B9">
        <w:rPr>
          <w:sz w:val="24"/>
          <w:szCs w:val="24"/>
        </w:rPr>
        <w:t>s</w:t>
      </w:r>
      <w:r w:rsidR="00141F2B" w:rsidRPr="00C97AD8">
        <w:rPr>
          <w:sz w:val="24"/>
          <w:szCs w:val="24"/>
        </w:rPr>
        <w:t xml:space="preserve"> na peça impugnatória em </w:t>
      </w:r>
      <w:r w:rsidR="00141F2B" w:rsidRPr="00D94826">
        <w:rPr>
          <w:sz w:val="24"/>
          <w:szCs w:val="24"/>
        </w:rPr>
        <w:t>questão, subsidiado pelas informações prestadas pela Coordenação</w:t>
      </w:r>
      <w:r w:rsidR="008F02C3">
        <w:rPr>
          <w:sz w:val="24"/>
          <w:szCs w:val="24"/>
        </w:rPr>
        <w:t xml:space="preserve"> Geral de Recursos </w:t>
      </w:r>
      <w:r w:rsidR="005707CD">
        <w:rPr>
          <w:sz w:val="24"/>
          <w:szCs w:val="24"/>
        </w:rPr>
        <w:t>Humanos</w:t>
      </w:r>
      <w:r w:rsidR="00141F2B" w:rsidRPr="00D94826">
        <w:rPr>
          <w:sz w:val="24"/>
          <w:szCs w:val="24"/>
        </w:rPr>
        <w:t>, área demandante d</w:t>
      </w:r>
      <w:r w:rsidR="006770B9">
        <w:rPr>
          <w:sz w:val="24"/>
          <w:szCs w:val="24"/>
        </w:rPr>
        <w:t>o</w:t>
      </w:r>
      <w:r w:rsidR="00141F2B" w:rsidRPr="00D94826">
        <w:rPr>
          <w:sz w:val="24"/>
          <w:szCs w:val="24"/>
        </w:rPr>
        <w:t xml:space="preserve"> objeto do </w:t>
      </w:r>
      <w:r w:rsidR="005707CD">
        <w:rPr>
          <w:sz w:val="24"/>
          <w:szCs w:val="24"/>
        </w:rPr>
        <w:t>credenciamento</w:t>
      </w:r>
      <w:r w:rsidR="00141F2B" w:rsidRPr="00D94826">
        <w:rPr>
          <w:sz w:val="24"/>
          <w:szCs w:val="24"/>
        </w:rPr>
        <w:t xml:space="preserve">, apresento a Vossa Senhoria </w:t>
      </w:r>
      <w:r w:rsidR="008F02C3">
        <w:rPr>
          <w:sz w:val="24"/>
          <w:szCs w:val="24"/>
        </w:rPr>
        <w:t>a seguinte manifestação</w:t>
      </w:r>
      <w:r w:rsidR="00141F2B" w:rsidRPr="00D94826">
        <w:rPr>
          <w:sz w:val="24"/>
          <w:szCs w:val="24"/>
        </w:rPr>
        <w:t>: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“Em atenção ao Despacho de fls. 260, apresento resposta ao pedido de impugnação interposta pela ALLCARE ADMINISTRADORA DE BENEFÍCIOS EM SAÚDE LTDA: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843" w:hanging="425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AD231C">
        <w:rPr>
          <w:rFonts w:eastAsiaTheme="minorHAnsi"/>
          <w:b/>
          <w:bCs/>
          <w:i/>
          <w:sz w:val="24"/>
          <w:szCs w:val="24"/>
          <w:lang w:eastAsia="en-US"/>
        </w:rPr>
        <w:t>1 – NÃO EXIGÊNCIA DE CERTIDÃO EMITIDA PELA ANS, RELATIVA AOS ATIVOS GARANTIDORES DA ADMINISTRADORA DE BENEFÍCIOS.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Esta Coordenação-Geral de Recursos Humanos entende que o documento sugerido pelo impugnante é dispensável, haja vista que nos termos do art. 5º da RN nº 196/2009, que dispõe sobre a Administradora de Benefícios, ela só poderá contratar plano privado de assistência à saúde, na condição de estipulante de plano coletivo, a ser disponibilizado para as pessoas jurídicas legitimadas para contratar, desde que a Administradora assuma o risco decorrente da inadimplência da pessoa jurídica, com a vinculação de ativos garantidores suficientes para tanto.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Assim, para garantir que os interessados no credenciamento estejam cumprindo a legislação que rege a matéria, no quesito qualificação técnica da Habilitação, o Edital exige documento comprobatório que a empresa esteja devidamente autorizada pela ANS de atuar como operadora na modalidade de Administradora de Benefícios conforme exigência da RN 196/2009.</w:t>
      </w:r>
    </w:p>
    <w:p w:rsidR="00AD231C" w:rsidRPr="00AD231C" w:rsidRDefault="00AD231C" w:rsidP="006770B9">
      <w:pPr>
        <w:autoSpaceDE w:val="0"/>
        <w:autoSpaceDN w:val="0"/>
        <w:adjustRightInd w:val="0"/>
        <w:spacing w:after="24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Portanto, se a empresa estiver de posse do documento em questão, ela está inclusive regular com relação aos ativos garantidores suficientes.</w:t>
      </w:r>
    </w:p>
    <w:p w:rsidR="00AD231C" w:rsidRPr="00AD231C" w:rsidRDefault="00AD231C" w:rsidP="006770B9">
      <w:pPr>
        <w:autoSpaceDE w:val="0"/>
        <w:autoSpaceDN w:val="0"/>
        <w:adjustRightInd w:val="0"/>
        <w:spacing w:after="240"/>
        <w:ind w:left="1843" w:hanging="425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AD231C">
        <w:rPr>
          <w:rFonts w:eastAsiaTheme="minorHAnsi"/>
          <w:b/>
          <w:bCs/>
          <w:i/>
          <w:sz w:val="24"/>
          <w:szCs w:val="24"/>
          <w:lang w:eastAsia="en-US"/>
        </w:rPr>
        <w:t>2 – EXIGÊNCIA DE OPERADORAS QUE POSSUAM PLANOS DE SAÚDE DE ABRANGÊNCIA NACIONAL.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lastRenderedPageBreak/>
        <w:t>O Ministério de Minas e Energia – MME dispõe de um Quadro de Pessoal atuante na Sede Brasília/DF e de seus anistiados pertencente ao Quadro Especial em extinção, dos quais se encontram em exercício em diversas outras Unidades da Federação.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</w:p>
    <w:p w:rsid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Esse último contingente de pessoal (cerca de 600 empregados) detém elevado número de alteração de domicílio interestadual, além das novas concessões de anistias que poderão ocorrer a qualquer tempo e em qualquer Unidade da Federação, como também ocorrem com os aposentados e pensionistas domiciliados em várias Unidades da Federação (cerca de 1.470) que também podem alterar seu domicílio a qualquer hora e em qualquer Unidade da Federação, justificando, assim, a abrangência nacional dos planos de saúde.</w:t>
      </w:r>
    </w:p>
    <w:p w:rsidR="006770B9" w:rsidRPr="00AD231C" w:rsidRDefault="006770B9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843" w:hanging="425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AD231C">
        <w:rPr>
          <w:rFonts w:eastAsiaTheme="minorHAnsi"/>
          <w:b/>
          <w:bCs/>
          <w:i/>
          <w:sz w:val="24"/>
          <w:szCs w:val="24"/>
          <w:lang w:eastAsia="en-US"/>
        </w:rPr>
        <w:t>3 – EXIGÊNCIA DE APRESENTAÇÃO DE NO MÍNIMO DUAS OPERADORAS DE ASSISTÊNCIA À SAÚDE.</w:t>
      </w:r>
    </w:p>
    <w:p w:rsidR="00AD231C" w:rsidRP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 xml:space="preserve">É preciso que a Administradora de Benefícios disponibilize aos servidores/ empregados pelo menos 2 (duas) operadoras de plano de saúde de modo a ofertar mais opções de planos aos servidores, o que justificaria o credenciamento de empresas na modalidade de administradora de </w:t>
      </w:r>
      <w:r w:rsidRPr="002A6289">
        <w:rPr>
          <w:rFonts w:eastAsiaTheme="minorHAnsi"/>
          <w:b/>
          <w:bCs/>
          <w:i/>
          <w:sz w:val="24"/>
          <w:szCs w:val="24"/>
          <w:u w:val="single"/>
          <w:lang w:eastAsia="en-US"/>
        </w:rPr>
        <w:t>planos de saúde</w:t>
      </w:r>
      <w:r w:rsidRPr="00AD231C">
        <w:rPr>
          <w:rFonts w:eastAsiaTheme="minorHAnsi"/>
          <w:i/>
          <w:sz w:val="24"/>
          <w:szCs w:val="24"/>
          <w:lang w:eastAsia="en-US"/>
        </w:rPr>
        <w:t>.</w:t>
      </w:r>
    </w:p>
    <w:p w:rsidR="00AD231C" w:rsidRDefault="00AD231C" w:rsidP="006770B9">
      <w:pPr>
        <w:autoSpaceDE w:val="0"/>
        <w:autoSpaceDN w:val="0"/>
        <w:adjustRightInd w:val="0"/>
        <w:spacing w:after="120"/>
        <w:ind w:left="1418"/>
        <w:jc w:val="both"/>
        <w:rPr>
          <w:rFonts w:eastAsiaTheme="minorHAnsi"/>
          <w:i/>
          <w:sz w:val="24"/>
          <w:szCs w:val="24"/>
          <w:lang w:eastAsia="en-US"/>
        </w:rPr>
      </w:pPr>
      <w:r w:rsidRPr="00AD231C">
        <w:rPr>
          <w:rFonts w:eastAsiaTheme="minorHAnsi"/>
          <w:i/>
          <w:sz w:val="24"/>
          <w:szCs w:val="24"/>
          <w:lang w:eastAsia="en-US"/>
        </w:rPr>
        <w:t>Assim, quanto mais empresas credenciadas com essa exigência, mais opções de plano de saúde serão disponibilizadas aos servidores/empregados e, caso aconteça de uma única empresa ser credenciada, contaremos com pelo menos 2 (dois) planos de saúde a serem disponibilizados com opção para os servidores/empregados.</w:t>
      </w:r>
      <w:r w:rsidR="006770B9">
        <w:rPr>
          <w:rFonts w:eastAsiaTheme="minorHAnsi"/>
          <w:i/>
          <w:sz w:val="24"/>
          <w:szCs w:val="24"/>
          <w:lang w:eastAsia="en-US"/>
        </w:rPr>
        <w:t>”</w:t>
      </w:r>
    </w:p>
    <w:p w:rsidR="006A2DC6" w:rsidRDefault="009361E3" w:rsidP="006A2DC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A2DC6">
        <w:rPr>
          <w:sz w:val="24"/>
          <w:szCs w:val="24"/>
        </w:rPr>
        <w:t>.</w:t>
      </w:r>
      <w:r w:rsidR="006A2DC6">
        <w:rPr>
          <w:sz w:val="24"/>
          <w:szCs w:val="24"/>
        </w:rPr>
        <w:tab/>
      </w:r>
      <w:r w:rsidR="006A2DC6">
        <w:rPr>
          <w:sz w:val="24"/>
          <w:szCs w:val="24"/>
        </w:rPr>
        <w:tab/>
      </w:r>
      <w:r w:rsidR="006A2DC6" w:rsidRPr="00013297">
        <w:rPr>
          <w:sz w:val="24"/>
          <w:szCs w:val="24"/>
        </w:rPr>
        <w:t>Conclui-se, com a certeza de termos esclarecido o</w:t>
      </w:r>
      <w:r w:rsidR="006A2DC6">
        <w:rPr>
          <w:sz w:val="24"/>
          <w:szCs w:val="24"/>
        </w:rPr>
        <w:t xml:space="preserve"> apontamento </w:t>
      </w:r>
      <w:r w:rsidR="006A2DC6" w:rsidRPr="00013297">
        <w:rPr>
          <w:sz w:val="24"/>
          <w:szCs w:val="24"/>
        </w:rPr>
        <w:t>a respeito</w:t>
      </w:r>
      <w:r w:rsidR="006A2DC6">
        <w:rPr>
          <w:sz w:val="24"/>
          <w:szCs w:val="24"/>
        </w:rPr>
        <w:t xml:space="preserve"> </w:t>
      </w:r>
      <w:r w:rsidR="006A2DC6" w:rsidRPr="00013297">
        <w:rPr>
          <w:sz w:val="24"/>
          <w:szCs w:val="24"/>
        </w:rPr>
        <w:t>das condições objetivamente estabelecidas no Edital em conformidade com as regras e</w:t>
      </w:r>
      <w:r w:rsidR="006A2DC6">
        <w:rPr>
          <w:sz w:val="24"/>
          <w:szCs w:val="24"/>
        </w:rPr>
        <w:t xml:space="preserve"> </w:t>
      </w:r>
      <w:r w:rsidR="006A2DC6" w:rsidRPr="00013297">
        <w:rPr>
          <w:sz w:val="24"/>
          <w:szCs w:val="24"/>
        </w:rPr>
        <w:t xml:space="preserve">legislações pertinentes, esta </w:t>
      </w:r>
      <w:r w:rsidR="006A2DC6">
        <w:rPr>
          <w:sz w:val="24"/>
          <w:szCs w:val="24"/>
        </w:rPr>
        <w:t>Comissão Permanente de Licitação</w:t>
      </w:r>
      <w:r w:rsidR="006A2DC6" w:rsidRPr="00013297">
        <w:rPr>
          <w:sz w:val="24"/>
          <w:szCs w:val="24"/>
        </w:rPr>
        <w:t xml:space="preserve"> decide pelo não provimento da Impugnação ora</w:t>
      </w:r>
      <w:r w:rsidR="006A2DC6">
        <w:rPr>
          <w:sz w:val="24"/>
          <w:szCs w:val="24"/>
        </w:rPr>
        <w:t xml:space="preserve"> </w:t>
      </w:r>
      <w:r w:rsidR="006A2DC6" w:rsidRPr="00013297">
        <w:rPr>
          <w:sz w:val="24"/>
          <w:szCs w:val="24"/>
        </w:rPr>
        <w:t xml:space="preserve">apresentada pela empresa </w:t>
      </w:r>
      <w:r w:rsidR="006A2DC6">
        <w:rPr>
          <w:sz w:val="24"/>
          <w:szCs w:val="24"/>
        </w:rPr>
        <w:t>ALLCARE ADMINISTRADORA DE BENEFÍCIOS EM SAÚDE LTDA</w:t>
      </w:r>
      <w:r w:rsidR="006A2DC6" w:rsidRPr="00013297">
        <w:rPr>
          <w:sz w:val="24"/>
          <w:szCs w:val="24"/>
        </w:rPr>
        <w:t xml:space="preserve"> e informa a desnecessidade de</w:t>
      </w:r>
      <w:r w:rsidR="006A2DC6">
        <w:rPr>
          <w:sz w:val="24"/>
          <w:szCs w:val="24"/>
        </w:rPr>
        <w:t xml:space="preserve"> </w:t>
      </w:r>
      <w:r w:rsidR="006A2DC6" w:rsidRPr="00013297">
        <w:rPr>
          <w:sz w:val="24"/>
          <w:szCs w:val="24"/>
        </w:rPr>
        <w:t xml:space="preserve">alterações no </w:t>
      </w:r>
      <w:r w:rsidR="00085E81">
        <w:rPr>
          <w:sz w:val="24"/>
          <w:szCs w:val="24"/>
        </w:rPr>
        <w:t>E</w:t>
      </w:r>
      <w:r w:rsidR="006A2DC6" w:rsidRPr="00013297">
        <w:rPr>
          <w:sz w:val="24"/>
          <w:szCs w:val="24"/>
        </w:rPr>
        <w:t>dital e, portanto, a manutenção da abertura da sessão pública d</w:t>
      </w:r>
      <w:r w:rsidR="006A2DC6">
        <w:rPr>
          <w:sz w:val="24"/>
          <w:szCs w:val="24"/>
        </w:rPr>
        <w:t>a</w:t>
      </w:r>
      <w:r w:rsidR="006A2DC6" w:rsidRPr="00013297">
        <w:rPr>
          <w:sz w:val="24"/>
          <w:szCs w:val="24"/>
        </w:rPr>
        <w:t xml:space="preserve"> </w:t>
      </w:r>
      <w:r w:rsidR="006A2DC6">
        <w:rPr>
          <w:sz w:val="24"/>
          <w:szCs w:val="24"/>
        </w:rPr>
        <w:t xml:space="preserve">Convocação para Credenciamento </w:t>
      </w:r>
      <w:r w:rsidR="006A2DC6" w:rsidRPr="00013297">
        <w:rPr>
          <w:sz w:val="24"/>
          <w:szCs w:val="24"/>
        </w:rPr>
        <w:t xml:space="preserve">nº </w:t>
      </w:r>
      <w:r w:rsidR="006A2DC6">
        <w:rPr>
          <w:sz w:val="24"/>
          <w:szCs w:val="24"/>
        </w:rPr>
        <w:t>01</w:t>
      </w:r>
      <w:r w:rsidR="006A2DC6" w:rsidRPr="00013297">
        <w:rPr>
          <w:sz w:val="24"/>
          <w:szCs w:val="24"/>
        </w:rPr>
        <w:t>/201</w:t>
      </w:r>
      <w:r w:rsidR="006A2DC6">
        <w:rPr>
          <w:sz w:val="24"/>
          <w:szCs w:val="24"/>
        </w:rPr>
        <w:t>5</w:t>
      </w:r>
      <w:r w:rsidR="00085E81">
        <w:rPr>
          <w:sz w:val="24"/>
          <w:szCs w:val="24"/>
        </w:rPr>
        <w:t>-MME,</w:t>
      </w:r>
      <w:r w:rsidR="006A2DC6" w:rsidRPr="00013297">
        <w:rPr>
          <w:sz w:val="24"/>
          <w:szCs w:val="24"/>
        </w:rPr>
        <w:t xml:space="preserve"> às 1</w:t>
      </w:r>
      <w:r w:rsidR="006A2DC6">
        <w:rPr>
          <w:sz w:val="24"/>
          <w:szCs w:val="24"/>
        </w:rPr>
        <w:t>4</w:t>
      </w:r>
      <w:r w:rsidR="006A2DC6" w:rsidRPr="00013297">
        <w:rPr>
          <w:sz w:val="24"/>
          <w:szCs w:val="24"/>
        </w:rPr>
        <w:t xml:space="preserve">:00 horas do dia 11 de </w:t>
      </w:r>
      <w:r w:rsidR="006A2DC6">
        <w:rPr>
          <w:sz w:val="24"/>
          <w:szCs w:val="24"/>
        </w:rPr>
        <w:t>novembro de 2015.</w:t>
      </w:r>
    </w:p>
    <w:p w:rsidR="00AD231C" w:rsidRDefault="00AD231C" w:rsidP="002936D8">
      <w:pPr>
        <w:pStyle w:val="Recuodecorpodetexto"/>
        <w:tabs>
          <w:tab w:val="left" w:pos="1418"/>
        </w:tabs>
        <w:spacing w:after="120"/>
        <w:ind w:right="-30" w:firstLine="0"/>
        <w:rPr>
          <w:sz w:val="24"/>
          <w:szCs w:val="24"/>
          <w:lang w:val="pt-BR"/>
        </w:rPr>
      </w:pPr>
    </w:p>
    <w:p w:rsidR="002A6289" w:rsidRPr="006770B9" w:rsidRDefault="002A6289" w:rsidP="002936D8">
      <w:pPr>
        <w:pStyle w:val="Recuodecorpodetexto"/>
        <w:tabs>
          <w:tab w:val="left" w:pos="1418"/>
        </w:tabs>
        <w:spacing w:after="120"/>
        <w:ind w:right="-30" w:firstLine="0"/>
        <w:rPr>
          <w:sz w:val="24"/>
          <w:szCs w:val="24"/>
          <w:lang w:val="pt-BR"/>
        </w:rPr>
      </w:pPr>
    </w:p>
    <w:p w:rsidR="00141F2B" w:rsidRPr="00306A23" w:rsidRDefault="00141F2B" w:rsidP="00141F2B">
      <w:pPr>
        <w:ind w:firstLine="1418"/>
        <w:jc w:val="center"/>
        <w:rPr>
          <w:sz w:val="24"/>
          <w:szCs w:val="24"/>
          <w:lang w:val="pt-PT"/>
        </w:rPr>
      </w:pPr>
    </w:p>
    <w:p w:rsidR="00141F2B" w:rsidRPr="00C97AD8" w:rsidRDefault="002A6289" w:rsidP="00141F2B">
      <w:pPr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Cláudete Martins</w:t>
      </w:r>
    </w:p>
    <w:p w:rsidR="00141F2B" w:rsidRPr="00C97AD8" w:rsidRDefault="002A6289" w:rsidP="00141F2B">
      <w:pPr>
        <w:ind w:firstLine="1418"/>
        <w:jc w:val="center"/>
        <w:rPr>
          <w:sz w:val="24"/>
          <w:szCs w:val="24"/>
        </w:rPr>
      </w:pPr>
      <w:r>
        <w:rPr>
          <w:sz w:val="24"/>
          <w:szCs w:val="24"/>
        </w:rPr>
        <w:t>Presidente/CPL - Substituta</w:t>
      </w:r>
    </w:p>
    <w:p w:rsidR="00141F2B" w:rsidRPr="00C97AD8" w:rsidRDefault="00141F2B" w:rsidP="00141F2B">
      <w:pPr>
        <w:rPr>
          <w:sz w:val="24"/>
          <w:szCs w:val="24"/>
        </w:rPr>
      </w:pPr>
    </w:p>
    <w:p w:rsidR="00852995" w:rsidRDefault="00852995"/>
    <w:sectPr w:rsidR="00852995" w:rsidSect="002A66E4">
      <w:headerReference w:type="default" r:id="rId8"/>
      <w:footerReference w:type="even" r:id="rId9"/>
      <w:footerReference w:type="default" r:id="rId10"/>
      <w:pgSz w:w="11907" w:h="16840" w:code="9"/>
      <w:pgMar w:top="851" w:right="70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F9" w:rsidRDefault="006C2AF9">
      <w:r>
        <w:separator/>
      </w:r>
    </w:p>
  </w:endnote>
  <w:endnote w:type="continuationSeparator" w:id="0">
    <w:p w:rsidR="006C2AF9" w:rsidRDefault="006C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F9" w:rsidRDefault="006C2A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2AF9" w:rsidRDefault="006C2AF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F9" w:rsidRDefault="006C2A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76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C2AF9" w:rsidRPr="00DE3F0A" w:rsidRDefault="006C2AF9">
    <w:pPr>
      <w:pStyle w:val="Rodap"/>
      <w:ind w:right="360"/>
      <w:rPr>
        <w:color w:val="C0C0C0"/>
        <w:sz w:val="16"/>
        <w:szCs w:val="16"/>
      </w:rPr>
    </w:pPr>
    <w:r w:rsidRPr="00DE3F0A">
      <w:rPr>
        <w:color w:val="C0C0C0"/>
        <w:sz w:val="16"/>
        <w:szCs w:val="16"/>
      </w:rPr>
      <w:t>CPL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F9" w:rsidRDefault="006C2AF9">
      <w:r>
        <w:separator/>
      </w:r>
    </w:p>
  </w:footnote>
  <w:footnote w:type="continuationSeparator" w:id="0">
    <w:p w:rsidR="006C2AF9" w:rsidRDefault="006C2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0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804"/>
      <w:gridCol w:w="1498"/>
    </w:tblGrid>
    <w:tr w:rsidR="006C2AF9" w:rsidRPr="002E7E07" w:rsidTr="002A66E4">
      <w:tc>
        <w:tcPr>
          <w:tcW w:w="1488" w:type="dxa"/>
        </w:tcPr>
        <w:p w:rsidR="006C2AF9" w:rsidRPr="002E7E07" w:rsidRDefault="006C2AF9" w:rsidP="002A66E4">
          <w:pPr>
            <w:pStyle w:val="Ttulo"/>
            <w:jc w:val="left"/>
            <w:rPr>
              <w:rFonts w:ascii="Arial Narrow" w:hAnsi="Arial Narrow"/>
              <w:sz w:val="14"/>
              <w:szCs w:val="14"/>
            </w:rPr>
          </w:pPr>
          <w:r w:rsidRPr="002E7E07">
            <w:rPr>
              <w:sz w:val="14"/>
              <w:szCs w:val="14"/>
            </w:rPr>
            <w:object w:dxaOrig="2985" w:dyaOrig="33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62.4pt" o:ole="" fillcolor="window">
                <v:imagedata r:id="rId1" o:title=""/>
              </v:shape>
              <o:OLEObject Type="Embed" ProgID="PBrush" ShapeID="_x0000_i1025" DrawAspect="Content" ObjectID="_1500115852" r:id="rId2"/>
            </w:object>
          </w:r>
          <w:r w:rsidRPr="002E7E07">
            <w:rPr>
              <w:rFonts w:ascii="Arial Narrow" w:hAnsi="Arial Narrow"/>
              <w:sz w:val="14"/>
              <w:szCs w:val="14"/>
            </w:rPr>
            <w:t xml:space="preserve"> </w:t>
          </w:r>
        </w:p>
      </w:tc>
      <w:tc>
        <w:tcPr>
          <w:tcW w:w="6804" w:type="dxa"/>
        </w:tcPr>
        <w:p w:rsidR="006C2AF9" w:rsidRPr="002E7E07" w:rsidRDefault="006C2AF9" w:rsidP="002A66E4">
          <w:pPr>
            <w:ind w:right="-7"/>
            <w:rPr>
              <w:rFonts w:ascii="Verdana" w:hAnsi="Verdana" w:cs="Tahoma"/>
              <w:sz w:val="14"/>
              <w:szCs w:val="14"/>
            </w:rPr>
          </w:pPr>
        </w:p>
        <w:p w:rsidR="006C2AF9" w:rsidRPr="00694FD2" w:rsidRDefault="006C2AF9" w:rsidP="002A66E4">
          <w:pPr>
            <w:ind w:right="-7"/>
            <w:rPr>
              <w:rFonts w:ascii="Verdana" w:hAnsi="Verdana" w:cs="Tahoma"/>
              <w:b/>
              <w:sz w:val="14"/>
              <w:szCs w:val="14"/>
            </w:rPr>
          </w:pPr>
          <w:r w:rsidRPr="00694FD2">
            <w:rPr>
              <w:rFonts w:ascii="Verdana" w:hAnsi="Verdana" w:cs="Tahoma"/>
              <w:b/>
              <w:sz w:val="14"/>
              <w:szCs w:val="14"/>
            </w:rPr>
            <w:t>MINISTÉRIO DE MINAS E ENERGIA</w:t>
          </w:r>
        </w:p>
        <w:p w:rsidR="006C2AF9" w:rsidRPr="002E7E07" w:rsidRDefault="006C2AF9" w:rsidP="002A66E4">
          <w:pPr>
            <w:ind w:right="-7"/>
            <w:rPr>
              <w:rFonts w:ascii="Verdana" w:hAnsi="Verdana" w:cs="Tahoma"/>
              <w:bCs/>
              <w:sz w:val="14"/>
              <w:szCs w:val="14"/>
            </w:rPr>
          </w:pPr>
          <w:r w:rsidRPr="002E7E07">
            <w:rPr>
              <w:rFonts w:ascii="Verdana" w:hAnsi="Verdana" w:cs="Tahoma"/>
              <w:sz w:val="14"/>
              <w:szCs w:val="14"/>
            </w:rPr>
            <w:t>SECRETARIA EXECUTIVA</w:t>
          </w:r>
          <w:r w:rsidRPr="002E7E07">
            <w:rPr>
              <w:rFonts w:ascii="Verdana" w:hAnsi="Verdana" w:cs="Tahoma"/>
              <w:bCs/>
              <w:sz w:val="14"/>
              <w:szCs w:val="14"/>
            </w:rPr>
            <w:t xml:space="preserve"> </w:t>
          </w:r>
        </w:p>
        <w:p w:rsidR="006C2AF9" w:rsidRPr="002E7E07" w:rsidRDefault="006C2AF9" w:rsidP="002A66E4">
          <w:pPr>
            <w:ind w:right="-7"/>
            <w:rPr>
              <w:rFonts w:ascii="Verdana" w:hAnsi="Verdana" w:cs="Tahoma"/>
              <w:bCs/>
              <w:sz w:val="14"/>
              <w:szCs w:val="14"/>
            </w:rPr>
          </w:pPr>
          <w:r w:rsidRPr="002E7E07">
            <w:rPr>
              <w:rFonts w:ascii="Verdana" w:hAnsi="Verdana" w:cs="Tahoma"/>
              <w:sz w:val="14"/>
              <w:szCs w:val="14"/>
            </w:rPr>
            <w:t>SUBSECRETARIA DE PLANEJAMENTO, ORÇAMENTO E ADMINISTRAÇÃO</w:t>
          </w:r>
        </w:p>
        <w:p w:rsidR="006C2AF9" w:rsidRPr="002E7E07" w:rsidRDefault="006C2AF9" w:rsidP="002A66E4">
          <w:pPr>
            <w:ind w:right="-7"/>
            <w:rPr>
              <w:rFonts w:ascii="Verdana" w:hAnsi="Verdana" w:cs="Tahoma"/>
              <w:sz w:val="14"/>
              <w:szCs w:val="14"/>
            </w:rPr>
          </w:pPr>
          <w:r w:rsidRPr="002E7E07">
            <w:rPr>
              <w:rFonts w:ascii="Verdana" w:hAnsi="Verdana" w:cs="Tahoma"/>
              <w:bCs/>
              <w:sz w:val="14"/>
              <w:szCs w:val="14"/>
            </w:rPr>
            <w:t>COORDENAÇÃO-GERAL DE COMPRAS E CONTRATOS</w:t>
          </w:r>
          <w:r w:rsidRPr="002E7E07">
            <w:rPr>
              <w:rFonts w:ascii="Verdana" w:hAnsi="Verdana" w:cs="Tahoma"/>
              <w:sz w:val="14"/>
              <w:szCs w:val="14"/>
            </w:rPr>
            <w:t xml:space="preserve"> </w:t>
          </w:r>
        </w:p>
        <w:p w:rsidR="006C2AF9" w:rsidRPr="002E7E07" w:rsidRDefault="006C2AF9" w:rsidP="002A66E4">
          <w:pPr>
            <w:pStyle w:val="Subttulo"/>
            <w:jc w:val="left"/>
            <w:rPr>
              <w:rFonts w:ascii="Verdana" w:hAnsi="Verdana" w:cs="Arial"/>
              <w:b w:val="0"/>
              <w:sz w:val="14"/>
              <w:szCs w:val="14"/>
            </w:rPr>
          </w:pPr>
          <w:r w:rsidRPr="002E7E07">
            <w:rPr>
              <w:rFonts w:ascii="Verdana" w:hAnsi="Verdana" w:cs="Arial"/>
              <w:b w:val="0"/>
              <w:sz w:val="14"/>
              <w:szCs w:val="14"/>
            </w:rPr>
            <w:t>COORDENAÇÃO DE LICITAÇÕES E COMPRAS</w:t>
          </w:r>
        </w:p>
        <w:p w:rsidR="006C2AF9" w:rsidRPr="002E7E07" w:rsidRDefault="006C2AF9" w:rsidP="002A66E4">
          <w:pPr>
            <w:pStyle w:val="Subttulo"/>
            <w:jc w:val="left"/>
            <w:rPr>
              <w:rFonts w:ascii="Verdana" w:hAnsi="Verdana"/>
              <w:b w:val="0"/>
              <w:sz w:val="14"/>
              <w:szCs w:val="14"/>
            </w:rPr>
          </w:pPr>
          <w:r w:rsidRPr="002E7E07">
            <w:rPr>
              <w:rFonts w:ascii="Verdana" w:hAnsi="Verdana"/>
              <w:b w:val="0"/>
              <w:sz w:val="14"/>
              <w:szCs w:val="14"/>
            </w:rPr>
            <w:t>COMISSÃO PERMANENTE DE LICITAÇÃO</w:t>
          </w:r>
        </w:p>
        <w:p w:rsidR="006C2AF9" w:rsidRPr="002E7E07" w:rsidRDefault="006C2AF9" w:rsidP="002A66E4">
          <w:pPr>
            <w:pStyle w:val="Subttulo"/>
            <w:jc w:val="left"/>
            <w:rPr>
              <w:rFonts w:ascii="Verdana" w:hAnsi="Verdana" w:cs="Arial"/>
              <w:sz w:val="14"/>
              <w:szCs w:val="14"/>
            </w:rPr>
          </w:pPr>
        </w:p>
      </w:tc>
      <w:tc>
        <w:tcPr>
          <w:tcW w:w="1498" w:type="dxa"/>
        </w:tcPr>
        <w:p w:rsidR="006C2AF9" w:rsidRPr="002E7E07" w:rsidRDefault="006C2AF9" w:rsidP="002A66E4">
          <w:pPr>
            <w:jc w:val="center"/>
            <w:rPr>
              <w:sz w:val="14"/>
              <w:szCs w:val="14"/>
            </w:rPr>
          </w:pPr>
        </w:p>
      </w:tc>
    </w:tr>
  </w:tbl>
  <w:p w:rsidR="006C2AF9" w:rsidRPr="00BA3C65" w:rsidRDefault="006C2AF9" w:rsidP="002A66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2A0"/>
    <w:multiLevelType w:val="hybridMultilevel"/>
    <w:tmpl w:val="2BD8577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5922B1E"/>
    <w:multiLevelType w:val="hybridMultilevel"/>
    <w:tmpl w:val="F8B4CAF6"/>
    <w:lvl w:ilvl="0" w:tplc="1270D4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30E"/>
    <w:rsid w:val="00085E81"/>
    <w:rsid w:val="000B31A3"/>
    <w:rsid w:val="000F6A0D"/>
    <w:rsid w:val="000F76ED"/>
    <w:rsid w:val="00141F2B"/>
    <w:rsid w:val="00245516"/>
    <w:rsid w:val="002874DA"/>
    <w:rsid w:val="002936D8"/>
    <w:rsid w:val="002A6289"/>
    <w:rsid w:val="002A66E4"/>
    <w:rsid w:val="002F5D34"/>
    <w:rsid w:val="00391996"/>
    <w:rsid w:val="003929A5"/>
    <w:rsid w:val="0043426C"/>
    <w:rsid w:val="004C5F42"/>
    <w:rsid w:val="0052493D"/>
    <w:rsid w:val="005544CA"/>
    <w:rsid w:val="005707CD"/>
    <w:rsid w:val="00587B72"/>
    <w:rsid w:val="005E4AA4"/>
    <w:rsid w:val="006770B9"/>
    <w:rsid w:val="006A2DC6"/>
    <w:rsid w:val="006C2AF9"/>
    <w:rsid w:val="00790A28"/>
    <w:rsid w:val="007A6FF5"/>
    <w:rsid w:val="00852995"/>
    <w:rsid w:val="00867A76"/>
    <w:rsid w:val="008F02C3"/>
    <w:rsid w:val="009361E3"/>
    <w:rsid w:val="0095371D"/>
    <w:rsid w:val="00997707"/>
    <w:rsid w:val="00A663A2"/>
    <w:rsid w:val="00AC2973"/>
    <w:rsid w:val="00AD231C"/>
    <w:rsid w:val="00B344FF"/>
    <w:rsid w:val="00BC74BA"/>
    <w:rsid w:val="00BE796F"/>
    <w:rsid w:val="00C64470"/>
    <w:rsid w:val="00C67E65"/>
    <w:rsid w:val="00C86C4F"/>
    <w:rsid w:val="00D05093"/>
    <w:rsid w:val="00DA0E7D"/>
    <w:rsid w:val="00DE4703"/>
    <w:rsid w:val="00E07A4F"/>
    <w:rsid w:val="00E87010"/>
    <w:rsid w:val="00E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41F2B"/>
    <w:pPr>
      <w:ind w:right="-284" w:firstLine="1418"/>
      <w:jc w:val="both"/>
      <w:outlineLvl w:val="0"/>
    </w:pPr>
    <w:rPr>
      <w:sz w:val="26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141F2B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Cabealho">
    <w:name w:val="header"/>
    <w:basedOn w:val="Normal"/>
    <w:link w:val="CabealhoChar"/>
    <w:rsid w:val="00141F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1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41F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41F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41F2B"/>
  </w:style>
  <w:style w:type="character" w:styleId="Hyperlink">
    <w:name w:val="Hyperlink"/>
    <w:basedOn w:val="Fontepargpadro"/>
    <w:uiPriority w:val="99"/>
    <w:rsid w:val="00141F2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141F2B"/>
    <w:pPr>
      <w:spacing w:after="120" w:line="360" w:lineRule="auto"/>
      <w:jc w:val="center"/>
    </w:pPr>
    <w:rPr>
      <w:b/>
      <w:smallCaps/>
      <w:color w:val="000000"/>
      <w:sz w:val="24"/>
      <w:szCs w:val="32"/>
    </w:rPr>
  </w:style>
  <w:style w:type="character" w:customStyle="1" w:styleId="TtuloChar">
    <w:name w:val="Título Char"/>
    <w:basedOn w:val="Fontepargpadro"/>
    <w:link w:val="Ttulo"/>
    <w:rsid w:val="00141F2B"/>
    <w:rPr>
      <w:rFonts w:ascii="Times New Roman" w:eastAsia="Times New Roman" w:hAnsi="Times New Roman" w:cs="Times New Roman"/>
      <w:b/>
      <w:smallCaps/>
      <w:color w:val="000000"/>
      <w:sz w:val="24"/>
      <w:szCs w:val="32"/>
      <w:lang w:eastAsia="pt-BR"/>
    </w:rPr>
  </w:style>
  <w:style w:type="paragraph" w:styleId="Subttulo">
    <w:name w:val="Subtitle"/>
    <w:basedOn w:val="Normal"/>
    <w:link w:val="SubttuloChar"/>
    <w:qFormat/>
    <w:rsid w:val="00141F2B"/>
    <w:pPr>
      <w:ind w:left="1701" w:hanging="1701"/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141F2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1F2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23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23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">
    <w:name w:val="Parágrafo"/>
    <w:basedOn w:val="Normal"/>
    <w:rsid w:val="00ED2311"/>
    <w:pPr>
      <w:spacing w:after="120" w:line="360" w:lineRule="auto"/>
      <w:ind w:firstLine="2268"/>
      <w:jc w:val="both"/>
    </w:pPr>
    <w:rPr>
      <w:sz w:val="26"/>
    </w:rPr>
  </w:style>
  <w:style w:type="paragraph" w:styleId="Citao">
    <w:name w:val="Quote"/>
    <w:basedOn w:val="Normal"/>
    <w:link w:val="CitaoChar"/>
    <w:qFormat/>
    <w:rsid w:val="00ED2311"/>
    <w:pPr>
      <w:spacing w:after="240" w:line="360" w:lineRule="auto"/>
      <w:ind w:left="2268" w:firstLine="1134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D2311"/>
    <w:rPr>
      <w:rFonts w:ascii="Arial" w:eastAsia="Times New Roman" w:hAnsi="Arial" w:cs="Times New Roman"/>
      <w:i/>
      <w:sz w:val="24"/>
      <w:szCs w:val="20"/>
      <w:lang w:eastAsia="pt-BR"/>
    </w:rPr>
  </w:style>
  <w:style w:type="paragraph" w:customStyle="1" w:styleId="Jr">
    <w:name w:val="Jr"/>
    <w:basedOn w:val="Corpodetexto2"/>
    <w:rsid w:val="008F02C3"/>
    <w:pPr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shd w:val="pct25" w:color="FFFF00" w:fill="auto"/>
      <w:spacing w:before="120" w:after="360" w:line="240" w:lineRule="auto"/>
      <w:jc w:val="center"/>
    </w:pPr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8F02C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F02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344FF"/>
    <w:pPr>
      <w:ind w:left="570" w:right="579" w:firstLine="855"/>
      <w:jc w:val="both"/>
    </w:pPr>
    <w:rPr>
      <w:rFonts w:ascii="Century Gothic" w:hAnsi="Century Gothic" w:cs="Arial"/>
      <w:b/>
      <w:i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44FF"/>
    <w:pPr>
      <w:spacing w:line="360" w:lineRule="auto"/>
      <w:ind w:firstLine="12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E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41F2B"/>
    <w:pPr>
      <w:ind w:right="-284" w:firstLine="1418"/>
      <w:jc w:val="both"/>
      <w:outlineLvl w:val="0"/>
    </w:pPr>
    <w:rPr>
      <w:sz w:val="26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141F2B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Cabealho">
    <w:name w:val="header"/>
    <w:basedOn w:val="Normal"/>
    <w:link w:val="CabealhoChar"/>
    <w:rsid w:val="00141F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1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41F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41F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41F2B"/>
  </w:style>
  <w:style w:type="character" w:styleId="Hyperlink">
    <w:name w:val="Hyperlink"/>
    <w:basedOn w:val="Fontepargpadro"/>
    <w:uiPriority w:val="99"/>
    <w:rsid w:val="00141F2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141F2B"/>
    <w:pPr>
      <w:spacing w:after="120" w:line="360" w:lineRule="auto"/>
      <w:jc w:val="center"/>
    </w:pPr>
    <w:rPr>
      <w:b/>
      <w:smallCaps/>
      <w:color w:val="000000"/>
      <w:sz w:val="24"/>
      <w:szCs w:val="32"/>
    </w:rPr>
  </w:style>
  <w:style w:type="character" w:customStyle="1" w:styleId="TtuloChar">
    <w:name w:val="Título Char"/>
    <w:basedOn w:val="Fontepargpadro"/>
    <w:link w:val="Ttulo"/>
    <w:rsid w:val="00141F2B"/>
    <w:rPr>
      <w:rFonts w:ascii="Times New Roman" w:eastAsia="Times New Roman" w:hAnsi="Times New Roman" w:cs="Times New Roman"/>
      <w:b/>
      <w:smallCaps/>
      <w:color w:val="000000"/>
      <w:sz w:val="24"/>
      <w:szCs w:val="32"/>
      <w:lang w:eastAsia="pt-BR"/>
    </w:rPr>
  </w:style>
  <w:style w:type="paragraph" w:styleId="Subttulo">
    <w:name w:val="Subtitle"/>
    <w:basedOn w:val="Normal"/>
    <w:link w:val="SubttuloChar"/>
    <w:qFormat/>
    <w:rsid w:val="00141F2B"/>
    <w:pPr>
      <w:ind w:left="1701" w:hanging="1701"/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141F2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1F2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23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23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">
    <w:name w:val="Parágrafo"/>
    <w:basedOn w:val="Normal"/>
    <w:rsid w:val="00ED2311"/>
    <w:pPr>
      <w:spacing w:after="120" w:line="360" w:lineRule="auto"/>
      <w:ind w:firstLine="2268"/>
      <w:jc w:val="both"/>
    </w:pPr>
    <w:rPr>
      <w:sz w:val="26"/>
    </w:rPr>
  </w:style>
  <w:style w:type="paragraph" w:styleId="Citao">
    <w:name w:val="Quote"/>
    <w:basedOn w:val="Normal"/>
    <w:link w:val="CitaoChar"/>
    <w:qFormat/>
    <w:rsid w:val="00ED2311"/>
    <w:pPr>
      <w:spacing w:after="240" w:line="360" w:lineRule="auto"/>
      <w:ind w:left="2268" w:firstLine="1134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D2311"/>
    <w:rPr>
      <w:rFonts w:ascii="Arial" w:eastAsia="Times New Roman" w:hAnsi="Arial" w:cs="Times New Roman"/>
      <w:i/>
      <w:sz w:val="24"/>
      <w:szCs w:val="20"/>
      <w:lang w:eastAsia="pt-BR"/>
    </w:rPr>
  </w:style>
  <w:style w:type="paragraph" w:customStyle="1" w:styleId="Jr">
    <w:name w:val="Jr"/>
    <w:basedOn w:val="Corpodetexto2"/>
    <w:rsid w:val="008F02C3"/>
    <w:pPr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shd w:val="pct25" w:color="FFFF00" w:fill="auto"/>
      <w:spacing w:before="120" w:after="360" w:line="240" w:lineRule="auto"/>
      <w:jc w:val="center"/>
    </w:pPr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8F02C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F02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344FF"/>
    <w:pPr>
      <w:ind w:left="570" w:right="579" w:firstLine="855"/>
      <w:jc w:val="both"/>
    </w:pPr>
    <w:rPr>
      <w:rFonts w:ascii="Century Gothic" w:hAnsi="Century Gothic" w:cs="Arial"/>
      <w:b/>
      <w:i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44FF"/>
    <w:pPr>
      <w:spacing w:line="360" w:lineRule="auto"/>
      <w:ind w:firstLine="12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E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gestor_seg</cp:lastModifiedBy>
  <cp:revision>9</cp:revision>
  <cp:lastPrinted>2015-08-03T17:00:00Z</cp:lastPrinted>
  <dcterms:created xsi:type="dcterms:W3CDTF">2015-08-03T14:43:00Z</dcterms:created>
  <dcterms:modified xsi:type="dcterms:W3CDTF">2015-08-03T17:04:00Z</dcterms:modified>
</cp:coreProperties>
</file>