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National Secretariat of Justice</w:t>
      </w:r>
      <w:r w:rsidDel="00000000" w:rsidR="00000000" w:rsidRPr="00000000">
        <w:rPr>
          <w:rFonts w:ascii="Calibri" w:cs="Calibri" w:eastAsia="Calibri" w:hAnsi="Calibri"/>
          <w:b w:val="1"/>
          <w:sz w:val="24"/>
          <w:szCs w:val="24"/>
        </w:rPr>
        <w:drawing>
          <wp:anchor allowOverlap="1" behindDoc="0" distB="0" distT="0" distL="0" distR="0" hidden="0" layoutInCell="1" locked="0" relativeHeight="0" simplePos="0">
            <wp:simplePos x="0" y="0"/>
            <wp:positionH relativeFrom="margin">
              <wp:posOffset>1193963</wp:posOffset>
            </wp:positionH>
            <wp:positionV relativeFrom="margin">
              <wp:posOffset>-85724</wp:posOffset>
            </wp:positionV>
            <wp:extent cx="3343275" cy="1362075"/>
            <wp:effectExtent b="0" l="0" r="0" t="0"/>
            <wp:wrapTopAndBottom distB="0" distT="0"/>
            <wp:docPr descr="Logotipo&#10;&#10;Descrição gerada automaticamente" id="1" name="image1.png"/>
            <a:graphic>
              <a:graphicData uri="http://schemas.openxmlformats.org/drawingml/2006/picture">
                <pic:pic>
                  <pic:nvPicPr>
                    <pic:cNvPr descr="Logotipo&#10;&#10;Descrição gerada automaticamente" id="0" name="image1.png"/>
                    <pic:cNvPicPr preferRelativeResize="0"/>
                  </pic:nvPicPr>
                  <pic:blipFill>
                    <a:blip r:embed="rId6"/>
                    <a:srcRect b="14645" l="0" r="0" t="13131"/>
                    <a:stretch>
                      <a:fillRect/>
                    </a:stretch>
                  </pic:blipFill>
                  <pic:spPr>
                    <a:xfrm>
                      <a:off x="0" y="0"/>
                      <a:ext cx="3343275" cy="136207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Migration Department</w:t>
      </w:r>
    </w:p>
    <w:p w:rsidR="00000000" w:rsidDel="00000000" w:rsidP="00000000" w:rsidRDefault="00000000" w:rsidRPr="00000000" w14:paraId="00000003">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Text</w:t>
      </w:r>
    </w:p>
    <w:p w:rsidR="00000000" w:rsidDel="00000000" w:rsidP="00000000" w:rsidRDefault="00000000" w:rsidRPr="00000000" w14:paraId="00000006">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2nd National Conference on Migration, Refuge and Statelessness — 2nd COMIGRAR</w:t>
      </w:r>
    </w:p>
    <w:p w:rsidR="00000000" w:rsidDel="00000000" w:rsidP="00000000" w:rsidRDefault="00000000" w:rsidRPr="00000000" w14:paraId="00000007">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spacing w:after="200" w:line="240" w:lineRule="auto"/>
        <w:jc w:val="center"/>
        <w:rPr>
          <w:rFonts w:ascii="Calibri" w:cs="Calibri" w:eastAsia="Calibri" w:hAnsi="Calibri"/>
          <w:b w:val="1"/>
          <w:color w:val="990000"/>
          <w:sz w:val="24"/>
          <w:szCs w:val="24"/>
        </w:rPr>
      </w:pPr>
      <w:r w:rsidDel="00000000" w:rsidR="00000000" w:rsidRPr="00000000">
        <w:rPr>
          <w:rFonts w:ascii="Calibri" w:cs="Calibri" w:eastAsia="Calibri" w:hAnsi="Calibri"/>
          <w:b w:val="1"/>
          <w:color w:val="990000"/>
          <w:sz w:val="24"/>
          <w:szCs w:val="24"/>
        </w:rPr>
        <w:drawing>
          <wp:inline distB="114300" distT="114300" distL="114300" distR="114300">
            <wp:extent cx="5731200" cy="1231900"/>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3120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spacing w:after="200" w:line="240"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spacing w:after="20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after="20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Brasilia — DF</w:t>
      </w:r>
    </w:p>
    <w:p w:rsidR="00000000" w:rsidDel="00000000" w:rsidP="00000000" w:rsidRDefault="00000000" w:rsidRPr="00000000" w14:paraId="00000014">
      <w:pPr>
        <w:spacing w:after="200"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2024</w:t>
      </w:r>
      <w:r w:rsidDel="00000000" w:rsidR="00000000" w:rsidRPr="00000000">
        <w:rPr>
          <w:rtl w:val="0"/>
        </w:rPr>
      </w:r>
    </w:p>
    <w:p w:rsidR="00000000" w:rsidDel="00000000" w:rsidP="00000000" w:rsidRDefault="00000000" w:rsidRPr="00000000" w14:paraId="00000015">
      <w:pPr>
        <w:spacing w:after="20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pStyle w:val="Heading1"/>
        <w:jc w:val="center"/>
        <w:rPr/>
      </w:pPr>
      <w:bookmarkStart w:colFirst="0" w:colLast="0" w:name="_x7uzbmbdhe5x" w:id="0"/>
      <w:bookmarkEnd w:id="0"/>
      <w:r w:rsidDel="00000000" w:rsidR="00000000" w:rsidRPr="00000000">
        <w:rPr>
          <w:rtl w:val="0"/>
        </w:rPr>
        <w:t xml:space="preserve">— EXPEDIENT —</w:t>
      </w:r>
    </w:p>
    <w:p w:rsidR="00000000" w:rsidDel="00000000" w:rsidP="00000000" w:rsidRDefault="00000000" w:rsidRPr="00000000" w14:paraId="00000017">
      <w:pPr>
        <w:spacing w:after="2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Federal Government</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Ministry of Justice and Public Security</w:t>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Enrique Ricardo Lewandowski</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National Secretariat of Justice</w:t>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Jean Uema</w:t>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Migration Department</w:t>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Luana Medeiros</w:t>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General Coordination of Migration Policy</w:t>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Paulo Illes</w:t>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Technical Support</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Refugee Agency (UNHCR)</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Bibiana Waquil Campana </w:t>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Bruna de Paula Miranda Pereira</w:t>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International Labor Organization (ILO)</w:t>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Isabel Meunier </w:t>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 Migration Agency (IOM)</w:t>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Nícolas Neves dos Santos</w:t>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Tamires Fonseca Zanotti </w:t>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before="2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Brasilia, March 2024</w:t>
      </w:r>
    </w:p>
    <w:p w:rsidR="00000000" w:rsidDel="00000000" w:rsidP="00000000" w:rsidRDefault="00000000" w:rsidRPr="00000000" w14:paraId="00000035">
      <w:pPr>
        <w:spacing w:line="240" w:lineRule="auto"/>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comigrar2@mj.gov.br</w:t>
        </w:r>
      </w:hyperlink>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Esplanada dos Ministérios, Anexo II, 3° andar, sala 301A, CEP 70064-901, Brasília/DF</w:t>
      </w:r>
    </w:p>
    <w:p w:rsidR="00000000" w:rsidDel="00000000" w:rsidP="00000000" w:rsidRDefault="00000000" w:rsidRPr="00000000" w14:paraId="00000037">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20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after="200" w:line="240" w:lineRule="auto"/>
        <w:jc w:val="center"/>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704850</wp:posOffset>
            </wp:positionH>
            <wp:positionV relativeFrom="paragraph">
              <wp:posOffset>306884</wp:posOffset>
            </wp:positionV>
            <wp:extent cx="4314825" cy="645616"/>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9"/>
                    <a:srcRect b="0" l="0" r="0" t="22975"/>
                    <a:stretch>
                      <a:fillRect/>
                    </a:stretch>
                  </pic:blipFill>
                  <pic:spPr>
                    <a:xfrm>
                      <a:off x="0" y="0"/>
                      <a:ext cx="4314825" cy="645616"/>
                    </a:xfrm>
                    <a:prstGeom prst="rect"/>
                    <a:ln/>
                  </pic:spPr>
                </pic:pic>
              </a:graphicData>
            </a:graphic>
          </wp:anchor>
        </w:drawing>
      </w:r>
    </w:p>
    <w:p w:rsidR="00000000" w:rsidDel="00000000" w:rsidP="00000000" w:rsidRDefault="00000000" w:rsidRPr="00000000" w14:paraId="00000040">
      <w:pPr>
        <w:pStyle w:val="Heading1"/>
        <w:jc w:val="center"/>
        <w:rPr/>
      </w:pPr>
      <w:bookmarkStart w:colFirst="0" w:colLast="0" w:name="_609dk3jd7bk1" w:id="1"/>
      <w:bookmarkEnd w:id="1"/>
      <w:r w:rsidDel="00000000" w:rsidR="00000000" w:rsidRPr="00000000">
        <w:rPr>
          <w:rtl w:val="0"/>
        </w:rPr>
        <w:t xml:space="preserve">— TABLE OF CONTENTS —</w:t>
      </w:r>
    </w:p>
    <w:p w:rsidR="00000000" w:rsidDel="00000000" w:rsidP="00000000" w:rsidRDefault="00000000" w:rsidRPr="00000000" w14:paraId="00000041">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after="0" w:line="240" w:lineRule="auto"/>
        <w:jc w:val="left"/>
        <w:rPr>
          <w:rFonts w:ascii="Calibri" w:cs="Calibri" w:eastAsia="Calibri" w:hAnsi="Calibri"/>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3">
          <w:pPr>
            <w:widowControl w:val="0"/>
            <w:tabs>
              <w:tab w:val="right" w:leader="none" w:pos="12000"/>
            </w:tabs>
            <w:spacing w:before="60" w:line="240" w:lineRule="auto"/>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x7uzbmbdhe5x">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EXPEDIENT —</w:t>
              <w:tab/>
              <w:t xml:space="preserve">2</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rPr>
              <w:rFonts w:ascii="Calibri" w:cs="Calibri" w:eastAsia="Calibri" w:hAnsi="Calibri"/>
              <w:b w:val="1"/>
              <w:i w:val="0"/>
              <w:smallCaps w:val="0"/>
              <w:strike w:val="0"/>
              <w:color w:val="000000"/>
              <w:sz w:val="22"/>
              <w:szCs w:val="22"/>
              <w:u w:val="none"/>
              <w:shd w:fill="auto" w:val="clear"/>
              <w:vertAlign w:val="baseline"/>
            </w:rPr>
          </w:pPr>
          <w:hyperlink w:anchor="_609dk3jd7bk1">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hyperlink>
          <w:hyperlink w:anchor="_609dk3jd7bk1">
            <w:r w:rsidDel="00000000" w:rsidR="00000000" w:rsidRPr="00000000">
              <w:rPr>
                <w:rFonts w:ascii="Calibri" w:cs="Calibri" w:eastAsia="Calibri" w:hAnsi="Calibri"/>
                <w:sz w:val="24"/>
                <w:szCs w:val="24"/>
                <w:rtl w:val="0"/>
              </w:rPr>
              <w:t xml:space="preserve">TABLE OF CONTENT</w:t>
            </w:r>
          </w:hyperlink>
          <w:hyperlink w:anchor="_609dk3jd7bk1">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tab/>
              <w:t xml:space="preserve">3</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rPr>
              <w:rFonts w:ascii="Calibri" w:cs="Calibri" w:eastAsia="Calibri" w:hAnsi="Calibri"/>
              <w:i w:val="0"/>
              <w:smallCaps w:val="0"/>
              <w:strike w:val="0"/>
              <w:color w:val="000000"/>
              <w:sz w:val="22"/>
              <w:szCs w:val="22"/>
              <w:u w:val="none"/>
              <w:shd w:fill="auto" w:val="clear"/>
              <w:vertAlign w:val="baseline"/>
            </w:rPr>
          </w:pPr>
          <w:hyperlink w:anchor="_d8jt1byu5cv1">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GLOSSÁRY —</w:t>
            </w:r>
          </w:hyperlink>
          <w:hyperlink w:anchor="_d8jt1byu5cv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_d8jt1byu5cv1 \h </w:instrText>
            <w:fldChar w:fldCharType="separate"/>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rPr>
              <w:rFonts w:ascii="Calibri" w:cs="Calibri" w:eastAsia="Calibri" w:hAnsi="Calibri"/>
              <w:i w:val="0"/>
              <w:smallCaps w:val="0"/>
              <w:strike w:val="0"/>
              <w:color w:val="000000"/>
              <w:sz w:val="22"/>
              <w:szCs w:val="22"/>
              <w:u w:val="none"/>
              <w:shd w:fill="auto" w:val="clear"/>
              <w:vertAlign w:val="baseline"/>
            </w:rPr>
          </w:pPr>
          <w:hyperlink w:anchor="_vjxfa1yz0hxy">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hyperlink>
          <w:hyperlink w:anchor="_vjxfa1yz0hxy">
            <w:r w:rsidDel="00000000" w:rsidR="00000000" w:rsidRPr="00000000">
              <w:rPr>
                <w:rFonts w:ascii="Calibri" w:cs="Calibri" w:eastAsia="Calibri" w:hAnsi="Calibri"/>
                <w:sz w:val="24"/>
                <w:szCs w:val="24"/>
                <w:rtl w:val="0"/>
              </w:rPr>
              <w:t xml:space="preserve">PRESENTATION</w:t>
            </w:r>
          </w:hyperlink>
          <w:hyperlink w:anchor="_vjxfa1yz0hxy">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tab/>
            </w:r>
          </w:hyperlink>
          <w:r w:rsidDel="00000000" w:rsidR="00000000" w:rsidRPr="00000000">
            <w:rPr>
              <w:rFonts w:ascii="Calibri" w:cs="Calibri" w:eastAsia="Calibri" w:hAnsi="Calibri"/>
              <w:rtl w:val="0"/>
            </w:rPr>
            <w:t xml:space="preserve">6</w:t>
          </w:r>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rPr>
              <w:rFonts w:ascii="Calibri" w:cs="Calibri" w:eastAsia="Calibri" w:hAnsi="Calibri"/>
              <w:i w:val="0"/>
              <w:smallCaps w:val="0"/>
              <w:strike w:val="0"/>
              <w:color w:val="000000"/>
              <w:sz w:val="22"/>
              <w:szCs w:val="22"/>
              <w:u w:val="none"/>
              <w:shd w:fill="auto" w:val="clear"/>
              <w:vertAlign w:val="baseline"/>
            </w:rPr>
          </w:pPr>
          <w:hyperlink w:anchor="_f3uvlhyqjks9">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GUIDELINES FOR DEBATE AND PROPOSAL BUILDING —</w:t>
              <w:tab/>
            </w:r>
          </w:hyperlink>
          <w:r w:rsidDel="00000000" w:rsidR="00000000" w:rsidRPr="00000000">
            <w:rPr>
              <w:rFonts w:ascii="Calibri" w:cs="Calibri" w:eastAsia="Calibri" w:hAnsi="Calibri"/>
              <w:rtl w:val="0"/>
            </w:rPr>
            <w:t xml:space="preserve">7</w:t>
          </w:r>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360" w:firstLine="0"/>
            <w:rPr>
              <w:rFonts w:ascii="Calibri" w:cs="Calibri" w:eastAsia="Calibri" w:hAnsi="Calibri"/>
              <w:i w:val="0"/>
              <w:smallCaps w:val="0"/>
              <w:strike w:val="0"/>
              <w:color w:val="000000"/>
              <w:sz w:val="22"/>
              <w:szCs w:val="22"/>
              <w:u w:val="none"/>
              <w:shd w:fill="auto" w:val="clear"/>
              <w:vertAlign w:val="baseline"/>
            </w:rPr>
          </w:pPr>
          <w:hyperlink w:anchor="_9ygu2wn5rrn6">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hyperlink>
          <w:hyperlink w:anchor="_9ygu2wn5rrn6">
            <w:r w:rsidDel="00000000" w:rsidR="00000000" w:rsidRPr="00000000">
              <w:rPr>
                <w:rFonts w:ascii="Calibri" w:cs="Calibri" w:eastAsia="Calibri" w:hAnsi="Calibri"/>
                <w:sz w:val="24"/>
                <w:szCs w:val="24"/>
                <w:rtl w:val="0"/>
              </w:rPr>
              <w:t xml:space="preserve">AXIS</w:t>
            </w:r>
          </w:hyperlink>
          <w:hyperlink w:anchor="_9ygu2wn5rrn6">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 </w:t>
            </w:r>
          </w:hyperlink>
          <w:hyperlink w:anchor="_9ygu2wn5rrn6">
            <w:r w:rsidDel="00000000" w:rsidR="00000000" w:rsidRPr="00000000">
              <w:rPr>
                <w:rFonts w:ascii="Calibri" w:cs="Calibri" w:eastAsia="Calibri" w:hAnsi="Calibri"/>
                <w:sz w:val="24"/>
                <w:szCs w:val="24"/>
                <w:rtl w:val="0"/>
              </w:rPr>
              <w:t xml:space="preserve">Equal treatment and access to public services</w:t>
            </w:r>
          </w:hyperlink>
          <w:hyperlink w:anchor="_9ygu2wn5rrn6">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rtl w:val="0"/>
            </w:rPr>
            <w:t xml:space="preserve">7</w:t>
          </w:r>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360" w:firstLine="0"/>
            <w:rPr>
              <w:rFonts w:ascii="Calibri" w:cs="Calibri" w:eastAsia="Calibri" w:hAnsi="Calibri"/>
              <w:i w:val="0"/>
              <w:smallCaps w:val="0"/>
              <w:strike w:val="0"/>
              <w:color w:val="000000"/>
              <w:sz w:val="22"/>
              <w:szCs w:val="22"/>
              <w:u w:val="none"/>
              <w:shd w:fill="auto" w:val="clear"/>
              <w:vertAlign w:val="baseline"/>
            </w:rPr>
          </w:pPr>
          <w:hyperlink w:anchor="_gtw8hl1ymf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AXIS 2. </w:t>
            </w:r>
          </w:hyperlink>
          <w:hyperlink w:anchor="_gtw8hl1ymfpr">
            <w:r w:rsidDel="00000000" w:rsidR="00000000" w:rsidRPr="00000000">
              <w:rPr>
                <w:rFonts w:ascii="Calibri" w:cs="Calibri" w:eastAsia="Calibri" w:hAnsi="Calibri"/>
                <w:sz w:val="24"/>
                <w:szCs w:val="24"/>
                <w:rtl w:val="0"/>
              </w:rPr>
              <w:t xml:space="preserve">Socio-economic integration and promotion of decent work</w:t>
            </w:r>
          </w:hyperlink>
          <w:hyperlink w:anchor="_gtw8hl1ymf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tab/>
            </w:r>
          </w:hyperlink>
          <w:r w:rsidDel="00000000" w:rsidR="00000000" w:rsidRPr="00000000">
            <w:rPr>
              <w:rFonts w:ascii="Calibri" w:cs="Calibri" w:eastAsia="Calibri" w:hAnsi="Calibri"/>
              <w:rtl w:val="0"/>
            </w:rPr>
            <w:t xml:space="preserve">7</w:t>
          </w:r>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360" w:firstLine="0"/>
            <w:rPr>
              <w:rFonts w:ascii="Calibri" w:cs="Calibri" w:eastAsia="Calibri" w:hAnsi="Calibri"/>
              <w:i w:val="0"/>
              <w:smallCaps w:val="0"/>
              <w:strike w:val="0"/>
              <w:color w:val="000000"/>
              <w:sz w:val="22"/>
              <w:szCs w:val="22"/>
              <w:u w:val="none"/>
              <w:shd w:fill="auto" w:val="clear"/>
              <w:vertAlign w:val="baseline"/>
            </w:rPr>
          </w:pPr>
          <w:hyperlink w:anchor="_7fdwwve6o95i">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hyperlink>
          <w:hyperlink w:anchor="_gtw8hl1ymfpr">
            <w:r w:rsidDel="00000000" w:rsidR="00000000" w:rsidRPr="00000000">
              <w:rPr>
                <w:rFonts w:ascii="Calibri" w:cs="Calibri" w:eastAsia="Calibri" w:hAnsi="Calibri"/>
                <w:sz w:val="24"/>
                <w:szCs w:val="24"/>
                <w:rtl w:val="0"/>
              </w:rPr>
              <w:t xml:space="preserve">AXIS</w:t>
            </w:r>
          </w:hyperlink>
          <w:hyperlink w:anchor="_7fdwwve6o95i">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3. </w:t>
            </w:r>
          </w:hyperlink>
          <w:hyperlink w:anchor="_7fdwwve6o95i">
            <w:r w:rsidDel="00000000" w:rsidR="00000000" w:rsidRPr="00000000">
              <w:rPr>
                <w:rFonts w:ascii="Calibri" w:cs="Calibri" w:eastAsia="Calibri" w:hAnsi="Calibri"/>
                <w:sz w:val="24"/>
                <w:szCs w:val="24"/>
                <w:rtl w:val="0"/>
              </w:rPr>
              <w:t xml:space="preserve">Interculturality and diversity</w:t>
            </w:r>
          </w:hyperlink>
          <w:hyperlink w:anchor="_7fdwwve6o95i">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tab/>
            </w:r>
          </w:hyperlink>
          <w:r w:rsidDel="00000000" w:rsidR="00000000" w:rsidRPr="00000000">
            <w:rPr>
              <w:rFonts w:ascii="Calibri" w:cs="Calibri" w:eastAsia="Calibri" w:hAnsi="Calibri"/>
              <w:rtl w:val="0"/>
            </w:rPr>
            <w:t xml:space="preserve">8</w:t>
          </w:r>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360" w:firstLine="0"/>
            <w:rPr>
              <w:rFonts w:ascii="Calibri" w:cs="Calibri" w:eastAsia="Calibri" w:hAnsi="Calibri"/>
              <w:i w:val="0"/>
              <w:smallCaps w:val="0"/>
              <w:strike w:val="0"/>
              <w:color w:val="000000"/>
              <w:sz w:val="22"/>
              <w:szCs w:val="22"/>
              <w:u w:val="none"/>
              <w:shd w:fill="auto" w:val="clear"/>
              <w:vertAlign w:val="baseline"/>
            </w:rPr>
          </w:pPr>
          <w:hyperlink w:anchor="_s6b0dnpytjad">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hyperlink>
          <w:hyperlink w:anchor="_gtw8hl1ymfpr">
            <w:r w:rsidDel="00000000" w:rsidR="00000000" w:rsidRPr="00000000">
              <w:rPr>
                <w:rFonts w:ascii="Calibri" w:cs="Calibri" w:eastAsia="Calibri" w:hAnsi="Calibri"/>
                <w:sz w:val="24"/>
                <w:szCs w:val="24"/>
                <w:rtl w:val="0"/>
              </w:rPr>
              <w:t xml:space="preserve">AXIS</w:t>
            </w:r>
          </w:hyperlink>
          <w:hyperlink w:anchor="_s6b0dnpytjad">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4. </w:t>
            </w:r>
          </w:hyperlink>
          <w:hyperlink w:anchor="_s6b0dnpytjad">
            <w:r w:rsidDel="00000000" w:rsidR="00000000" w:rsidRPr="00000000">
              <w:rPr>
                <w:rFonts w:ascii="Calibri" w:cs="Calibri" w:eastAsia="Calibri" w:hAnsi="Calibri"/>
                <w:sz w:val="24"/>
                <w:szCs w:val="24"/>
                <w:rtl w:val="0"/>
              </w:rPr>
              <w:t xml:space="preserve">Governance and social participation</w:t>
            </w:r>
          </w:hyperlink>
          <w:hyperlink w:anchor="_s6b0dnpytjad">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tab/>
            </w:r>
          </w:hyperlink>
          <w:r w:rsidDel="00000000" w:rsidR="00000000" w:rsidRPr="00000000">
            <w:rPr>
              <w:rFonts w:ascii="Calibri" w:cs="Calibri" w:eastAsia="Calibri" w:hAnsi="Calibri"/>
              <w:rtl w:val="0"/>
            </w:rPr>
            <w:t xml:space="preserve">8</w:t>
          </w:r>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360" w:firstLine="0"/>
            <w:rPr>
              <w:rFonts w:ascii="Calibri" w:cs="Calibri" w:eastAsia="Calibri" w:hAnsi="Calibri"/>
              <w:i w:val="0"/>
              <w:smallCaps w:val="0"/>
              <w:strike w:val="0"/>
              <w:color w:val="000000"/>
              <w:sz w:val="22"/>
              <w:szCs w:val="22"/>
              <w:u w:val="none"/>
              <w:shd w:fill="auto" w:val="clear"/>
              <w:vertAlign w:val="baseline"/>
            </w:rPr>
          </w:pPr>
          <w:hyperlink w:anchor="_j8221pwc1hdu">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hyperlink>
          <w:hyperlink w:anchor="_gtw8hl1ymfpr">
            <w:r w:rsidDel="00000000" w:rsidR="00000000" w:rsidRPr="00000000">
              <w:rPr>
                <w:rFonts w:ascii="Calibri" w:cs="Calibri" w:eastAsia="Calibri" w:hAnsi="Calibri"/>
                <w:sz w:val="24"/>
                <w:szCs w:val="24"/>
                <w:rtl w:val="0"/>
              </w:rPr>
              <w:t xml:space="preserve">AXIS</w:t>
            </w:r>
          </w:hyperlink>
          <w:hyperlink w:anchor="_j8221pwc1hdu">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5. </w:t>
            </w:r>
          </w:hyperlink>
          <w:hyperlink w:anchor="_j8221pwc1hdu">
            <w:r w:rsidDel="00000000" w:rsidR="00000000" w:rsidRPr="00000000">
              <w:rPr>
                <w:rFonts w:ascii="Calibri" w:cs="Calibri" w:eastAsia="Calibri" w:hAnsi="Calibri"/>
                <w:sz w:val="24"/>
                <w:szCs w:val="24"/>
                <w:rtl w:val="0"/>
              </w:rPr>
              <w:t xml:space="preserve">Migration and document regularization</w:t>
            </w:r>
          </w:hyperlink>
          <w:hyperlink w:anchor="_j8221pwc1hdu">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tab/>
            </w:r>
          </w:hyperlink>
          <w:r w:rsidDel="00000000" w:rsidR="00000000" w:rsidRPr="00000000">
            <w:rPr>
              <w:rFonts w:ascii="Calibri" w:cs="Calibri" w:eastAsia="Calibri" w:hAnsi="Calibri"/>
              <w:rtl w:val="0"/>
            </w:rPr>
            <w:t xml:space="preserve">9</w:t>
          </w:r>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360" w:firstLine="0"/>
            <w:rPr>
              <w:rFonts w:ascii="Calibri" w:cs="Calibri" w:eastAsia="Calibri" w:hAnsi="Calibri"/>
              <w:i w:val="0"/>
              <w:smallCaps w:val="0"/>
              <w:strike w:val="0"/>
              <w:color w:val="000000"/>
              <w:sz w:val="22"/>
              <w:szCs w:val="22"/>
              <w:u w:val="none"/>
              <w:shd w:fill="auto" w:val="clear"/>
              <w:vertAlign w:val="baseline"/>
            </w:rPr>
          </w:pPr>
          <w:hyperlink w:anchor="_u3liyx36hi9x">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hyperlink>
          <w:hyperlink w:anchor="_gtw8hl1ymfpr">
            <w:r w:rsidDel="00000000" w:rsidR="00000000" w:rsidRPr="00000000">
              <w:rPr>
                <w:rFonts w:ascii="Calibri" w:cs="Calibri" w:eastAsia="Calibri" w:hAnsi="Calibri"/>
                <w:sz w:val="24"/>
                <w:szCs w:val="24"/>
                <w:rtl w:val="0"/>
              </w:rPr>
              <w:t xml:space="preserve">AXIS</w:t>
            </w:r>
          </w:hyperlink>
          <w:hyperlink w:anchor="_u3liyx36hi9x">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6. </w:t>
            </w:r>
          </w:hyperlink>
          <w:hyperlink w:anchor="_u3liyx36hi9x">
            <w:r w:rsidDel="00000000" w:rsidR="00000000" w:rsidRPr="00000000">
              <w:rPr>
                <w:rFonts w:ascii="Calibri" w:cs="Calibri" w:eastAsia="Calibri" w:hAnsi="Calibri"/>
                <w:sz w:val="24"/>
                <w:szCs w:val="24"/>
                <w:rtl w:val="0"/>
              </w:rPr>
              <w:t xml:space="preserve">Confronting rights violations</w:t>
            </w:r>
          </w:hyperlink>
          <w:hyperlink w:anchor="_u3liyx36hi9x">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tab/>
            </w:r>
          </w:hyperlink>
          <w:r w:rsidDel="00000000" w:rsidR="00000000" w:rsidRPr="00000000">
            <w:rPr>
              <w:rFonts w:ascii="Calibri" w:cs="Calibri" w:eastAsia="Calibri" w:hAnsi="Calibri"/>
              <w:rtl w:val="0"/>
            </w:rPr>
            <w:t xml:space="preserve">9</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E">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pStyle w:val="Heading1"/>
        <w:spacing w:after="200" w:lineRule="auto"/>
        <w:rPr/>
      </w:pPr>
      <w:bookmarkStart w:colFirst="0" w:colLast="0" w:name="_d8jt1byu5cv1" w:id="2"/>
      <w:bookmarkEnd w:id="2"/>
      <w:r w:rsidDel="00000000" w:rsidR="00000000" w:rsidRPr="00000000">
        <w:rPr>
          <w:rtl w:val="0"/>
        </w:rPr>
        <w:t xml:space="preserve">— GLOSSARY —</w:t>
      </w:r>
    </w:p>
    <w:p w:rsidR="00000000" w:rsidDel="00000000" w:rsidP="00000000" w:rsidRDefault="00000000" w:rsidRPr="00000000" w14:paraId="0000006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Interculturality: </w:t>
      </w:r>
      <w:r w:rsidDel="00000000" w:rsidR="00000000" w:rsidRPr="00000000">
        <w:rPr>
          <w:rFonts w:ascii="Calibri" w:cs="Calibri" w:eastAsia="Calibri" w:hAnsi="Calibri"/>
          <w:sz w:val="24"/>
          <w:szCs w:val="24"/>
          <w:rtl w:val="0"/>
        </w:rPr>
        <w:t xml:space="preserve">refers to proposing and building egalitarian forms of contact between cultures, taking into account all the political, social and economic aspects that permeate them in order to reduce any perception of hierarchies.</w:t>
      </w:r>
    </w:p>
    <w:p w:rsidR="00000000" w:rsidDel="00000000" w:rsidP="00000000" w:rsidRDefault="00000000" w:rsidRPr="00000000" w14:paraId="00000070">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1">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Socio-economic insertion: </w:t>
      </w:r>
      <w:r w:rsidDel="00000000" w:rsidR="00000000" w:rsidRPr="00000000">
        <w:rPr>
          <w:rFonts w:ascii="Calibri" w:cs="Calibri" w:eastAsia="Calibri" w:hAnsi="Calibri"/>
          <w:sz w:val="24"/>
          <w:szCs w:val="24"/>
          <w:rtl w:val="0"/>
        </w:rPr>
        <w:t xml:space="preserve">the social and economic insertion of marginalized people into society through public policies. </w:t>
      </w:r>
    </w:p>
    <w:p w:rsidR="00000000" w:rsidDel="00000000" w:rsidP="00000000" w:rsidRDefault="00000000" w:rsidRPr="00000000" w14:paraId="00000072">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Decent Work: </w:t>
      </w:r>
      <w:r w:rsidDel="00000000" w:rsidR="00000000" w:rsidRPr="00000000">
        <w:rPr>
          <w:rFonts w:ascii="Calibri" w:cs="Calibri" w:eastAsia="Calibri" w:hAnsi="Calibri"/>
          <w:sz w:val="24"/>
          <w:szCs w:val="24"/>
          <w:rtl w:val="0"/>
        </w:rPr>
        <w:t xml:space="preserve">Productive work that is adequately remunerated and carried out in conditions of freedom, equity and security.</w:t>
      </w:r>
    </w:p>
    <w:p w:rsidR="00000000" w:rsidDel="00000000" w:rsidP="00000000" w:rsidRDefault="00000000" w:rsidRPr="00000000" w14:paraId="00000074">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5">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Migrant: </w:t>
      </w:r>
      <w:r w:rsidDel="00000000" w:rsidR="00000000" w:rsidRPr="00000000">
        <w:rPr>
          <w:rFonts w:ascii="Calibri" w:cs="Calibri" w:eastAsia="Calibri" w:hAnsi="Calibri"/>
          <w:sz w:val="24"/>
          <w:szCs w:val="24"/>
          <w:rtl w:val="0"/>
        </w:rPr>
        <w:t xml:space="preserve">A person who moves from their habitual place of residence to another country and settles there temporarily or permanently. </w:t>
      </w:r>
    </w:p>
    <w:p w:rsidR="00000000" w:rsidDel="00000000" w:rsidP="00000000" w:rsidRDefault="00000000" w:rsidRPr="00000000" w14:paraId="00000076">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7">
      <w:pPr>
        <w:spacing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Refugee: </w:t>
      </w:r>
      <w:r w:rsidDel="00000000" w:rsidR="00000000" w:rsidRPr="00000000">
        <w:rPr>
          <w:rFonts w:ascii="Calibri" w:cs="Calibri" w:eastAsia="Calibri" w:hAnsi="Calibri"/>
          <w:sz w:val="24"/>
          <w:szCs w:val="24"/>
          <w:rtl w:val="0"/>
        </w:rPr>
        <w:t xml:space="preserve">A person who, due to well-founded fears of persecution for reasons of race, religion, nationality, social group or political opinion, or due to a serious and widespread violation of human rights, is forced to leave his or her country of nationality to seek international protection in another country, under the terms of Law No. 9,474 of July 22, 1997. </w:t>
      </w:r>
    </w:p>
    <w:p w:rsidR="00000000" w:rsidDel="00000000" w:rsidP="00000000" w:rsidRDefault="00000000" w:rsidRPr="00000000" w14:paraId="00000078">
      <w:pPr>
        <w:spacing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9">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Stateless person: </w:t>
      </w:r>
      <w:r w:rsidDel="00000000" w:rsidR="00000000" w:rsidRPr="00000000">
        <w:rPr>
          <w:rFonts w:ascii="Calibri" w:cs="Calibri" w:eastAsia="Calibri" w:hAnsi="Calibri"/>
          <w:sz w:val="24"/>
          <w:szCs w:val="24"/>
          <w:rtl w:val="0"/>
        </w:rPr>
        <w:t xml:space="preserve">A person who is not considered a national by any State, according to its legislation, under the terms of the 1954 Convention on the Status of Stateless Persons, promulgated by Decree No. 4,246, of May 22, 2002, or recognized as such by the Brazilian State, in accordance with the provisions of Law No. 13,445, of May 24, 2017</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7A">
      <w:pPr>
        <w:pStyle w:val="Heading1"/>
        <w:spacing w:line="276" w:lineRule="auto"/>
        <w:jc w:val="both"/>
        <w:rPr>
          <w:color w:val="000000"/>
        </w:rPr>
      </w:pPr>
      <w:bookmarkStart w:colFirst="0" w:colLast="0" w:name="_up6mc54fvfzw" w:id="3"/>
      <w:bookmarkEnd w:id="3"/>
      <w:r w:rsidDel="00000000" w:rsidR="00000000" w:rsidRPr="00000000">
        <w:rPr>
          <w:rtl w:val="0"/>
        </w:rPr>
      </w:r>
    </w:p>
    <w:p w:rsidR="00000000" w:rsidDel="00000000" w:rsidP="00000000" w:rsidRDefault="00000000" w:rsidRPr="00000000" w14:paraId="0000007B">
      <w:pPr>
        <w:pStyle w:val="Heading1"/>
        <w:spacing w:line="276" w:lineRule="auto"/>
        <w:jc w:val="both"/>
        <w:rPr>
          <w:b w:val="0"/>
          <w:color w:val="000000"/>
        </w:rPr>
      </w:pPr>
      <w:bookmarkStart w:colFirst="0" w:colLast="0" w:name="_h1pz6jjpsx6z" w:id="4"/>
      <w:bookmarkEnd w:id="4"/>
      <w:r w:rsidDel="00000000" w:rsidR="00000000" w:rsidRPr="00000000">
        <w:rPr>
          <w:color w:val="000000"/>
          <w:rtl w:val="0"/>
        </w:rPr>
        <w:t xml:space="preserve">Brazilian person abroad:</w:t>
      </w:r>
      <w:r w:rsidDel="00000000" w:rsidR="00000000" w:rsidRPr="00000000">
        <w:rPr>
          <w:b w:val="0"/>
          <w:color w:val="000000"/>
          <w:rtl w:val="0"/>
        </w:rPr>
        <w:t xml:space="preserve"> Brazilian person who settles temporarily or permanently abroad.</w:t>
      </w:r>
    </w:p>
    <w:p w:rsidR="00000000" w:rsidDel="00000000" w:rsidP="00000000" w:rsidRDefault="00000000" w:rsidRPr="00000000" w14:paraId="0000007C">
      <w:pPr>
        <w:pStyle w:val="Heading1"/>
        <w:spacing w:line="276" w:lineRule="auto"/>
        <w:jc w:val="both"/>
        <w:rPr>
          <w:color w:val="000000"/>
        </w:rPr>
      </w:pPr>
      <w:bookmarkStart w:colFirst="0" w:colLast="0" w:name="_7z4cu8qhow1p" w:id="5"/>
      <w:bookmarkEnd w:id="5"/>
      <w:r w:rsidDel="00000000" w:rsidR="00000000" w:rsidRPr="00000000">
        <w:rPr>
          <w:rtl w:val="0"/>
        </w:rPr>
      </w:r>
    </w:p>
    <w:p w:rsidR="00000000" w:rsidDel="00000000" w:rsidP="00000000" w:rsidRDefault="00000000" w:rsidRPr="00000000" w14:paraId="0000007D">
      <w:pPr>
        <w:pStyle w:val="Heading1"/>
        <w:spacing w:line="276" w:lineRule="auto"/>
        <w:jc w:val="both"/>
        <w:rPr>
          <w:b w:val="0"/>
          <w:color w:val="000000"/>
        </w:rPr>
      </w:pPr>
      <w:bookmarkStart w:colFirst="0" w:colLast="0" w:name="_j7354vq0xun4" w:id="6"/>
      <w:bookmarkEnd w:id="6"/>
      <w:r w:rsidDel="00000000" w:rsidR="00000000" w:rsidRPr="00000000">
        <w:rPr>
          <w:color w:val="000000"/>
          <w:rtl w:val="0"/>
        </w:rPr>
        <w:t xml:space="preserve">Returning Brazilian person:</w:t>
      </w:r>
      <w:r w:rsidDel="00000000" w:rsidR="00000000" w:rsidRPr="00000000">
        <w:rPr>
          <w:b w:val="0"/>
          <w:color w:val="000000"/>
          <w:rtl w:val="0"/>
        </w:rPr>
        <w:t xml:space="preserve"> Brazilian person who returns to Brazil after settling temporarily or permanently abroad.</w:t>
      </w:r>
    </w:p>
    <w:p w:rsidR="00000000" w:rsidDel="00000000" w:rsidP="00000000" w:rsidRDefault="00000000" w:rsidRPr="00000000" w14:paraId="0000007E">
      <w:pPr>
        <w:pStyle w:val="Heading1"/>
        <w:spacing w:line="276" w:lineRule="auto"/>
        <w:jc w:val="both"/>
        <w:rPr>
          <w:color w:val="000000"/>
        </w:rPr>
      </w:pPr>
      <w:bookmarkStart w:colFirst="0" w:colLast="0" w:name="_xc3u7nercj5h" w:id="7"/>
      <w:bookmarkEnd w:id="7"/>
      <w:r w:rsidDel="00000000" w:rsidR="00000000" w:rsidRPr="00000000">
        <w:rPr>
          <w:rtl w:val="0"/>
        </w:rPr>
      </w:r>
    </w:p>
    <w:p w:rsidR="00000000" w:rsidDel="00000000" w:rsidP="00000000" w:rsidRDefault="00000000" w:rsidRPr="00000000" w14:paraId="0000007F">
      <w:pPr>
        <w:pStyle w:val="Heading1"/>
        <w:spacing w:line="276" w:lineRule="auto"/>
        <w:jc w:val="both"/>
        <w:rPr>
          <w:b w:val="0"/>
          <w:color w:val="000000"/>
        </w:rPr>
      </w:pPr>
      <w:bookmarkStart w:colFirst="0" w:colLast="0" w:name="_h1pz6jjpsx6z" w:id="4"/>
      <w:bookmarkEnd w:id="4"/>
      <w:r w:rsidDel="00000000" w:rsidR="00000000" w:rsidRPr="00000000">
        <w:rPr>
          <w:color w:val="000000"/>
          <w:rtl w:val="0"/>
        </w:rPr>
        <w:t xml:space="preserve">Work analogous to slavery:</w:t>
      </w:r>
      <w:r w:rsidDel="00000000" w:rsidR="00000000" w:rsidRPr="00000000">
        <w:rPr>
          <w:b w:val="0"/>
          <w:color w:val="000000"/>
          <w:rtl w:val="0"/>
        </w:rPr>
        <w:t xml:space="preserve"> Forced activity carried out under degrading conditions and/or exhausting working hours, where the person may be prevented from leaving their place of work.</w:t>
      </w:r>
    </w:p>
    <w:p w:rsidR="00000000" w:rsidDel="00000000" w:rsidP="00000000" w:rsidRDefault="00000000" w:rsidRPr="00000000" w14:paraId="00000080">
      <w:pPr>
        <w:pStyle w:val="Heading1"/>
        <w:spacing w:line="276" w:lineRule="auto"/>
        <w:jc w:val="both"/>
        <w:rPr>
          <w:color w:val="000000"/>
        </w:rPr>
      </w:pPr>
      <w:bookmarkStart w:colFirst="0" w:colLast="0" w:name="_13eyjdvh3mut" w:id="8"/>
      <w:bookmarkEnd w:id="8"/>
      <w:r w:rsidDel="00000000" w:rsidR="00000000" w:rsidRPr="00000000">
        <w:rPr>
          <w:rtl w:val="0"/>
        </w:rPr>
      </w:r>
    </w:p>
    <w:p w:rsidR="00000000" w:rsidDel="00000000" w:rsidP="00000000" w:rsidRDefault="00000000" w:rsidRPr="00000000" w14:paraId="00000081">
      <w:pPr>
        <w:pStyle w:val="Heading1"/>
        <w:spacing w:line="276" w:lineRule="auto"/>
        <w:jc w:val="both"/>
        <w:rPr>
          <w:b w:val="0"/>
          <w:color w:val="000000"/>
        </w:rPr>
      </w:pPr>
      <w:bookmarkStart w:colFirst="0" w:colLast="0" w:name="_h1pz6jjpsx6z" w:id="4"/>
      <w:bookmarkEnd w:id="4"/>
      <w:r w:rsidDel="00000000" w:rsidR="00000000" w:rsidRPr="00000000">
        <w:rPr>
          <w:color w:val="000000"/>
          <w:rtl w:val="0"/>
        </w:rPr>
        <w:t xml:space="preserve">Child labor:</w:t>
      </w:r>
      <w:r w:rsidDel="00000000" w:rsidR="00000000" w:rsidRPr="00000000">
        <w:rPr>
          <w:b w:val="0"/>
          <w:color w:val="000000"/>
          <w:rtl w:val="0"/>
        </w:rPr>
        <w:t xml:space="preserve"> Work carried out by children and adolescents under the age of 16 in Brazil. Between the ages of 14 and 16, work is permitted only as an apprentice. </w:t>
      </w:r>
    </w:p>
    <w:p w:rsidR="00000000" w:rsidDel="00000000" w:rsidP="00000000" w:rsidRDefault="00000000" w:rsidRPr="00000000" w14:paraId="00000082">
      <w:pPr>
        <w:pStyle w:val="Heading1"/>
        <w:spacing w:line="276" w:lineRule="auto"/>
        <w:jc w:val="both"/>
        <w:rPr>
          <w:color w:val="000000"/>
        </w:rPr>
      </w:pPr>
      <w:bookmarkStart w:colFirst="0" w:colLast="0" w:name="_xh889csnjqzz" w:id="9"/>
      <w:bookmarkEnd w:id="9"/>
      <w:r w:rsidDel="00000000" w:rsidR="00000000" w:rsidRPr="00000000">
        <w:rPr>
          <w:rtl w:val="0"/>
        </w:rPr>
      </w:r>
    </w:p>
    <w:p w:rsidR="00000000" w:rsidDel="00000000" w:rsidP="00000000" w:rsidRDefault="00000000" w:rsidRPr="00000000" w14:paraId="00000083">
      <w:pPr>
        <w:pStyle w:val="Heading1"/>
        <w:spacing w:line="276" w:lineRule="auto"/>
        <w:jc w:val="both"/>
        <w:rPr>
          <w:b w:val="0"/>
          <w:color w:val="000000"/>
        </w:rPr>
      </w:pPr>
      <w:bookmarkStart w:colFirst="0" w:colLast="0" w:name="_h1pz6jjpsx6z" w:id="4"/>
      <w:bookmarkEnd w:id="4"/>
      <w:r w:rsidDel="00000000" w:rsidR="00000000" w:rsidRPr="00000000">
        <w:rPr>
          <w:color w:val="000000"/>
          <w:rtl w:val="0"/>
        </w:rPr>
        <w:t xml:space="preserve">Trafficking in persons:</w:t>
      </w:r>
      <w:r w:rsidDel="00000000" w:rsidR="00000000" w:rsidRPr="00000000">
        <w:rPr>
          <w:b w:val="0"/>
          <w:color w:val="000000"/>
          <w:rtl w:val="0"/>
        </w:rPr>
        <w:t xml:space="preserve"> the act of procuring, enticing, recruiting, transporting, transferring, buying, harboring or receiving persons, by means of serious threat, violence, coercion, fraud or abuse. </w:t>
      </w:r>
    </w:p>
    <w:p w:rsidR="00000000" w:rsidDel="00000000" w:rsidP="00000000" w:rsidRDefault="00000000" w:rsidRPr="00000000" w14:paraId="00000084">
      <w:pPr>
        <w:pStyle w:val="Heading1"/>
        <w:spacing w:line="276" w:lineRule="auto"/>
        <w:jc w:val="both"/>
        <w:rPr>
          <w:color w:val="000000"/>
        </w:rPr>
      </w:pPr>
      <w:bookmarkStart w:colFirst="0" w:colLast="0" w:name="_31s9nybs52rp" w:id="10"/>
      <w:bookmarkEnd w:id="10"/>
      <w:r w:rsidDel="00000000" w:rsidR="00000000" w:rsidRPr="00000000">
        <w:rPr>
          <w:rtl w:val="0"/>
        </w:rPr>
      </w:r>
    </w:p>
    <w:p w:rsidR="00000000" w:rsidDel="00000000" w:rsidP="00000000" w:rsidRDefault="00000000" w:rsidRPr="00000000" w14:paraId="00000085">
      <w:pPr>
        <w:pStyle w:val="Heading1"/>
        <w:spacing w:line="276" w:lineRule="auto"/>
        <w:jc w:val="both"/>
        <w:rPr>
          <w:b w:val="0"/>
          <w:color w:val="000000"/>
        </w:rPr>
      </w:pPr>
      <w:bookmarkStart w:colFirst="0" w:colLast="0" w:name="_6ni3mlui2m3q" w:id="11"/>
      <w:bookmarkEnd w:id="11"/>
      <w:r w:rsidDel="00000000" w:rsidR="00000000" w:rsidRPr="00000000">
        <w:rPr>
          <w:color w:val="000000"/>
          <w:rtl w:val="0"/>
        </w:rPr>
        <w:t xml:space="preserve">People smuggling:</w:t>
      </w:r>
      <w:r w:rsidDel="00000000" w:rsidR="00000000" w:rsidRPr="00000000">
        <w:rPr>
          <w:b w:val="0"/>
          <w:color w:val="000000"/>
          <w:rtl w:val="0"/>
        </w:rPr>
        <w:t xml:space="preserve"> the act, by an enticer, of facilitating the irregular entry of a person into a state of which they are not a national or permanent resident, with the aim of obtaining, directly or indirectly, a financial or material benefit. </w:t>
      </w:r>
    </w:p>
    <w:p w:rsidR="00000000" w:rsidDel="00000000" w:rsidP="00000000" w:rsidRDefault="00000000" w:rsidRPr="00000000" w14:paraId="00000086">
      <w:pPr>
        <w:pStyle w:val="Heading1"/>
        <w:spacing w:line="276" w:lineRule="auto"/>
        <w:jc w:val="both"/>
        <w:rPr>
          <w:b w:val="0"/>
          <w:color w:val="000000"/>
        </w:rPr>
      </w:pPr>
      <w:bookmarkStart w:colFirst="0" w:colLast="0" w:name="_h1pz6jjpsx6z" w:id="4"/>
      <w:bookmarkEnd w:id="4"/>
      <w:r w:rsidDel="00000000" w:rsidR="00000000" w:rsidRPr="00000000">
        <w:rPr>
          <w:rtl w:val="0"/>
        </w:rPr>
      </w:r>
    </w:p>
    <w:p w:rsidR="00000000" w:rsidDel="00000000" w:rsidP="00000000" w:rsidRDefault="00000000" w:rsidRPr="00000000" w14:paraId="0000008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8">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B">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F">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1">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8">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pStyle w:val="Heading1"/>
        <w:spacing w:after="200" w:lineRule="auto"/>
        <w:jc w:val="center"/>
        <w:rPr/>
      </w:pPr>
      <w:bookmarkStart w:colFirst="0" w:colLast="0" w:name="_vjxfa1yz0hxy" w:id="12"/>
      <w:bookmarkEnd w:id="12"/>
      <w:r w:rsidDel="00000000" w:rsidR="00000000" w:rsidRPr="00000000">
        <w:rPr>
          <w:rtl w:val="0"/>
        </w:rPr>
        <w:t xml:space="preserve">— PRESENTATION— </w:t>
      </w:r>
    </w:p>
    <w:p w:rsidR="00000000" w:rsidDel="00000000" w:rsidP="00000000" w:rsidRDefault="00000000" w:rsidRPr="00000000" w14:paraId="0000009C">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National Secretariat of Justice, through the publication of Ordinance SENAJUS/MJSP No. 81, of 20 September 2023, began the process of organizing and mobilizing for the 2nd National Conference on Migration, Refuge and Statelessness - 2nd COMIGRAR, reaffirming the commitment of the Brazilian State to defending the rights of the migrant, refugee and stateless population and resuming the debate and mobilization around the improvement of national, state, municipal and Federal District public policies aimed at this public. </w:t>
      </w:r>
    </w:p>
    <w:p w:rsidR="00000000" w:rsidDel="00000000" w:rsidP="00000000" w:rsidRDefault="00000000" w:rsidRPr="00000000" w14:paraId="0000009D">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2nd COMIGRAR is a national mobilization initiative for the various social, political and institutional actors interested in the issue of migration, refuge and statelessness: migrants, refugees and stateless people, their groups and associations, public service workers, researchers, civil servants, civil society organizations and members of trade associations. It will highlight society's main demands and contributions, pointing out ways in which the Federal Government can make the rights of the migrant, refugee and stateless population, Brazilian returnees and those abroad, more effective.</w:t>
      </w:r>
    </w:p>
    <w:p w:rsidR="00000000" w:rsidDel="00000000" w:rsidP="00000000" w:rsidRDefault="00000000" w:rsidRPr="00000000" w14:paraId="0000009E">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Conference will consist of two phases</w:t>
      </w:r>
      <w:r w:rsidDel="00000000" w:rsidR="00000000" w:rsidRPr="00000000">
        <w:rPr>
          <w:rFonts w:ascii="Calibri" w:cs="Calibri" w:eastAsia="Calibri" w:hAnsi="Calibri"/>
          <w:sz w:val="24"/>
          <w:szCs w:val="24"/>
          <w:rtl w:val="0"/>
        </w:rPr>
        <w:t xml:space="preserve">, to be held according to the activities calendar of  I —</w:t>
      </w:r>
      <w:r w:rsidDel="00000000" w:rsidR="00000000" w:rsidRPr="00000000">
        <w:rPr>
          <w:rFonts w:ascii="Calibri" w:cs="Calibri" w:eastAsia="Calibri" w:hAnsi="Calibri"/>
          <w:b w:val="1"/>
          <w:sz w:val="24"/>
          <w:szCs w:val="24"/>
          <w:rtl w:val="0"/>
        </w:rPr>
        <w:t xml:space="preserve"> Preparatory Phase</w:t>
      </w:r>
      <w:r w:rsidDel="00000000" w:rsidR="00000000" w:rsidRPr="00000000">
        <w:rPr>
          <w:rFonts w:ascii="Calibri" w:cs="Calibri" w:eastAsia="Calibri" w:hAnsi="Calibri"/>
          <w:sz w:val="24"/>
          <w:szCs w:val="24"/>
          <w:rtl w:val="0"/>
        </w:rPr>
        <w:t xml:space="preserve">; II — </w:t>
      </w:r>
      <w:r w:rsidDel="00000000" w:rsidR="00000000" w:rsidRPr="00000000">
        <w:rPr>
          <w:rFonts w:ascii="Calibri" w:cs="Calibri" w:eastAsia="Calibri" w:hAnsi="Calibri"/>
          <w:b w:val="1"/>
          <w:sz w:val="24"/>
          <w:szCs w:val="24"/>
          <w:rtl w:val="0"/>
        </w:rPr>
        <w:t xml:space="preserve">National Conference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F">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Preparatory Phase is made up of Local Free Conferences, State Conferences and National Free Conferences, which will trigger the processes of articulation, mobilization and debate that the 2nd COMIGRAR wants to produce. The conferences will bring together the reflections, challenges and perspectives accumulated in the most diverse sectors of society with regard to migration, refuge and statelessness, based on the theme "</w:t>
      </w:r>
      <w:r w:rsidDel="00000000" w:rsidR="00000000" w:rsidRPr="00000000">
        <w:rPr>
          <w:rFonts w:ascii="Calibri" w:cs="Calibri" w:eastAsia="Calibri" w:hAnsi="Calibri"/>
          <w:b w:val="1"/>
          <w:sz w:val="24"/>
          <w:szCs w:val="24"/>
          <w:rtl w:val="0"/>
        </w:rPr>
        <w:t xml:space="preserve">Citizenship on the Move</w:t>
      </w:r>
      <w:r w:rsidDel="00000000" w:rsidR="00000000" w:rsidRPr="00000000">
        <w:rPr>
          <w:rFonts w:ascii="Calibri" w:cs="Calibri" w:eastAsia="Calibri" w:hAnsi="Calibri"/>
          <w:sz w:val="24"/>
          <w:szCs w:val="24"/>
          <w:rtl w:val="0"/>
        </w:rPr>
        <w:t xml:space="preserve">". Everything produced will serve as advisory and reference material for formulating, conducting and evaluating public policies and as a subsidy for drawing up the First National Plan for Migration, Refugees and Statelessness.</w:t>
      </w:r>
    </w:p>
    <w:p w:rsidR="00000000" w:rsidDel="00000000" w:rsidP="00000000" w:rsidRDefault="00000000" w:rsidRPr="00000000" w14:paraId="000000A0">
      <w:pPr>
        <w:spacing w:after="200" w:line="240" w:lineRule="auto"/>
        <w:jc w:val="left"/>
        <w:rPr>
          <w:rFonts w:ascii="Calibri" w:cs="Calibri" w:eastAsia="Calibri" w:hAnsi="Calibri"/>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schedule of activities and guidelines on conference modalities and registration, submission of proposals and election of delegates are detailed in the</w:t>
            </w:r>
            <w:r w:rsidDel="00000000" w:rsidR="00000000" w:rsidRPr="00000000">
              <w:rPr>
                <w:rFonts w:ascii="Calibri" w:cs="Calibri" w:eastAsia="Calibri" w:hAnsi="Calibri"/>
                <w:sz w:val="24"/>
                <w:szCs w:val="24"/>
                <w:rtl w:val="0"/>
              </w:rPr>
              <w:t xml:space="preserve"> </w:t>
            </w:r>
            <w:hyperlink r:id="rId10">
              <w:r w:rsidDel="00000000" w:rsidR="00000000" w:rsidRPr="00000000">
                <w:rPr>
                  <w:rFonts w:ascii="Calibri" w:cs="Calibri" w:eastAsia="Calibri" w:hAnsi="Calibri"/>
                  <w:color w:val="1155cc"/>
                  <w:sz w:val="24"/>
                  <w:szCs w:val="24"/>
                  <w:u w:val="single"/>
                  <w:rtl w:val="0"/>
                </w:rPr>
                <w:t xml:space="preserve">Guidance Document - Preparatory Phase</w:t>
              </w:r>
            </w:hyperlink>
            <w:r w:rsidDel="00000000" w:rsidR="00000000" w:rsidRPr="00000000">
              <w:rPr>
                <w:rFonts w:ascii="Calibri" w:cs="Calibri" w:eastAsia="Calibri" w:hAnsi="Calibri"/>
                <w:sz w:val="24"/>
                <w:szCs w:val="24"/>
                <w:rtl w:val="0"/>
              </w:rPr>
              <w:t xml:space="preserve">.</w:t>
            </w:r>
          </w:p>
        </w:tc>
      </w:tr>
    </w:tbl>
    <w:p w:rsidR="00000000" w:rsidDel="00000000" w:rsidP="00000000" w:rsidRDefault="00000000" w:rsidRPr="00000000" w14:paraId="000000A2">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6">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after="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pStyle w:val="Heading1"/>
        <w:spacing w:after="200" w:lineRule="auto"/>
        <w:rPr>
          <w:sz w:val="24"/>
          <w:szCs w:val="24"/>
        </w:rPr>
      </w:pPr>
      <w:bookmarkStart w:colFirst="0" w:colLast="0" w:name="_f3uvlhyqjks9" w:id="13"/>
      <w:bookmarkEnd w:id="13"/>
      <w:r w:rsidDel="00000000" w:rsidR="00000000" w:rsidRPr="00000000">
        <w:rPr>
          <w:rtl w:val="0"/>
        </w:rPr>
        <w:t xml:space="preserve">— GUIDELINES FOR THE DEBATE AND THE CONSTRUCTION OF PROPOSALS —</w:t>
      </w:r>
      <w:r w:rsidDel="00000000" w:rsidR="00000000" w:rsidRPr="00000000">
        <w:rPr>
          <w:rtl w:val="0"/>
        </w:rPr>
      </w:r>
    </w:p>
    <w:p w:rsidR="00000000" w:rsidDel="00000000" w:rsidP="00000000" w:rsidRDefault="00000000" w:rsidRPr="00000000" w14:paraId="000000AF">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document presents texts and questions on some recurring points in the public debate on migration, refuge and statelessness, within each of the </w:t>
      </w:r>
      <w:r w:rsidDel="00000000" w:rsidR="00000000" w:rsidRPr="00000000">
        <w:rPr>
          <w:rFonts w:ascii="Calibri" w:cs="Calibri" w:eastAsia="Calibri" w:hAnsi="Calibri"/>
          <w:b w:val="1"/>
          <w:sz w:val="24"/>
          <w:szCs w:val="24"/>
          <w:rtl w:val="0"/>
        </w:rPr>
        <w:t xml:space="preserve">six thematic axes</w:t>
      </w:r>
      <w:r w:rsidDel="00000000" w:rsidR="00000000" w:rsidRPr="00000000">
        <w:rPr>
          <w:rFonts w:ascii="Calibri" w:cs="Calibri" w:eastAsia="Calibri" w:hAnsi="Calibri"/>
          <w:sz w:val="24"/>
          <w:szCs w:val="24"/>
          <w:rtl w:val="0"/>
        </w:rPr>
        <w:t xml:space="preserve"> of the 2nd COMIGRAR, namely:</w:t>
      </w:r>
    </w:p>
    <w:p w:rsidR="00000000" w:rsidDel="00000000" w:rsidP="00000000" w:rsidRDefault="00000000" w:rsidRPr="00000000" w14:paraId="000000B0">
      <w:pPr>
        <w:numPr>
          <w:ilvl w:val="0"/>
          <w:numId w:val="3"/>
        </w:numPr>
        <w:spacing w:after="0" w:afterAutospacing="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Equal treatment and access to public services;</w:t>
      </w:r>
    </w:p>
    <w:p w:rsidR="00000000" w:rsidDel="00000000" w:rsidP="00000000" w:rsidRDefault="00000000" w:rsidRPr="00000000" w14:paraId="000000B1">
      <w:pPr>
        <w:numPr>
          <w:ilvl w:val="0"/>
          <w:numId w:val="3"/>
        </w:numPr>
        <w:spacing w:after="0" w:afterAutospacing="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Socio-economic integration and promotion of decent work;</w:t>
      </w:r>
    </w:p>
    <w:p w:rsidR="00000000" w:rsidDel="00000000" w:rsidP="00000000" w:rsidRDefault="00000000" w:rsidRPr="00000000" w14:paraId="000000B2">
      <w:pPr>
        <w:numPr>
          <w:ilvl w:val="0"/>
          <w:numId w:val="3"/>
        </w:numPr>
        <w:spacing w:after="0" w:afterAutospacing="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Interculturality and diversity;</w:t>
      </w:r>
    </w:p>
    <w:p w:rsidR="00000000" w:rsidDel="00000000" w:rsidP="00000000" w:rsidRDefault="00000000" w:rsidRPr="00000000" w14:paraId="000000B3">
      <w:pPr>
        <w:numPr>
          <w:ilvl w:val="0"/>
          <w:numId w:val="3"/>
        </w:numPr>
        <w:spacing w:after="0" w:afterAutospacing="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Governance and social participation;</w:t>
      </w:r>
    </w:p>
    <w:p w:rsidR="00000000" w:rsidDel="00000000" w:rsidP="00000000" w:rsidRDefault="00000000" w:rsidRPr="00000000" w14:paraId="000000B4">
      <w:pPr>
        <w:numPr>
          <w:ilvl w:val="0"/>
          <w:numId w:val="3"/>
        </w:numPr>
        <w:spacing w:after="0" w:afterAutospacing="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Migration and document regularization;</w:t>
      </w:r>
    </w:p>
    <w:p w:rsidR="00000000" w:rsidDel="00000000" w:rsidP="00000000" w:rsidRDefault="00000000" w:rsidRPr="00000000" w14:paraId="000000B5">
      <w:pPr>
        <w:numPr>
          <w:ilvl w:val="0"/>
          <w:numId w:val="3"/>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Tackling rights violations.</w:t>
      </w:r>
    </w:p>
    <w:p w:rsidR="00000000" w:rsidDel="00000000" w:rsidP="00000000" w:rsidRDefault="00000000" w:rsidRPr="00000000" w14:paraId="000000B6">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is a reference material for the discussions in which the proposals to be forwarded to the National Conference will be constructed. Thus, the following texts are intended to provide a </w:t>
      </w:r>
      <w:r w:rsidDel="00000000" w:rsidR="00000000" w:rsidRPr="00000000">
        <w:rPr>
          <w:rFonts w:ascii="Calibri" w:cs="Calibri" w:eastAsia="Calibri" w:hAnsi="Calibri"/>
          <w:b w:val="1"/>
          <w:sz w:val="24"/>
          <w:szCs w:val="24"/>
          <w:rtl w:val="0"/>
        </w:rPr>
        <w:t xml:space="preserve">starting point</w:t>
      </w:r>
      <w:r w:rsidDel="00000000" w:rsidR="00000000" w:rsidRPr="00000000">
        <w:rPr>
          <w:rFonts w:ascii="Calibri" w:cs="Calibri" w:eastAsia="Calibri" w:hAnsi="Calibri"/>
          <w:sz w:val="24"/>
          <w:szCs w:val="24"/>
          <w:rtl w:val="0"/>
        </w:rPr>
        <w:t xml:space="preserve"> for the debates on the thematic axes, but the discussions and development of proposals need not be limited to their content. </w:t>
      </w:r>
    </w:p>
    <w:p w:rsidR="00000000" w:rsidDel="00000000" w:rsidP="00000000" w:rsidRDefault="00000000" w:rsidRPr="00000000" w14:paraId="000000B7">
      <w:pPr>
        <w:spacing w:after="20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pStyle w:val="Heading2"/>
        <w:rPr/>
      </w:pPr>
      <w:bookmarkStart w:colFirst="0" w:colLast="0" w:name="_9ygu2wn5rrn6" w:id="14"/>
      <w:bookmarkEnd w:id="14"/>
      <w:r w:rsidDel="00000000" w:rsidR="00000000" w:rsidRPr="00000000">
        <w:rPr>
          <w:rtl w:val="0"/>
        </w:rPr>
        <w:t xml:space="preserve">— AXIS 1. Equal treatment and Access to public services —</w:t>
      </w:r>
    </w:p>
    <w:p w:rsidR="00000000" w:rsidDel="00000000" w:rsidP="00000000" w:rsidRDefault="00000000" w:rsidRPr="00000000" w14:paraId="000000B9">
      <w:pPr>
        <w:spacing w:after="20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Equality is a principle enshrined in the Brazilian Federal Constitution and in various universal public policies. It can be understood both as the equal treatment of all under the law and as the promotion of equal opportunities. However, migrants, refugees and stateless people can face obstacles in various public institutions in order to be treated in the same way as Brazilians. It is also important to produce and collect data on the migrant, refugee and stateless population in Brazil, Brazilian people abroad and returnees in order to produce public policies. That said:</w:t>
      </w:r>
    </w:p>
    <w:p w:rsidR="00000000" w:rsidDel="00000000" w:rsidP="00000000" w:rsidRDefault="00000000" w:rsidRPr="00000000" w14:paraId="000000BA">
      <w:pPr>
        <w:numPr>
          <w:ilvl w:val="0"/>
          <w:numId w:val="4"/>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are the main difficulties in accessing public services in Brazil for the migrant, refugee and stateless population? What suggestions do you have for resolving them?</w:t>
      </w:r>
    </w:p>
    <w:p w:rsidR="00000000" w:rsidDel="00000000" w:rsidP="00000000" w:rsidRDefault="00000000" w:rsidRPr="00000000" w14:paraId="000000BB">
      <w:pPr>
        <w:numPr>
          <w:ilvl w:val="0"/>
          <w:numId w:val="4"/>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can equal treatment and access to Brazilian public services be guaranteed for migrants, refugees and stateless people?</w:t>
      </w:r>
    </w:p>
    <w:p w:rsidR="00000000" w:rsidDel="00000000" w:rsidP="00000000" w:rsidRDefault="00000000" w:rsidRPr="00000000" w14:paraId="000000BC">
      <w:pPr>
        <w:numPr>
          <w:ilvl w:val="0"/>
          <w:numId w:val="4"/>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could public services improve and facilitate care and procedures for migrants, refugees and stateless people?</w:t>
      </w:r>
    </w:p>
    <w:p w:rsidR="00000000" w:rsidDel="00000000" w:rsidP="00000000" w:rsidRDefault="00000000" w:rsidRPr="00000000" w14:paraId="000000BD">
      <w:pPr>
        <w:numPr>
          <w:ilvl w:val="0"/>
          <w:numId w:val="4"/>
        </w:numPr>
        <w:spacing w:after="20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are the main difficulties in producing data on migrants, refugees and stateless people in Brazil and abroad?</w:t>
      </w:r>
    </w:p>
    <w:p w:rsidR="00000000" w:rsidDel="00000000" w:rsidP="00000000" w:rsidRDefault="00000000" w:rsidRPr="00000000" w14:paraId="000000BE">
      <w:pPr>
        <w:pStyle w:val="Heading2"/>
        <w:rPr/>
      </w:pPr>
      <w:bookmarkStart w:colFirst="0" w:colLast="0" w:name="_u4l363r91kms" w:id="15"/>
      <w:bookmarkEnd w:id="15"/>
      <w:r w:rsidDel="00000000" w:rsidR="00000000" w:rsidRPr="00000000">
        <w:rPr>
          <w:rtl w:val="0"/>
        </w:rPr>
      </w:r>
    </w:p>
    <w:p w:rsidR="00000000" w:rsidDel="00000000" w:rsidP="00000000" w:rsidRDefault="00000000" w:rsidRPr="00000000" w14:paraId="000000BF">
      <w:pPr>
        <w:pStyle w:val="Heading2"/>
        <w:rPr/>
      </w:pPr>
      <w:bookmarkStart w:colFirst="0" w:colLast="0" w:name="_gtw8hl1ymfpr" w:id="16"/>
      <w:bookmarkEnd w:id="16"/>
      <w:r w:rsidDel="00000000" w:rsidR="00000000" w:rsidRPr="00000000">
        <w:rPr>
          <w:rtl w:val="0"/>
        </w:rPr>
        <w:t xml:space="preserve">— AXIS 2. Socio-economic integration and the promotion of decent work —</w:t>
      </w:r>
    </w:p>
    <w:p w:rsidR="00000000" w:rsidDel="00000000" w:rsidP="00000000" w:rsidRDefault="00000000" w:rsidRPr="00000000" w14:paraId="000000C0">
      <w:pPr>
        <w:spacing w:after="20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socio-economic integration of migrants, refugees and stateless persons is important for the promotion of rights and local integration of this population. This axis deals with access to employment; creation of qualified jobs for migrants, refugees and stateless people; vocational training and education; access to social assistance programs; financial remittances; among others. In addition, a key point is the promotion of decent work. Therefore, measures to prevent and combat work analogous to slavery, child labor and human trafficking and smuggling can also be discussed here. Finally, strategies for the socio-economic integration of Brazilian returnees can be addressed here. Some questions may guide reflection on this topic: </w:t>
      </w:r>
    </w:p>
    <w:p w:rsidR="00000000" w:rsidDel="00000000" w:rsidP="00000000" w:rsidRDefault="00000000" w:rsidRPr="00000000" w14:paraId="000000C1">
      <w:pPr>
        <w:numPr>
          <w:ilvl w:val="0"/>
          <w:numId w:val="1"/>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difficulties do migrants, refugees and stateless people face in accessing the world of work? </w:t>
      </w:r>
    </w:p>
    <w:p w:rsidR="00000000" w:rsidDel="00000000" w:rsidP="00000000" w:rsidRDefault="00000000" w:rsidRPr="00000000" w14:paraId="000000C2">
      <w:pPr>
        <w:numPr>
          <w:ilvl w:val="0"/>
          <w:numId w:val="1"/>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can the public authorities help migrants, refugees and stateless people to integrate into society?</w:t>
      </w:r>
    </w:p>
    <w:p w:rsidR="00000000" w:rsidDel="00000000" w:rsidP="00000000" w:rsidRDefault="00000000" w:rsidRPr="00000000" w14:paraId="000000C3">
      <w:pPr>
        <w:numPr>
          <w:ilvl w:val="0"/>
          <w:numId w:val="1"/>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actions and programs can be designed to support Brazilian returnees in their socio-economic integration?</w:t>
      </w:r>
    </w:p>
    <w:p w:rsidR="00000000" w:rsidDel="00000000" w:rsidP="00000000" w:rsidRDefault="00000000" w:rsidRPr="00000000" w14:paraId="000000C4">
      <w:pPr>
        <w:numPr>
          <w:ilvl w:val="0"/>
          <w:numId w:val="1"/>
        </w:numPr>
        <w:spacing w:after="20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can we promote decent work for migrants, refugees and stateless persons?</w:t>
      </w:r>
    </w:p>
    <w:p w:rsidR="00000000" w:rsidDel="00000000" w:rsidP="00000000" w:rsidRDefault="00000000" w:rsidRPr="00000000" w14:paraId="000000C5">
      <w:pPr>
        <w:spacing w:after="200" w:line="240" w:lineRule="auto"/>
        <w:ind w:left="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C6">
      <w:pPr>
        <w:pStyle w:val="Heading2"/>
        <w:rPr/>
      </w:pPr>
      <w:bookmarkStart w:colFirst="0" w:colLast="0" w:name="_7fdwwve6o95i" w:id="17"/>
      <w:bookmarkEnd w:id="17"/>
      <w:r w:rsidDel="00000000" w:rsidR="00000000" w:rsidRPr="00000000">
        <w:rPr>
          <w:rtl w:val="0"/>
        </w:rPr>
        <w:t xml:space="preserve">— AXIS 3. Interculturality and diversity —</w:t>
      </w:r>
      <w:r w:rsidDel="00000000" w:rsidR="00000000" w:rsidRPr="00000000">
        <w:rPr>
          <w:rtl w:val="0"/>
        </w:rPr>
      </w:r>
    </w:p>
    <w:p w:rsidR="00000000" w:rsidDel="00000000" w:rsidP="00000000" w:rsidRDefault="00000000" w:rsidRPr="00000000" w14:paraId="000000C7">
      <w:pPr>
        <w:spacing w:after="20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order for migrants, refugees and stateless people to have their rights fully respected, public policies, programs and actions must pay attention to the specificities of gender, sexual orientation, age, disability, race, ethnicity, belief, religion and nationality. This axis proposes a reflection on respect and dialogue in the interaction between migrants, refugees and stateless people and professionals in public services and programs, regardless of their origin and nationality.  This issue faces a number of challenges, including legal, technical and training challenges for public management professionals. The question therefore arises:</w:t>
      </w:r>
    </w:p>
    <w:p w:rsidR="00000000" w:rsidDel="00000000" w:rsidP="00000000" w:rsidRDefault="00000000" w:rsidRPr="00000000" w14:paraId="000000C8">
      <w:pPr>
        <w:numPr>
          <w:ilvl w:val="0"/>
          <w:numId w:val="7"/>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actions can be taken by the public authorities to promote intercultural care for migrants, refugees and stateless people?</w:t>
      </w:r>
    </w:p>
    <w:p w:rsidR="00000000" w:rsidDel="00000000" w:rsidP="00000000" w:rsidRDefault="00000000" w:rsidRPr="00000000" w14:paraId="000000C9">
      <w:pPr>
        <w:numPr>
          <w:ilvl w:val="0"/>
          <w:numId w:val="7"/>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can we ensure that the issues of gender, sexual orientation, age, disability, race, ethnicity, belief, religion and nationality are taken into account when drawing up public policies, programs and actions for migrants, refugees and stateless people? What are some examples that could be adopted by Brazil?</w:t>
      </w:r>
    </w:p>
    <w:p w:rsidR="00000000" w:rsidDel="00000000" w:rsidP="00000000" w:rsidRDefault="00000000" w:rsidRPr="00000000" w14:paraId="000000CA">
      <w:pPr>
        <w:numPr>
          <w:ilvl w:val="0"/>
          <w:numId w:val="7"/>
        </w:numPr>
        <w:spacing w:after="20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can public authorities support cultural ventures by migrants, refugees and stateless people?</w:t>
      </w:r>
    </w:p>
    <w:p w:rsidR="00000000" w:rsidDel="00000000" w:rsidP="00000000" w:rsidRDefault="00000000" w:rsidRPr="00000000" w14:paraId="000000CB">
      <w:pPr>
        <w:spacing w:after="2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pStyle w:val="Heading2"/>
        <w:rPr>
          <w:sz w:val="24"/>
          <w:szCs w:val="24"/>
        </w:rPr>
      </w:pPr>
      <w:bookmarkStart w:colFirst="0" w:colLast="0" w:name="_s6b0dnpytjad" w:id="18"/>
      <w:bookmarkEnd w:id="18"/>
      <w:r w:rsidDel="00000000" w:rsidR="00000000" w:rsidRPr="00000000">
        <w:rPr>
          <w:rtl w:val="0"/>
        </w:rPr>
        <w:t xml:space="preserve">— AXIS</w:t>
      </w:r>
      <w:r w:rsidDel="00000000" w:rsidR="00000000" w:rsidRPr="00000000">
        <w:rPr>
          <w:rtl w:val="0"/>
        </w:rPr>
        <w:t xml:space="preserve"> 4. Governance and social participation —</w:t>
      </w:r>
      <w:r w:rsidDel="00000000" w:rsidR="00000000" w:rsidRPr="00000000">
        <w:rPr>
          <w:rtl w:val="0"/>
        </w:rPr>
      </w:r>
    </w:p>
    <w:p w:rsidR="00000000" w:rsidDel="00000000" w:rsidP="00000000" w:rsidRDefault="00000000" w:rsidRPr="00000000" w14:paraId="000000CD">
      <w:pPr>
        <w:spacing w:after="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Governance is understood to be the set of norms, practices and organizational structures that regulate the actions of the state. This includes the discussion of strategies to implement policies for the migrant, refugee and stateless population at all levels of government, in an intersectoral manner and with the participation of civil society. In this sense, migrants, refugees and stateless people must be given a leading role and autonomy to present the barriers imposed on their effective participation in the construction of public policies and discuss strategies to strengthen their social participation. This axis also includes the discussion of international cooperation strategies aimed at strengthening the defense of the principles of International Human Rights Law, International Refugee Law and International Humanitarian Law. The question therefore arises:</w:t>
      </w:r>
      <w:r w:rsidDel="00000000" w:rsidR="00000000" w:rsidRPr="00000000">
        <w:rPr>
          <w:rtl w:val="0"/>
        </w:rPr>
      </w:r>
    </w:p>
    <w:p w:rsidR="00000000" w:rsidDel="00000000" w:rsidP="00000000" w:rsidRDefault="00000000" w:rsidRPr="00000000" w14:paraId="000000CE">
      <w:pPr>
        <w:numPr>
          <w:ilvl w:val="0"/>
          <w:numId w:val="2"/>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are the main challenges facing municipal governments when it comes to formulating and implementing public policies for migrants, refugees and stateless people? How can the federal government support them?</w:t>
      </w:r>
    </w:p>
    <w:p w:rsidR="00000000" w:rsidDel="00000000" w:rsidP="00000000" w:rsidRDefault="00000000" w:rsidRPr="00000000" w14:paraId="000000CF">
      <w:pPr>
        <w:numPr>
          <w:ilvl w:val="0"/>
          <w:numId w:val="2"/>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are the symbolic and institutional barriers - in the federal government, municipalities, states and the Federal District - to the social and political participation of migrants, refugees and stateless people in spaces such as councils and committees? What strategies can be devised to tackle them?</w:t>
      </w:r>
    </w:p>
    <w:p w:rsidR="00000000" w:rsidDel="00000000" w:rsidP="00000000" w:rsidRDefault="00000000" w:rsidRPr="00000000" w14:paraId="000000D0">
      <w:pPr>
        <w:numPr>
          <w:ilvl w:val="0"/>
          <w:numId w:val="2"/>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actions in terms of international cooperation and dialogue can the Brazilian government take to defend human dignity and promote human rights in the international governance of migration, refuge and statelessness? </w:t>
      </w:r>
    </w:p>
    <w:p w:rsidR="00000000" w:rsidDel="00000000" w:rsidP="00000000" w:rsidRDefault="00000000" w:rsidRPr="00000000" w14:paraId="000000D1">
      <w:pPr>
        <w:numPr>
          <w:ilvl w:val="0"/>
          <w:numId w:val="2"/>
        </w:numPr>
        <w:spacing w:after="20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gaps are there in the work of consulates and embassies in promoting the rights of migrants, refugees and stateless people, and especially the Brazilian population abroad?</w:t>
      </w:r>
    </w:p>
    <w:p w:rsidR="00000000" w:rsidDel="00000000" w:rsidP="00000000" w:rsidRDefault="00000000" w:rsidRPr="00000000" w14:paraId="000000D2">
      <w:pPr>
        <w:spacing w:after="20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pStyle w:val="Heading2"/>
        <w:rPr>
          <w:sz w:val="24"/>
          <w:szCs w:val="24"/>
        </w:rPr>
      </w:pPr>
      <w:bookmarkStart w:colFirst="0" w:colLast="0" w:name="_j8221pwc1hdu" w:id="19"/>
      <w:bookmarkEnd w:id="19"/>
      <w:r w:rsidDel="00000000" w:rsidR="00000000" w:rsidRPr="00000000">
        <w:rPr>
          <w:rtl w:val="0"/>
        </w:rPr>
        <w:t xml:space="preserve">— AXIS </w:t>
      </w:r>
      <w:r w:rsidDel="00000000" w:rsidR="00000000" w:rsidRPr="00000000">
        <w:rPr>
          <w:rtl w:val="0"/>
        </w:rPr>
        <w:t xml:space="preserve">5. Migration and document regularization —</w:t>
      </w:r>
      <w:r w:rsidDel="00000000" w:rsidR="00000000" w:rsidRPr="00000000">
        <w:rPr>
          <w:rtl w:val="0"/>
        </w:rPr>
      </w:r>
    </w:p>
    <w:p w:rsidR="00000000" w:rsidDel="00000000" w:rsidP="00000000" w:rsidRDefault="00000000" w:rsidRPr="00000000" w14:paraId="000000D4">
      <w:pPr>
        <w:spacing w:after="20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Refugee Law (Law No. 9.474/1997) and the Migration Law (Law No. 13.445/2017) represented important milestones for affirming the rights of migrants, refugees and stateless people. Current laws and other normative acts have defined the universality, indivisibility and interdependence of human rights as a principle of public policy. However, even today the processes of migratory and document regularization are seen as bureaucratic and slow. This reality occurs, among other reasons, because of inferior internal rules that contradict the law and other gaps in relation to the rights and guarantees provided. The question therefore arises:</w:t>
      </w:r>
    </w:p>
    <w:p w:rsidR="00000000" w:rsidDel="00000000" w:rsidP="00000000" w:rsidRDefault="00000000" w:rsidRPr="00000000" w14:paraId="000000D5">
      <w:pPr>
        <w:numPr>
          <w:ilvl w:val="0"/>
          <w:numId w:val="5"/>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Are the existing normative instruments sufficient for proper implementation of the Migration and Refugee laws?</w:t>
      </w:r>
    </w:p>
    <w:p w:rsidR="00000000" w:rsidDel="00000000" w:rsidP="00000000" w:rsidRDefault="00000000" w:rsidRPr="00000000" w14:paraId="000000D6">
      <w:pPr>
        <w:numPr>
          <w:ilvl w:val="0"/>
          <w:numId w:val="5"/>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can the migration and document regularization procedures for refugee and stateless migrants be simplified?</w:t>
      </w:r>
    </w:p>
    <w:p w:rsidR="00000000" w:rsidDel="00000000" w:rsidP="00000000" w:rsidRDefault="00000000" w:rsidRPr="00000000" w14:paraId="000000D7">
      <w:pPr>
        <w:numPr>
          <w:ilvl w:val="0"/>
          <w:numId w:val="5"/>
        </w:numPr>
        <w:spacing w:after="20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actions can be implemented to improve service in the area of migration and document regularization?</w:t>
      </w:r>
    </w:p>
    <w:p w:rsidR="00000000" w:rsidDel="00000000" w:rsidP="00000000" w:rsidRDefault="00000000" w:rsidRPr="00000000" w14:paraId="000000D8">
      <w:pPr>
        <w:spacing w:after="200" w:line="240" w:lineRule="auto"/>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D9">
      <w:pPr>
        <w:pStyle w:val="Heading2"/>
        <w:rPr/>
      </w:pPr>
      <w:bookmarkStart w:colFirst="0" w:colLast="0" w:name="_u3liyx36hi9x" w:id="20"/>
      <w:bookmarkEnd w:id="20"/>
      <w:r w:rsidDel="00000000" w:rsidR="00000000" w:rsidRPr="00000000">
        <w:rPr>
          <w:rtl w:val="0"/>
        </w:rPr>
        <w:t xml:space="preserve">— AXIS 6. Confront rights violations —</w:t>
      </w:r>
      <w:r w:rsidDel="00000000" w:rsidR="00000000" w:rsidRPr="00000000">
        <w:rPr>
          <w:rtl w:val="0"/>
        </w:rPr>
      </w:r>
    </w:p>
    <w:p w:rsidR="00000000" w:rsidDel="00000000" w:rsidP="00000000" w:rsidRDefault="00000000" w:rsidRPr="00000000" w14:paraId="000000DA">
      <w:pPr>
        <w:spacing w:after="200"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experience of migration, refuge and statelessness can expose individuals to multiple forms of violence, such as discrimination, racism, xenophobia, physical, psychological, sexual and property violence, family and domestic violence; to contexts of extreme vulnerability and violation of rights, such as homelessness and hunger and food insecurity; and to forms of human exploitation, such as work analogous to slavery, trafficking and human smuggling. This scenario requires the improvement of actions to map, prevent, protect and combat rights violations, as well as the promotion of interculturality, respect for diversity and peaceful coexistence. Some questions can guide this discussion:</w:t>
      </w:r>
    </w:p>
    <w:p w:rsidR="00000000" w:rsidDel="00000000" w:rsidP="00000000" w:rsidRDefault="00000000" w:rsidRPr="00000000" w14:paraId="000000DB">
      <w:pPr>
        <w:numPr>
          <w:ilvl w:val="0"/>
          <w:numId w:val="6"/>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can actions to prevent and protect rights violations be qualified?</w:t>
      </w:r>
    </w:p>
    <w:p w:rsidR="00000000" w:rsidDel="00000000" w:rsidP="00000000" w:rsidRDefault="00000000" w:rsidRPr="00000000" w14:paraId="000000DC">
      <w:pPr>
        <w:numPr>
          <w:ilvl w:val="0"/>
          <w:numId w:val="6"/>
        </w:numPr>
        <w:spacing w:after="0" w:afterAutospacing="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is the role of public authorities and civil society in tackling human rights violations?</w:t>
      </w:r>
    </w:p>
    <w:p w:rsidR="00000000" w:rsidDel="00000000" w:rsidP="00000000" w:rsidRDefault="00000000" w:rsidRPr="00000000" w14:paraId="000000DD">
      <w:pPr>
        <w:numPr>
          <w:ilvl w:val="0"/>
          <w:numId w:val="6"/>
        </w:numPr>
        <w:spacing w:after="200" w:line="240" w:lineRule="auto"/>
        <w:ind w:left="720" w:hanging="36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social protection and socio-economic inclusion actions can be developed to prevent violence?</w:t>
      </w:r>
      <w:r w:rsidDel="00000000" w:rsidR="00000000" w:rsidRPr="00000000">
        <w:rPr>
          <w:rtl w:val="0"/>
        </w:rPr>
      </w:r>
    </w:p>
    <w:sectPr>
      <w:footerReference r:id="rId11" w:type="defaul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jc w:val="righ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jc w:val="center"/>
    </w:pPr>
    <w:rPr>
      <w:rFonts w:ascii="Calibri" w:cs="Calibri" w:eastAsia="Calibri" w:hAnsi="Calibri"/>
      <w:b w:val="1"/>
      <w:color w:val="990000"/>
      <w:sz w:val="24"/>
      <w:szCs w:val="24"/>
    </w:rPr>
  </w:style>
  <w:style w:type="paragraph" w:styleId="Heading2">
    <w:name w:val="heading 2"/>
    <w:basedOn w:val="Normal"/>
    <w:next w:val="Normal"/>
    <w:pPr>
      <w:keepNext w:val="1"/>
      <w:keepLines w:val="1"/>
      <w:spacing w:after="200" w:line="240" w:lineRule="auto"/>
      <w:jc w:val="center"/>
    </w:pPr>
    <w:rPr>
      <w:rFonts w:ascii="Calibri" w:cs="Calibri" w:eastAsia="Calibri" w:hAnsi="Calibri"/>
      <w:b w:val="1"/>
      <w:color w:val="990000"/>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00" w:line="240" w:lineRule="auto"/>
      <w:jc w:val="both"/>
    </w:pPr>
    <w:rPr>
      <w:rFonts w:ascii="Calibri" w:cs="Calibri" w:eastAsia="Calibri" w:hAnsi="Calibri"/>
      <w:b w:val="1"/>
      <w:color w:val="990000"/>
      <w:sz w:val="24"/>
      <w:szCs w:val="24"/>
    </w:rPr>
  </w:style>
  <w:style w:type="paragraph" w:styleId="Subtitle">
    <w:name w:val="Subtitle"/>
    <w:basedOn w:val="Normal"/>
    <w:next w:val="Normal"/>
    <w:pPr>
      <w:keepNext w:val="1"/>
      <w:keepLines w:val="1"/>
      <w:spacing w:after="200" w:line="240" w:lineRule="auto"/>
      <w:jc w:val="both"/>
    </w:pPr>
    <w:rPr>
      <w:rFonts w:ascii="Calibri" w:cs="Calibri" w:eastAsia="Calibri" w:hAnsi="Calibri"/>
      <w:b w:val="1"/>
      <w:color w:val="990000"/>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gov.br/mj/pt-br/assuntos/seus-direitos/migracoes/documentoorientadoretapapreparatoria.pdf" TargetMode="External"/><Relationship Id="rId12" Type="http://schemas.openxmlformats.org/officeDocument/2006/relationships/footer" Target="footer2.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hyperlink" Target="mailto:comigrar2@mj.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