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anchor allowOverlap="1" behindDoc="0" distB="0" distT="0" distL="0" distR="0" hidden="0" layoutInCell="1" locked="0" relativeHeight="0" simplePos="0">
            <wp:simplePos x="0" y="0"/>
            <wp:positionH relativeFrom="margin">
              <wp:posOffset>1193963</wp:posOffset>
            </wp:positionH>
            <wp:positionV relativeFrom="margin">
              <wp:posOffset>-85724</wp:posOffset>
            </wp:positionV>
            <wp:extent cx="3343275" cy="1362075"/>
            <wp:effectExtent b="0" l="0" r="0" t="0"/>
            <wp:wrapTopAndBottom distB="0" distT="0"/>
            <wp:docPr descr="Logotipo&#10;&#10;Descrição gerada automaticamente" id="2" name="image1.png"/>
            <a:graphic>
              <a:graphicData uri="http://schemas.openxmlformats.org/drawingml/2006/picture">
                <pic:pic>
                  <pic:nvPicPr>
                    <pic:cNvPr descr="Logotipo&#10;&#10;Descrição gerada automaticamente" id="0" name="image1.png"/>
                    <pic:cNvPicPr preferRelativeResize="0"/>
                  </pic:nvPicPr>
                  <pic:blipFill>
                    <a:blip r:embed="rId6"/>
                    <a:srcRect b="14645" l="0" r="0" t="13131"/>
                    <a:stretch>
                      <a:fillRect/>
                    </a:stretch>
                  </pic:blipFill>
                  <pic:spPr>
                    <a:xfrm>
                      <a:off x="0" y="0"/>
                      <a:ext cx="3343275" cy="1362075"/>
                    </a:xfrm>
                    <a:prstGeom prst="rect"/>
                    <a:ln/>
                  </pic:spPr>
                </pic:pic>
              </a:graphicData>
            </a:graphic>
          </wp:anchor>
        </w:drawing>
      </w:r>
      <w:r w:rsidDel="00000000" w:rsidR="00000000" w:rsidRPr="00000000">
        <w:rPr>
          <w:rFonts w:ascii="Calibri" w:cs="Calibri" w:eastAsia="Calibri" w:hAnsi="Calibri"/>
          <w:b w:val="1"/>
          <w:sz w:val="24"/>
          <w:szCs w:val="24"/>
          <w:rtl w:val="0"/>
        </w:rPr>
        <w:t xml:space="preserve">Secretaría Nacional de Justicia</w:t>
      </w:r>
    </w:p>
    <w:p w:rsidR="00000000" w:rsidDel="00000000" w:rsidP="00000000" w:rsidRDefault="00000000" w:rsidRPr="00000000" w14:paraId="00000002">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Departamento</w:t>
      </w:r>
      <w:r w:rsidDel="00000000" w:rsidR="00000000" w:rsidRPr="00000000">
        <w:rPr>
          <w:rFonts w:ascii="Calibri" w:cs="Calibri" w:eastAsia="Calibri" w:hAnsi="Calibri"/>
          <w:b w:val="1"/>
          <w:sz w:val="24"/>
          <w:szCs w:val="24"/>
          <w:rtl w:val="0"/>
        </w:rPr>
        <w:t xml:space="preserve"> de Migración</w:t>
      </w:r>
    </w:p>
    <w:p w:rsidR="00000000" w:rsidDel="00000000" w:rsidP="00000000" w:rsidRDefault="00000000" w:rsidRPr="00000000" w14:paraId="00000003">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Texto Básico</w:t>
      </w:r>
    </w:p>
    <w:p w:rsidR="00000000" w:rsidDel="00000000" w:rsidP="00000000" w:rsidRDefault="00000000" w:rsidRPr="00000000" w14:paraId="00000006">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2ª Conferencia Nacional sobre Migración, Refugio y Apatridia — 2ª COMIGRAR</w:t>
      </w:r>
    </w:p>
    <w:p w:rsidR="00000000" w:rsidDel="00000000" w:rsidP="00000000" w:rsidRDefault="00000000" w:rsidRPr="00000000" w14:paraId="00000007">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line="240" w:lineRule="auto"/>
        <w:jc w:val="center"/>
        <w:rPr>
          <w:rFonts w:ascii="Calibri" w:cs="Calibri" w:eastAsia="Calibri" w:hAnsi="Calibri"/>
          <w:b w:val="1"/>
          <w:color w:val="990000"/>
          <w:sz w:val="24"/>
          <w:szCs w:val="24"/>
        </w:rPr>
      </w:pPr>
      <w:r w:rsidDel="00000000" w:rsidR="00000000" w:rsidRPr="00000000">
        <w:rPr>
          <w:rFonts w:ascii="Calibri" w:cs="Calibri" w:eastAsia="Calibri" w:hAnsi="Calibri"/>
          <w:b w:val="1"/>
          <w:color w:val="990000"/>
          <w:sz w:val="24"/>
          <w:szCs w:val="24"/>
        </w:rPr>
        <w:drawing>
          <wp:inline distB="114300" distT="114300" distL="114300" distR="114300">
            <wp:extent cx="5731200" cy="12319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after="20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20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20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Brasilia — DF</w:t>
      </w:r>
    </w:p>
    <w:p w:rsidR="00000000" w:rsidDel="00000000" w:rsidP="00000000" w:rsidRDefault="00000000" w:rsidRPr="00000000" w14:paraId="00000015">
      <w:pPr>
        <w:spacing w:after="20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2024</w:t>
      </w:r>
      <w:r w:rsidDel="00000000" w:rsidR="00000000" w:rsidRPr="00000000">
        <w:rPr>
          <w:rtl w:val="0"/>
        </w:rPr>
      </w:r>
    </w:p>
    <w:p w:rsidR="00000000" w:rsidDel="00000000" w:rsidP="00000000" w:rsidRDefault="00000000" w:rsidRPr="00000000" w14:paraId="00000016">
      <w:pPr>
        <w:pStyle w:val="Heading1"/>
        <w:jc w:val="center"/>
        <w:rPr/>
      </w:pPr>
      <w:bookmarkStart w:colFirst="0" w:colLast="0" w:name="_x7uzbmbdhe5x" w:id="0"/>
      <w:bookmarkEnd w:id="0"/>
      <w:r w:rsidDel="00000000" w:rsidR="00000000" w:rsidRPr="00000000">
        <w:rPr>
          <w:rtl w:val="0"/>
        </w:rPr>
        <w:t xml:space="preserve">— EXPEDIENTE —</w:t>
      </w:r>
    </w:p>
    <w:p w:rsidR="00000000" w:rsidDel="00000000" w:rsidP="00000000" w:rsidRDefault="00000000" w:rsidRPr="00000000" w14:paraId="00000017">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Gobierno Federal</w:t>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Ministerio de Justicia y Seguridad Pública</w:t>
      </w:r>
    </w:p>
    <w:p w:rsidR="00000000" w:rsidDel="00000000" w:rsidP="00000000" w:rsidRDefault="00000000" w:rsidRPr="00000000" w14:paraId="0000001A">
      <w:pPr>
        <w:spacing w:line="240" w:lineRule="auto"/>
        <w:ind w:left="0" w:right="-844.724409448817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Enrique Ricardo Lewandowski</w:t>
      </w: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Secretaría Nacional de Justicia</w:t>
      </w:r>
    </w:p>
    <w:p w:rsidR="00000000" w:rsidDel="00000000" w:rsidP="00000000" w:rsidRDefault="00000000" w:rsidRPr="00000000" w14:paraId="0000001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 Keiji Uema</w:t>
      </w:r>
    </w:p>
    <w:p w:rsidR="00000000" w:rsidDel="00000000" w:rsidP="00000000" w:rsidRDefault="00000000" w:rsidRPr="00000000" w14:paraId="0000001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Departamento de Migración</w:t>
      </w:r>
    </w:p>
    <w:p w:rsidR="00000000" w:rsidDel="00000000" w:rsidP="00000000" w:rsidRDefault="00000000" w:rsidRPr="00000000" w14:paraId="00000020">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Luana Medeiros</w:t>
      </w:r>
    </w:p>
    <w:p w:rsidR="00000000" w:rsidDel="00000000" w:rsidP="00000000" w:rsidRDefault="00000000" w:rsidRPr="00000000" w14:paraId="00000021">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Coordinación General de Política Migratoria</w:t>
      </w:r>
    </w:p>
    <w:p w:rsidR="00000000" w:rsidDel="00000000" w:rsidP="00000000" w:rsidRDefault="00000000" w:rsidRPr="00000000" w14:paraId="00000023">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Paulo Illes</w:t>
      </w:r>
    </w:p>
    <w:p w:rsidR="00000000" w:rsidDel="00000000" w:rsidP="00000000" w:rsidRDefault="00000000" w:rsidRPr="00000000" w14:paraId="00000024">
      <w:pPr>
        <w:keepLines w:val="1"/>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keepLines w:val="1"/>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Apoyo Técnico</w:t>
      </w:r>
    </w:p>
    <w:p w:rsidR="00000000" w:rsidDel="00000000" w:rsidP="00000000" w:rsidRDefault="00000000" w:rsidRPr="00000000" w14:paraId="00000026">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Agência de la ONU para los Refugiados (ACNUR)</w:t>
      </w:r>
      <w:r w:rsidDel="00000000" w:rsidR="00000000" w:rsidRPr="00000000">
        <w:rPr>
          <w:rtl w:val="0"/>
        </w:rPr>
      </w:r>
    </w:p>
    <w:p w:rsidR="00000000" w:rsidDel="00000000" w:rsidP="00000000" w:rsidRDefault="00000000" w:rsidRPr="00000000" w14:paraId="00000027">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Bibiana Waquil Campana </w:t>
      </w:r>
    </w:p>
    <w:p w:rsidR="00000000" w:rsidDel="00000000" w:rsidP="00000000" w:rsidRDefault="00000000" w:rsidRPr="00000000" w14:paraId="00000028">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Bruna de Paula Miranda Pereira</w:t>
      </w:r>
    </w:p>
    <w:p w:rsidR="00000000" w:rsidDel="00000000" w:rsidP="00000000" w:rsidRDefault="00000000" w:rsidRPr="00000000" w14:paraId="00000029">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Organización Internacional del Trabajo (OIT)</w:t>
      </w:r>
    </w:p>
    <w:p w:rsidR="00000000" w:rsidDel="00000000" w:rsidP="00000000" w:rsidRDefault="00000000" w:rsidRPr="00000000" w14:paraId="0000002B">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 Meunier </w:t>
      </w:r>
    </w:p>
    <w:p w:rsidR="00000000" w:rsidDel="00000000" w:rsidP="00000000" w:rsidRDefault="00000000" w:rsidRPr="00000000" w14:paraId="0000002C">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Agencia de la ONU para las Migraciones (OIM)</w:t>
      </w:r>
    </w:p>
    <w:p w:rsidR="00000000" w:rsidDel="00000000" w:rsidP="00000000" w:rsidRDefault="00000000" w:rsidRPr="00000000" w14:paraId="0000002E">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Nícolas Neves dos Santos</w:t>
      </w:r>
    </w:p>
    <w:p w:rsidR="00000000" w:rsidDel="00000000" w:rsidP="00000000" w:rsidRDefault="00000000" w:rsidRPr="00000000" w14:paraId="0000002F">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Tamires Fonseca Zanotti </w:t>
      </w:r>
    </w:p>
    <w:p w:rsidR="00000000" w:rsidDel="00000000" w:rsidP="00000000" w:rsidRDefault="00000000" w:rsidRPr="00000000" w14:paraId="00000030">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before="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Brasilia, marzo 2024</w:t>
      </w:r>
    </w:p>
    <w:p w:rsidR="00000000" w:rsidDel="00000000" w:rsidP="00000000" w:rsidRDefault="00000000" w:rsidRPr="00000000" w14:paraId="00000035">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comigrar2@mj.gov.br</w:t>
        </w:r>
      </w:hyperlink>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Esplanada dos Ministérios, Anexo II, 3° andar, sala 301A, CEP 70064-901, Brasília/DF</w:t>
      </w:r>
    </w:p>
    <w:p w:rsidR="00000000" w:rsidDel="00000000" w:rsidP="00000000" w:rsidRDefault="00000000" w:rsidRPr="00000000" w14:paraId="0000003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20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314825" cy="642789"/>
            <wp:effectExtent b="0" l="0" r="0" t="0"/>
            <wp:docPr id="1" name="image3.png"/>
            <a:graphic>
              <a:graphicData uri="http://schemas.openxmlformats.org/drawingml/2006/picture">
                <pic:pic>
                  <pic:nvPicPr>
                    <pic:cNvPr id="0" name="image3.png"/>
                    <pic:cNvPicPr preferRelativeResize="0"/>
                  </pic:nvPicPr>
                  <pic:blipFill>
                    <a:blip r:embed="rId9"/>
                    <a:srcRect b="0" l="0" r="0" t="23313"/>
                    <a:stretch>
                      <a:fillRect/>
                    </a:stretch>
                  </pic:blipFill>
                  <pic:spPr>
                    <a:xfrm>
                      <a:off x="0" y="0"/>
                      <a:ext cx="4314825" cy="64278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Style w:val="Heading1"/>
        <w:jc w:val="center"/>
        <w:rPr/>
      </w:pPr>
      <w:bookmarkStart w:colFirst="0" w:colLast="0" w:name="_609dk3jd7bk1" w:id="1"/>
      <w:bookmarkEnd w:id="1"/>
      <w:r w:rsidDel="00000000" w:rsidR="00000000" w:rsidRPr="00000000">
        <w:rPr>
          <w:rtl w:val="0"/>
        </w:rPr>
        <w:t xml:space="preserve">— RESUMEN —</w:t>
      </w:r>
    </w:p>
    <w:p w:rsidR="00000000" w:rsidDel="00000000" w:rsidP="00000000" w:rsidRDefault="00000000" w:rsidRPr="00000000" w14:paraId="0000003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line="240" w:lineRule="auto"/>
        <w:jc w:val="left"/>
        <w:rPr>
          <w:rFonts w:ascii="Calibri" w:cs="Calibri" w:eastAsia="Calibri" w:hAnsi="Calibri"/>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7uzbmbdhe5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EXPEDIENTE —</w:t>
              <w:tab/>
              <w:t xml:space="preserve">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609dk3jd7bk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RESUMEN —</w:t>
              <w:tab/>
              <w:t xml:space="preserve">3</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8jt1byu5cv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GLOSARIO —</w:t>
              <w:tab/>
              <w:t xml:space="preserve">4</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vjxfa1yz0hx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PRESENTACIÓN —</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f3uvlhyqjks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ORIENTACIONES PARA EL DEBATE Y LA CONSTRUCCIÓN DE PROPUESTAS —</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ygu2wn5rrn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1. Igualdad de trato y acceso a los servicios públicos —</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w8hl1ymf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2. Integración socioeconómica y fomento al trabajo digno —</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fdwwve6o95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3 Interculturalidad y diversidad —</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6b0dnpytja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4. Gobernanza y participación social —</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8221pwc1hd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5. Regularización migratoria y documental —</w:t>
              <w:tab/>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3liyx36hi9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EJE 6. Lucha contra las violaciones de derechos —</w:t>
              <w:tab/>
            </w:r>
          </w:hyperlink>
          <w:r w:rsidDel="00000000" w:rsidR="00000000" w:rsidRPr="00000000">
            <w:rPr>
              <w:rtl w:val="0"/>
            </w:rPr>
            <w:t xml:space="preserve">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pStyle w:val="Heading1"/>
        <w:spacing w:after="200" w:lineRule="auto"/>
        <w:rPr/>
      </w:pPr>
      <w:bookmarkStart w:colFirst="0" w:colLast="0" w:name="_d8jt1byu5cv1" w:id="2"/>
      <w:bookmarkEnd w:id="2"/>
      <w:r w:rsidDel="00000000" w:rsidR="00000000" w:rsidRPr="00000000">
        <w:rPr>
          <w:rtl w:val="0"/>
        </w:rPr>
        <w:t xml:space="preserve">— GLOSARIO —</w:t>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Interculturalidad:</w:t>
      </w:r>
      <w:r w:rsidDel="00000000" w:rsidR="00000000" w:rsidRPr="00000000">
        <w:rPr>
          <w:rFonts w:ascii="Calibri" w:cs="Calibri" w:eastAsia="Calibri" w:hAnsi="Calibri"/>
          <w:sz w:val="24"/>
          <w:szCs w:val="24"/>
          <w:rtl w:val="0"/>
        </w:rPr>
        <w:t xml:space="preserve"> se refiere a proponer y construir formas igualitarias de contacto entre culturas, teniendo en cuenta todos los aspectos políticos, sociales y económicos que las impregnan para reducir cualquier percepción de jerarquías.</w:t>
      </w:r>
    </w:p>
    <w:p w:rsidR="00000000" w:rsidDel="00000000" w:rsidP="00000000" w:rsidRDefault="00000000" w:rsidRPr="00000000" w14:paraId="0000006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Integración socioeconómica:</w:t>
      </w:r>
      <w:r w:rsidDel="00000000" w:rsidR="00000000" w:rsidRPr="00000000">
        <w:rPr>
          <w:rFonts w:ascii="Calibri" w:cs="Calibri" w:eastAsia="Calibri" w:hAnsi="Calibri"/>
          <w:sz w:val="24"/>
          <w:szCs w:val="24"/>
          <w:rtl w:val="0"/>
        </w:rPr>
        <w:t xml:space="preserve"> inserción social y económica de las personas marginadas en la sociedad a través de políticas públicas. </w:t>
      </w:r>
    </w:p>
    <w:p w:rsidR="00000000" w:rsidDel="00000000" w:rsidP="00000000" w:rsidRDefault="00000000" w:rsidRPr="00000000" w14:paraId="0000006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Trabajo digno:</w:t>
      </w:r>
      <w:r w:rsidDel="00000000" w:rsidR="00000000" w:rsidRPr="00000000">
        <w:rPr>
          <w:rFonts w:ascii="Calibri" w:cs="Calibri" w:eastAsia="Calibri" w:hAnsi="Calibri"/>
          <w:sz w:val="24"/>
          <w:szCs w:val="24"/>
          <w:rtl w:val="0"/>
        </w:rPr>
        <w:t xml:space="preserve"> Trabajo productivo adecuadamente remunerado y realizado en condiciones de libertad, equidad y seguridad.</w:t>
      </w:r>
    </w:p>
    <w:p w:rsidR="00000000" w:rsidDel="00000000" w:rsidP="00000000" w:rsidRDefault="00000000" w:rsidRPr="00000000" w14:paraId="0000006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Migrante:</w:t>
      </w:r>
      <w:r w:rsidDel="00000000" w:rsidR="00000000" w:rsidRPr="00000000">
        <w:rPr>
          <w:rFonts w:ascii="Calibri" w:cs="Calibri" w:eastAsia="Calibri" w:hAnsi="Calibri"/>
          <w:sz w:val="24"/>
          <w:szCs w:val="24"/>
          <w:rtl w:val="0"/>
        </w:rPr>
        <w:t xml:space="preserve"> Persona que se desplaza de su lugar de residencia habitual a otro país y se establece en él de forma temporal o permanente.</w:t>
      </w:r>
    </w:p>
    <w:p w:rsidR="00000000" w:rsidDel="00000000" w:rsidP="00000000" w:rsidRDefault="00000000" w:rsidRPr="00000000" w14:paraId="00000071">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Refugiado:</w:t>
      </w:r>
      <w:r w:rsidDel="00000000" w:rsidR="00000000" w:rsidRPr="00000000">
        <w:rPr>
          <w:rFonts w:ascii="Calibri" w:cs="Calibri" w:eastAsia="Calibri" w:hAnsi="Calibri"/>
          <w:sz w:val="24"/>
          <w:szCs w:val="24"/>
          <w:rtl w:val="0"/>
        </w:rPr>
        <w:t xml:space="preserve"> Persona que, debido a fundados temores de persecución por motivos de raza, religión, nacionalidad, grupo social, opinión política, o debido a una violación grave y generalizada de los derechos humanos, se ve obligada a abandonar su país de nacionalidad para buscar protección internacional en otro país, en los términos de la Ley nº 9.474, de 22 de julio de 1997.</w:t>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Apátrida:</w:t>
      </w:r>
      <w:r w:rsidDel="00000000" w:rsidR="00000000" w:rsidRPr="00000000">
        <w:rPr>
          <w:rFonts w:ascii="Calibri" w:cs="Calibri" w:eastAsia="Calibri" w:hAnsi="Calibri"/>
          <w:sz w:val="24"/>
          <w:szCs w:val="24"/>
          <w:rtl w:val="0"/>
        </w:rPr>
        <w:t xml:space="preserve"> persona que no es considerada nacional por ningún Estado, de acuerdo con su legislación, en los términos de la Convención sobre el Estatuto de los Apátridas de 1954, promulgada por el Decreto nº 4.246, de 22 de mayo de 2002, o reconocida como tal por el Estado brasileño, de conformidad con lo dispuesto en la Ley nº 13.445, de 24 de mayo de 2017.</w:t>
      </w:r>
    </w:p>
    <w:p w:rsidR="00000000" w:rsidDel="00000000" w:rsidP="00000000" w:rsidRDefault="00000000" w:rsidRPr="00000000" w14:paraId="0000007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Brasileño en el exterior:</w:t>
      </w:r>
      <w:r w:rsidDel="00000000" w:rsidR="00000000" w:rsidRPr="00000000">
        <w:rPr>
          <w:rFonts w:ascii="Calibri" w:cs="Calibri" w:eastAsia="Calibri" w:hAnsi="Calibri"/>
          <w:sz w:val="24"/>
          <w:szCs w:val="24"/>
          <w:rtl w:val="0"/>
        </w:rPr>
        <w:t xml:space="preserve"> persona brasileña que se instala temporal o permanentemente en el exterior.</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Brasileña/o retornada/o:</w:t>
      </w:r>
      <w:r w:rsidDel="00000000" w:rsidR="00000000" w:rsidRPr="00000000">
        <w:rPr>
          <w:rFonts w:ascii="Calibri" w:cs="Calibri" w:eastAsia="Calibri" w:hAnsi="Calibri"/>
          <w:sz w:val="24"/>
          <w:szCs w:val="24"/>
          <w:rtl w:val="0"/>
        </w:rPr>
        <w:t xml:space="preserve"> brasileña/o que retorna a Brasil después de establecerse temporal o permanentemente en el exterior.</w:t>
      </w:r>
    </w:p>
    <w:p w:rsidR="00000000" w:rsidDel="00000000" w:rsidP="00000000" w:rsidRDefault="00000000" w:rsidRPr="00000000" w14:paraId="0000007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Trabajo análogo al de esclavo:</w:t>
      </w:r>
      <w:r w:rsidDel="00000000" w:rsidR="00000000" w:rsidRPr="00000000">
        <w:rPr>
          <w:rFonts w:ascii="Calibri" w:cs="Calibri" w:eastAsia="Calibri" w:hAnsi="Calibri"/>
          <w:sz w:val="24"/>
          <w:szCs w:val="24"/>
          <w:rtl w:val="0"/>
        </w:rPr>
        <w:t xml:space="preserve"> actividad forzada realizada en condiciones degradantes y/o jornadas extenuantes, en la que la persona puede ser impedida de abandonar su hogar de trabajo.</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Trabajo infantil:</w:t>
      </w:r>
      <w:r w:rsidDel="00000000" w:rsidR="00000000" w:rsidRPr="00000000">
        <w:rPr>
          <w:rFonts w:ascii="Calibri" w:cs="Calibri" w:eastAsia="Calibri" w:hAnsi="Calibri"/>
          <w:sz w:val="24"/>
          <w:szCs w:val="24"/>
          <w:rtl w:val="0"/>
        </w:rPr>
        <w:t xml:space="preserve"> Trabajo realizado por niñas/niños y adolescentes menores de 16 años en Brasil. Entre los 14 y los 16 años, sólo se permite el trabajo como aprendiz. </w:t>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Trata de personas:</w:t>
      </w:r>
      <w:r w:rsidDel="00000000" w:rsidR="00000000" w:rsidRPr="00000000">
        <w:rPr>
          <w:rFonts w:ascii="Calibri" w:cs="Calibri" w:eastAsia="Calibri" w:hAnsi="Calibri"/>
          <w:sz w:val="24"/>
          <w:szCs w:val="24"/>
          <w:rtl w:val="0"/>
        </w:rPr>
        <w:t xml:space="preserve"> la captación, el transporte, el traslado, la acogida o la recepción de personas, recurriendo a la amenaza o al uso de la fuerza u otras formas de coacción, al rapto, al engaño, al abuso de poder o de una situación de vulnerabilidad o a la concesión o recepeción de pagos o beneficios para obtener el consentimiento de una persona que tenga autoridad sobre otra, con fines de explotación.</w:t>
      </w:r>
    </w:p>
    <w:p w:rsidR="00000000" w:rsidDel="00000000" w:rsidP="00000000" w:rsidRDefault="00000000" w:rsidRPr="00000000" w14:paraId="000000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Contrabando de migrantes:</w:t>
      </w:r>
      <w:r w:rsidDel="00000000" w:rsidR="00000000" w:rsidRPr="00000000">
        <w:rPr>
          <w:rFonts w:ascii="Calibri" w:cs="Calibri" w:eastAsia="Calibri" w:hAnsi="Calibri"/>
          <w:sz w:val="24"/>
          <w:szCs w:val="24"/>
          <w:rtl w:val="0"/>
        </w:rPr>
        <w:t xml:space="preserve"> el acto, por parte de un incitador, de facilitar la entrada irregular de una persona en un Estado del que no es nacional o residente permanente, con el fin de obtener, directa o indirectamente, un beneficio financiero o material.</w:t>
      </w:r>
    </w:p>
    <w:p w:rsidR="00000000" w:rsidDel="00000000" w:rsidP="00000000" w:rsidRDefault="00000000" w:rsidRPr="00000000" w14:paraId="00000081">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1"/>
        <w:spacing w:after="200" w:lineRule="auto"/>
        <w:jc w:val="center"/>
        <w:rPr/>
      </w:pPr>
      <w:bookmarkStart w:colFirst="0" w:colLast="0" w:name="_vjxfa1yz0hxy" w:id="3"/>
      <w:bookmarkEnd w:id="3"/>
      <w:r w:rsidDel="00000000" w:rsidR="00000000" w:rsidRPr="00000000">
        <w:rPr>
          <w:rtl w:val="0"/>
        </w:rPr>
        <w:t xml:space="preserve">— PRESENTACIÓN —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Secretaría Nacional de Justicia, a través de la publicación de la Ordenanza SENAJUS/MJSP nº 81, de 20 de septiembre de 2023, inició el proceso de organización y movilización para la 2ª Conferencia Nacional sobre Migración, Refugio y Apatridia - 2ª COMIGRAR, reafirmando el compromiso del Estado brasileño con la defensa de los derechos de la población migrante, refugiada y apátrida y retomando el debate y la movilización en torno a la mejora de las políticas públicas nacionales, estatales, municipales y del Distrito Federal dirigidas a este público. </w:t>
      </w:r>
    </w:p>
    <w:p w:rsidR="00000000" w:rsidDel="00000000" w:rsidP="00000000" w:rsidRDefault="00000000" w:rsidRPr="00000000" w14:paraId="000000A5">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2ª COMIGRAR es una iniciativa de movilización nacional de los diversos actores sociales, políticos e institucionales interesados en la cuestión de la migración, el refugio y la apatridia: migrantes, refugiados y apátridas, sus grupos y asociaciones, servidores públicos, investigadores, funcionarios públicos, organizaciones de la sociedad civil y miembros de asociaciones gremiales. Se destacarán las principales demandas y contribuciones de la sociedad, señalando el camino para que el gobierno federal cumpla con los derechos de la población migrante, refugiada y apátrida en Brasil y en el extranjero.</w:t>
      </w:r>
    </w:p>
    <w:p w:rsidR="00000000" w:rsidDel="00000000" w:rsidP="00000000" w:rsidRDefault="00000000" w:rsidRPr="00000000" w14:paraId="000000A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Conferencia constará de dos etapas, que se celebrarán de acuerdo con el Calendario de Actividades: I - Etapa Preparatoria; II - Conferencia Nacional.</w:t>
      </w:r>
    </w:p>
    <w:p w:rsidR="00000000" w:rsidDel="00000000" w:rsidP="00000000" w:rsidRDefault="00000000" w:rsidRPr="00000000" w14:paraId="000000A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Etapa Preparatoria está constituida por Conferencias Locales Libres, Conferencias Estaduales y Conferencias Nacionales Libres, que desencadenan los procesos de articulación, movilización y debate que la II COMIGRAR desea producir. Las conferencias reunirán las reflexiones, desafíos y perspectivas acumuladas en los más diversos sectores de la sociedad en relación a la migración, el refugio y la apatridia, a partir del tema "Ciudadanía en Movimiento". Todo lo producido servirá como material de consulta y referencia para la formulación, conducción y evaluación de políticas públicas y como subsidio para la elaboración del Primer Plan Nacional de Migración, Refugio y Apatridia.</w:t>
      </w:r>
    </w:p>
    <w:p w:rsidR="00000000" w:rsidDel="00000000" w:rsidP="00000000" w:rsidRDefault="00000000" w:rsidRPr="00000000" w14:paraId="000000A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calendario de actividades y las directrices sobre las modalidades de la conferencia y la inscripción, presentación de propuestas y elección de delegados se detallan en el Documento de Orientación - Etapa Preparatoria.</w:t>
      </w:r>
    </w:p>
    <w:p w:rsidR="00000000" w:rsidDel="00000000" w:rsidP="00000000" w:rsidRDefault="00000000" w:rsidRPr="00000000" w14:paraId="000000A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pStyle w:val="Heading1"/>
        <w:spacing w:after="200" w:lineRule="auto"/>
        <w:rPr/>
      </w:pPr>
      <w:bookmarkStart w:colFirst="0" w:colLast="0" w:name="_f3uvlhyqjks9" w:id="4"/>
      <w:bookmarkEnd w:id="4"/>
      <w:r w:rsidDel="00000000" w:rsidR="00000000" w:rsidRPr="00000000">
        <w:rPr>
          <w:rtl w:val="0"/>
        </w:rPr>
        <w:t xml:space="preserve">— ORIENTACIONES PARA EL DEBATE Y LA CONSTRUCCIÓN DE PROPUESTAS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documento presenta textos y preguntas sobre algunos puntos recurrentes en el debate público sobre migración, refugio y apatridia, dentro de cada uno de los seis ejes temáticos de la 2ª COMIGRAR, a saber:</w:t>
      </w:r>
    </w:p>
    <w:p w:rsidR="00000000" w:rsidDel="00000000" w:rsidP="00000000" w:rsidRDefault="00000000" w:rsidRPr="00000000" w14:paraId="000000B7">
      <w:pPr>
        <w:numPr>
          <w:ilvl w:val="0"/>
          <w:numId w:val="1"/>
        </w:numPr>
        <w:spacing w:after="0" w:afterAutospacing="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Igualdad de trato y acceso a los servicios públicos;</w:t>
      </w:r>
    </w:p>
    <w:p w:rsidR="00000000" w:rsidDel="00000000" w:rsidP="00000000" w:rsidRDefault="00000000" w:rsidRPr="00000000" w14:paraId="000000B8">
      <w:pPr>
        <w:numPr>
          <w:ilvl w:val="0"/>
          <w:numId w:val="1"/>
        </w:numPr>
        <w:spacing w:after="0" w:afterAutospacing="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Integración socioeconómica y fomento al trabajo digno;</w:t>
      </w:r>
    </w:p>
    <w:p w:rsidR="00000000" w:rsidDel="00000000" w:rsidP="00000000" w:rsidRDefault="00000000" w:rsidRPr="00000000" w14:paraId="000000B9">
      <w:pPr>
        <w:numPr>
          <w:ilvl w:val="0"/>
          <w:numId w:val="1"/>
        </w:numPr>
        <w:spacing w:after="0" w:afterAutospacing="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Interculturalidad y diversidad;</w:t>
      </w:r>
    </w:p>
    <w:p w:rsidR="00000000" w:rsidDel="00000000" w:rsidP="00000000" w:rsidRDefault="00000000" w:rsidRPr="00000000" w14:paraId="000000BA">
      <w:pPr>
        <w:numPr>
          <w:ilvl w:val="0"/>
          <w:numId w:val="1"/>
        </w:numPr>
        <w:spacing w:after="0" w:afterAutospacing="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Gobernanza y participación social;</w:t>
      </w:r>
    </w:p>
    <w:p w:rsidR="00000000" w:rsidDel="00000000" w:rsidP="00000000" w:rsidRDefault="00000000" w:rsidRPr="00000000" w14:paraId="000000BB">
      <w:pPr>
        <w:numPr>
          <w:ilvl w:val="0"/>
          <w:numId w:val="1"/>
        </w:numPr>
        <w:spacing w:after="0" w:afterAutospacing="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Regularización migratoria y documental;</w:t>
      </w:r>
    </w:p>
    <w:p w:rsidR="00000000" w:rsidDel="00000000" w:rsidP="00000000" w:rsidRDefault="00000000" w:rsidRPr="00000000" w14:paraId="000000BC">
      <w:pPr>
        <w:numPr>
          <w:ilvl w:val="0"/>
          <w:numId w:val="1"/>
        </w:numPr>
        <w:spacing w:after="200" w:lin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Lucha contra las violaciones de derechos.</w:t>
      </w:r>
    </w:p>
    <w:p w:rsidR="00000000" w:rsidDel="00000000" w:rsidP="00000000" w:rsidRDefault="00000000" w:rsidRPr="00000000" w14:paraId="000000BD">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trata de un material de referencia para los debates en los que se construirán las propuestas que se presentarán a la Conferencia Nacional. Como tal, los siguientes textos pretenden ser un punto de partida para los debates sobre los ejes temáticos, pero las discusiones y la elaboración de propuestas no tienen por qué limitarse a su contenido.</w:t>
      </w:r>
      <w:r w:rsidDel="00000000" w:rsidR="00000000" w:rsidRPr="00000000">
        <w:rPr>
          <w:rtl w:val="0"/>
        </w:rPr>
      </w:r>
    </w:p>
    <w:p w:rsidR="00000000" w:rsidDel="00000000" w:rsidP="00000000" w:rsidRDefault="00000000" w:rsidRPr="00000000" w14:paraId="000000BE">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pStyle w:val="Heading2"/>
        <w:rPr/>
      </w:pPr>
      <w:bookmarkStart w:colFirst="0" w:colLast="0" w:name="_9ygu2wn5rrn6" w:id="5"/>
      <w:bookmarkEnd w:id="5"/>
      <w:r w:rsidDel="00000000" w:rsidR="00000000" w:rsidRPr="00000000">
        <w:rPr>
          <w:rtl w:val="0"/>
        </w:rPr>
        <w:t xml:space="preserve">— EJE 1. Igualdad de trato y acceso a los servicios públicos —</w:t>
      </w:r>
    </w:p>
    <w:p w:rsidR="00000000" w:rsidDel="00000000" w:rsidP="00000000" w:rsidRDefault="00000000" w:rsidRPr="00000000" w14:paraId="000000C0">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igualdad es un principio consagrado en la Constitución Federal brasileña y en diversas políticas públicas universales. Puede entenderse tanto como la igualdad de trato de todos ante la ley como la promoción de la igualdad de oportunidades. Sin embargo, los migrantes, refugiados y apátridas pueden encontrar obstáculos en diversas instituciones públicas para ser tratados de la misma forma que los brasileños. También es importante producir y recopilar datos sobre la población migrante, refugiada y apátrida en Brasil, los brasileños en el extranjero y los retornados para elaborar políticas públicas. Dicho esto:</w:t>
      </w:r>
    </w:p>
    <w:p w:rsidR="00000000" w:rsidDel="00000000" w:rsidP="00000000" w:rsidRDefault="00000000" w:rsidRPr="00000000" w14:paraId="000000C1">
      <w:pPr>
        <w:numPr>
          <w:ilvl w:val="0"/>
          <w:numId w:val="6"/>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¿Cuáles son las principales dificultades de acceso a los servicios públicos en Brasil para la población migrante, refugiada y apátrida? ¿Qué sugerencias tiene para resolverlas?</w:t>
      </w:r>
    </w:p>
    <w:p w:rsidR="00000000" w:rsidDel="00000000" w:rsidP="00000000" w:rsidRDefault="00000000" w:rsidRPr="00000000" w14:paraId="000000C2">
      <w:pPr>
        <w:numPr>
          <w:ilvl w:val="0"/>
          <w:numId w:val="6"/>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garantizar la igualdad de trato y de acceso a los servicios públicos brasileños para los migrantes, refugiados y apátridas?</w:t>
      </w:r>
    </w:p>
    <w:p w:rsidR="00000000" w:rsidDel="00000000" w:rsidP="00000000" w:rsidRDefault="00000000" w:rsidRPr="00000000" w14:paraId="000000C3">
      <w:pPr>
        <w:numPr>
          <w:ilvl w:val="0"/>
          <w:numId w:val="6"/>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podrían los servicios públicos mejorar y facilitar la atención y los procedimientos para los migrantes, refugiados y apátridas?</w:t>
      </w:r>
    </w:p>
    <w:p w:rsidR="00000000" w:rsidDel="00000000" w:rsidP="00000000" w:rsidRDefault="00000000" w:rsidRPr="00000000" w14:paraId="000000C4">
      <w:pPr>
        <w:numPr>
          <w:ilvl w:val="0"/>
          <w:numId w:val="6"/>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¿Cuáles son las principales dificultades para producir datos sobre migrantes, refugiados y apátridas en Brasil y en el extranjero?</w:t>
      </w:r>
    </w:p>
    <w:p w:rsidR="00000000" w:rsidDel="00000000" w:rsidP="00000000" w:rsidRDefault="00000000" w:rsidRPr="00000000" w14:paraId="000000C5">
      <w:pPr>
        <w:spacing w:after="20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pStyle w:val="Heading2"/>
        <w:rPr/>
      </w:pPr>
      <w:bookmarkStart w:colFirst="0" w:colLast="0" w:name="_gtw8hl1ymfpr" w:id="6"/>
      <w:bookmarkEnd w:id="6"/>
      <w:r w:rsidDel="00000000" w:rsidR="00000000" w:rsidRPr="00000000">
        <w:rPr>
          <w:rtl w:val="0"/>
        </w:rPr>
        <w:t xml:space="preserve">— EJE 2. Integración socioeconómica y fomento al trabajo digno —</w:t>
      </w:r>
    </w:p>
    <w:p w:rsidR="00000000" w:rsidDel="00000000" w:rsidP="00000000" w:rsidRDefault="00000000" w:rsidRPr="00000000" w14:paraId="000000C7">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integración socioeconómica de los migrantes, refugiados y apátridas es importante para la promoción de los derechos y la integración local de esta población. Este eje aborda el acceso al empleo; la creación de puestos de trabajo cualificados para migrantes, refugiados y apátridas; la formación profesional y la educación; el acceso a programas de asistencia social; las remesas económicas; entre otros. Además, un punto fundamental es la promoción del trabajo decente. Por lo tanto, las medidas para prevenir y combatir el trabajo análogo a la esclavitud, el trabajo infantil, el contrabando y la trata de humanos también se pueden discutir aquí. Por último, pueden abordarse aquí las estrategias para la integración socioeconómica de los retornados brasileños. Algunas preguntas pueden orientar la reflexión sobre este tema: </w:t>
      </w:r>
    </w:p>
    <w:p w:rsidR="00000000" w:rsidDel="00000000" w:rsidP="00000000" w:rsidRDefault="00000000" w:rsidRPr="00000000" w14:paraId="000000C8">
      <w:pPr>
        <w:numPr>
          <w:ilvl w:val="0"/>
          <w:numId w:val="2"/>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dificultades encuentran los inmigrantes, refugiados y apátridas para acceder al mundo laboral? </w:t>
      </w:r>
    </w:p>
    <w:p w:rsidR="00000000" w:rsidDel="00000000" w:rsidP="00000000" w:rsidRDefault="00000000" w:rsidRPr="00000000" w14:paraId="000000C9">
      <w:pPr>
        <w:numPr>
          <w:ilvl w:val="0"/>
          <w:numId w:val="2"/>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pueden los gobiernos ayudar a los inmigrantes, refugiados y apátridas a entrar en el mercado laboral?</w:t>
      </w:r>
    </w:p>
    <w:p w:rsidR="00000000" w:rsidDel="00000000" w:rsidP="00000000" w:rsidRDefault="00000000" w:rsidRPr="00000000" w14:paraId="000000CA">
      <w:pPr>
        <w:numPr>
          <w:ilvl w:val="0"/>
          <w:numId w:val="2"/>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acciones y programas pueden diseñarse para apoyar a los retornados brasileños en su integración socioeconómica?</w:t>
      </w:r>
    </w:p>
    <w:p w:rsidR="00000000" w:rsidDel="00000000" w:rsidP="00000000" w:rsidRDefault="00000000" w:rsidRPr="00000000" w14:paraId="000000CB">
      <w:pPr>
        <w:numPr>
          <w:ilvl w:val="0"/>
          <w:numId w:val="2"/>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se puede promover el trabajo digno para los inmigrantes, refugiados y apátridas?</w:t>
      </w:r>
    </w:p>
    <w:p w:rsidR="00000000" w:rsidDel="00000000" w:rsidP="00000000" w:rsidRDefault="00000000" w:rsidRPr="00000000" w14:paraId="000000CC">
      <w:pPr>
        <w:spacing w:after="20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pStyle w:val="Heading2"/>
        <w:rPr>
          <w:rFonts w:ascii="Calibri" w:cs="Calibri" w:eastAsia="Calibri" w:hAnsi="Calibri"/>
          <w:sz w:val="24"/>
          <w:szCs w:val="24"/>
        </w:rPr>
      </w:pPr>
      <w:bookmarkStart w:colFirst="0" w:colLast="0" w:name="_7fdwwve6o95i" w:id="7"/>
      <w:bookmarkEnd w:id="7"/>
      <w:r w:rsidDel="00000000" w:rsidR="00000000" w:rsidRPr="00000000">
        <w:rPr>
          <w:rtl w:val="0"/>
        </w:rPr>
        <w:t xml:space="preserve">— EJE 3 Interculturalidad y diversidad —</w:t>
      </w:r>
      <w:r w:rsidDel="00000000" w:rsidR="00000000" w:rsidRPr="00000000">
        <w:rPr>
          <w:rtl w:val="0"/>
        </w:rPr>
      </w:r>
    </w:p>
    <w:p w:rsidR="00000000" w:rsidDel="00000000" w:rsidP="00000000" w:rsidRDefault="00000000" w:rsidRPr="00000000" w14:paraId="000000CE">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que los migrantes, refugiados y apátridas vean plenamente respetados sus derechos, las políticas, programas y acciones públicas deben prestar atención a las especificidades de género, orientación sexual, edad, discapacidad, raza, etnia, creencias, religión y nacionalidad. Este eje propone una reflexión sobre el respeto y el diálogo en la interacción entre migrantes, refugiados y apátridas y los profesionales de los servicios y programas públicos, independientemente de su origen y nacionalidad.  Esta cuestión se enfrenta a una serie de retos en cuanto a su aplicación, entre los que se incluyen cuestiones jurídicas, técnicas y de formación de los profesionales de la gestión pública. Por lo tanto, se plantea la siguiente pregunta:</w:t>
      </w:r>
    </w:p>
    <w:p w:rsidR="00000000" w:rsidDel="00000000" w:rsidP="00000000" w:rsidRDefault="00000000" w:rsidRPr="00000000" w14:paraId="000000CF">
      <w:pPr>
        <w:numPr>
          <w:ilvl w:val="0"/>
          <w:numId w:val="4"/>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acciones pueden emprender las autoridades públicas para promover la atención intercultural a inmigrantes, refugiados y apátridas?</w:t>
      </w:r>
    </w:p>
    <w:p w:rsidR="00000000" w:rsidDel="00000000" w:rsidP="00000000" w:rsidRDefault="00000000" w:rsidRPr="00000000" w14:paraId="000000D0">
      <w:pPr>
        <w:numPr>
          <w:ilvl w:val="0"/>
          <w:numId w:val="4"/>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garantizar que las cuestiones de género, orientación sexual, edad, discapacidad, raza, etnia, creencias, religión y nacionalidad se tengan en cuenta a la hora de elaborar políticas públicas, programas y acciones para migrantes, refugiados y apátridas? ¿Cuáles son algunos ejemplos que Brasil podría adoptar?</w:t>
      </w:r>
    </w:p>
    <w:p w:rsidR="00000000" w:rsidDel="00000000" w:rsidP="00000000" w:rsidRDefault="00000000" w:rsidRPr="00000000" w14:paraId="000000D1">
      <w:pPr>
        <w:numPr>
          <w:ilvl w:val="0"/>
          <w:numId w:val="4"/>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pueden las autoridades públicas apoyar los esfuerzos culturales de los inmigrantes, refugiados y apátridas?</w:t>
      </w:r>
    </w:p>
    <w:p w:rsidR="00000000" w:rsidDel="00000000" w:rsidP="00000000" w:rsidRDefault="00000000" w:rsidRPr="00000000" w14:paraId="000000D2">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pStyle w:val="Heading2"/>
        <w:rPr>
          <w:rFonts w:ascii="Calibri" w:cs="Calibri" w:eastAsia="Calibri" w:hAnsi="Calibri"/>
          <w:sz w:val="24"/>
          <w:szCs w:val="24"/>
        </w:rPr>
      </w:pPr>
      <w:bookmarkStart w:colFirst="0" w:colLast="0" w:name="_s6b0dnpytjad" w:id="8"/>
      <w:bookmarkEnd w:id="8"/>
      <w:r w:rsidDel="00000000" w:rsidR="00000000" w:rsidRPr="00000000">
        <w:rPr>
          <w:rtl w:val="0"/>
        </w:rPr>
        <w:t xml:space="preserve">—  EJE 4. Gobernanza y participación social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4">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entiende por gobernanza el conjunto de normas, prácticas y estructuras organizativas que regulan la actuación del Estado. Esto incluye la discusión de estrategias para implementar políticas para la población migrante, refugiada y apátrida en todos los niveles de gobierno, de manera intersectorial y con la participación de la sociedad civil. En este sentido, los migrantes, refugiados y apátridas deben tener protagonismo y autonomía para presentar las barreras impuestas a su participación efectiva en la construcción de políticas públicas y discutir estrategias para fortalecer su participación social. Este eje también incluye la discusión de estrategias de cooperación internacional dirigidas a fortalecer la defensa de los principios del Derecho Internacional de los Derechos Humanos, del Derecho Internacional de los Refugiados y del Derecho Internacional Humanitario. Surge entonces la pregunta:</w:t>
      </w:r>
    </w:p>
    <w:p w:rsidR="00000000" w:rsidDel="00000000" w:rsidP="00000000" w:rsidRDefault="00000000" w:rsidRPr="00000000" w14:paraId="000000D5">
      <w:pPr>
        <w:numPr>
          <w:ilvl w:val="0"/>
          <w:numId w:val="5"/>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¿Cuáles son los principales retos que enfrentan los gobiernos municipales a la hora de formular e implementar políticas públicas para migrantes, refugiados y apátridas? ¿Cómo puede ayudarles el gobierno federal?</w:t>
      </w:r>
    </w:p>
    <w:p w:rsidR="00000000" w:rsidDel="00000000" w:rsidP="00000000" w:rsidRDefault="00000000" w:rsidRPr="00000000" w14:paraId="000000D6">
      <w:pPr>
        <w:numPr>
          <w:ilvl w:val="0"/>
          <w:numId w:val="5"/>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¿Cuáles son las barreras simbólicas e institucionales -en el gobierno federal, los municipios, los estados y el Distrito Federal- para la participación social y política de los migrantes, refugiados y apátridas en espacios como consejos y comités? ¿Qué estrategias se pueden diseñar para hacerles frente?</w:t>
      </w:r>
    </w:p>
    <w:p w:rsidR="00000000" w:rsidDel="00000000" w:rsidP="00000000" w:rsidRDefault="00000000" w:rsidRPr="00000000" w14:paraId="000000D7">
      <w:pPr>
        <w:numPr>
          <w:ilvl w:val="0"/>
          <w:numId w:val="5"/>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acciones de cooperación y diálogo internacional puede emprender el gobierno brasileño para defender la dignidad humana y promover los derechos humanos en la gobernanza internacional de la migración, el refugio y la apatridia? </w:t>
      </w:r>
    </w:p>
    <w:p w:rsidR="00000000" w:rsidDel="00000000" w:rsidP="00000000" w:rsidRDefault="00000000" w:rsidRPr="00000000" w14:paraId="000000D8">
      <w:pPr>
        <w:numPr>
          <w:ilvl w:val="0"/>
          <w:numId w:val="5"/>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lagunas existen en el trabajo de los consulados y embajadas en la promoción de los derechos de los migrantes, refugiados y apátridas, y especialmente de la población brasileña en el exterior?</w:t>
      </w:r>
      <w:r w:rsidDel="00000000" w:rsidR="00000000" w:rsidRPr="00000000">
        <w:rPr>
          <w:rtl w:val="0"/>
        </w:rPr>
      </w:r>
    </w:p>
    <w:p w:rsidR="00000000" w:rsidDel="00000000" w:rsidP="00000000" w:rsidRDefault="00000000" w:rsidRPr="00000000" w14:paraId="000000D9">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pStyle w:val="Heading2"/>
        <w:rPr>
          <w:rFonts w:ascii="Calibri" w:cs="Calibri" w:eastAsia="Calibri" w:hAnsi="Calibri"/>
          <w:sz w:val="24"/>
          <w:szCs w:val="24"/>
        </w:rPr>
      </w:pPr>
      <w:bookmarkStart w:colFirst="0" w:colLast="0" w:name="_j8221pwc1hdu" w:id="9"/>
      <w:bookmarkEnd w:id="9"/>
      <w:r w:rsidDel="00000000" w:rsidR="00000000" w:rsidRPr="00000000">
        <w:rPr>
          <w:rtl w:val="0"/>
        </w:rPr>
        <w:t xml:space="preserve">— </w:t>
      </w:r>
      <w:r w:rsidDel="00000000" w:rsidR="00000000" w:rsidRPr="00000000">
        <w:rPr>
          <w:rtl w:val="0"/>
        </w:rPr>
        <w:t xml:space="preserve">EJE 5. Regularización migratoria y documental —</w:t>
      </w:r>
      <w:r w:rsidDel="00000000" w:rsidR="00000000" w:rsidRPr="00000000">
        <w:rPr>
          <w:rtl w:val="0"/>
        </w:rPr>
      </w:r>
    </w:p>
    <w:p w:rsidR="00000000" w:rsidDel="00000000" w:rsidP="00000000" w:rsidRDefault="00000000" w:rsidRPr="00000000" w14:paraId="000000D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Ley de Refugiados (Ley n.º 9.474/1997) y la Ley de Migración (Ley n.º 13.445/2017) representaron hitos importantes para la afirmación de los derechos de las personas migrantes, refugiadas y apátridas. Las leyes actuales y otros actos normativos han definido la universalidad, indivisibilidad e interdependencia de los derechos humanos como un principios de política pública. Sin embargo, aún hoy los procesos de regularización migratoria y documental son vistos como burocráticos y lentos. Esta realidad ocurre, entre otras razones, por normas internas inferiores que contradicen la ley y otras lagunas en relación a los derechos y garantías previstos. Por lo tanto, surge la pregunta:</w:t>
      </w:r>
    </w:p>
    <w:p w:rsidR="00000000" w:rsidDel="00000000" w:rsidP="00000000" w:rsidRDefault="00000000" w:rsidRPr="00000000" w14:paraId="000000D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numPr>
          <w:ilvl w:val="0"/>
          <w:numId w:val="3"/>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¿Son suficientes los instrumentos normativos existentes para la correcta aplicación de las leyes de Migración y Refugiados?</w:t>
      </w:r>
    </w:p>
    <w:p w:rsidR="00000000" w:rsidDel="00000000" w:rsidP="00000000" w:rsidRDefault="00000000" w:rsidRPr="00000000" w14:paraId="000000DE">
      <w:pPr>
        <w:numPr>
          <w:ilvl w:val="0"/>
          <w:numId w:val="3"/>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pueden simplificarse los procedimientos de migración y regularización de documentos para los migrantes refugiados y apátridas?</w:t>
      </w:r>
    </w:p>
    <w:p w:rsidR="00000000" w:rsidDel="00000000" w:rsidP="00000000" w:rsidRDefault="00000000" w:rsidRPr="00000000" w14:paraId="000000DF">
      <w:pPr>
        <w:numPr>
          <w:ilvl w:val="0"/>
          <w:numId w:val="3"/>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acciones pueden llevarse a cabo para mejorar los servicios en el ámbito de la migración y la regularización de documentos?</w:t>
      </w:r>
    </w:p>
    <w:p w:rsidR="00000000" w:rsidDel="00000000" w:rsidP="00000000" w:rsidRDefault="00000000" w:rsidRPr="00000000" w14:paraId="000000E0">
      <w:pP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1">
      <w:pPr>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E2">
      <w:pPr>
        <w:pStyle w:val="Heading2"/>
        <w:rPr/>
      </w:pPr>
      <w:bookmarkStart w:colFirst="0" w:colLast="0" w:name="_u3liyx36hi9x" w:id="10"/>
      <w:bookmarkEnd w:id="10"/>
      <w:r w:rsidDel="00000000" w:rsidR="00000000" w:rsidRPr="00000000">
        <w:rPr>
          <w:rtl w:val="0"/>
        </w:rPr>
        <w:t xml:space="preserve">— EJE 6. Lucha contra las violaciones de derechos —</w:t>
      </w:r>
      <w:r w:rsidDel="00000000" w:rsidR="00000000" w:rsidRPr="00000000">
        <w:rPr>
          <w:rtl w:val="0"/>
        </w:rPr>
      </w:r>
    </w:p>
    <w:p w:rsidR="00000000" w:rsidDel="00000000" w:rsidP="00000000" w:rsidRDefault="00000000" w:rsidRPr="00000000" w14:paraId="000000E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experiencia de la migración, del refugio y de la apatridia puede exponer a las personas a múltiples formas de violencia, como la discriminación, el racismo, la xenofobia, la violencia física, psicológica, sexual y patrimonial, la violencia familiar y doméstica; a contextos de extrema vulnerabilidad y violación de derechos, como la falta de alojamiento y el hambre y la inseguridad alimentaria; y a formas de explotación humana, como el trabajo análogo al de esclavo, la trata y el contrabando de seres humanos. Este escenario exige mejorar las acciones de mapeo, prevención, protección y combate a las violaciones de derechos, así como la promoción de la interculturalidad, el respeto a la diversidad y la convivencia pacífica. Algunas preguntas pueden guiar este debate:</w:t>
      </w:r>
    </w:p>
    <w:p w:rsidR="00000000" w:rsidDel="00000000" w:rsidP="00000000" w:rsidRDefault="00000000" w:rsidRPr="00000000" w14:paraId="000000E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numPr>
          <w:ilvl w:val="0"/>
          <w:numId w:val="7"/>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¿Cómo calificar las acciones de prevención y protección de las violaciones de derechos?</w:t>
      </w:r>
    </w:p>
    <w:p w:rsidR="00000000" w:rsidDel="00000000" w:rsidP="00000000" w:rsidRDefault="00000000" w:rsidRPr="00000000" w14:paraId="000000E6">
      <w:pPr>
        <w:numPr>
          <w:ilvl w:val="0"/>
          <w:numId w:val="7"/>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¿Cuál es el papel de los poderes públicos y de la sociedad civil en la lucha contra las violaciones de los derechos humanos?</w:t>
      </w:r>
    </w:p>
    <w:p w:rsidR="00000000" w:rsidDel="00000000" w:rsidP="00000000" w:rsidRDefault="00000000" w:rsidRPr="00000000" w14:paraId="000000E7">
      <w:pPr>
        <w:numPr>
          <w:ilvl w:val="0"/>
          <w:numId w:val="7"/>
        </w:numPr>
        <w:ind w:left="72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¿Qué acciones de protección social e inclusión socioeconómica pueden desarrollarse para prevenir la violencia?</w:t>
      </w:r>
    </w:p>
    <w:p w:rsidR="00000000" w:rsidDel="00000000" w:rsidP="00000000" w:rsidRDefault="00000000" w:rsidRPr="00000000" w14:paraId="000000E8">
      <w:pPr>
        <w:spacing w:after="200"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after="200" w:line="240" w:lineRule="auto"/>
        <w:ind w:left="720" w:firstLine="0"/>
        <w:jc w:val="both"/>
        <w:rPr>
          <w:rFonts w:ascii="Calibri" w:cs="Calibri" w:eastAsia="Calibri" w:hAnsi="Calibri"/>
          <w:i w:val="1"/>
          <w:sz w:val="24"/>
          <w:szCs w:val="24"/>
        </w:rPr>
      </w:pPr>
      <w:r w:rsidDel="00000000" w:rsidR="00000000" w:rsidRPr="00000000">
        <w:rPr>
          <w:rtl w:val="0"/>
        </w:rPr>
      </w:r>
    </w:p>
    <w:sectPr>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rFonts w:ascii="Calibri" w:cs="Calibri" w:eastAsia="Calibri" w:hAnsi="Calibri"/>
      <w:b w:val="1"/>
      <w:color w:val="990000"/>
      <w:sz w:val="24"/>
      <w:szCs w:val="24"/>
    </w:rPr>
  </w:style>
  <w:style w:type="paragraph" w:styleId="Heading2">
    <w:name w:val="heading 2"/>
    <w:basedOn w:val="Normal"/>
    <w:next w:val="Normal"/>
    <w:pPr>
      <w:keepNext w:val="1"/>
      <w:keepLines w:val="1"/>
      <w:spacing w:after="200" w:line="240" w:lineRule="auto"/>
      <w:jc w:val="center"/>
    </w:pPr>
    <w:rPr>
      <w:rFonts w:ascii="Calibri" w:cs="Calibri" w:eastAsia="Calibri" w:hAnsi="Calibri"/>
      <w:b w:val="1"/>
      <w:color w:val="9900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240" w:lineRule="auto"/>
      <w:jc w:val="both"/>
    </w:pPr>
    <w:rPr>
      <w:rFonts w:ascii="Calibri" w:cs="Calibri" w:eastAsia="Calibri" w:hAnsi="Calibri"/>
      <w:b w:val="1"/>
      <w:color w:val="990000"/>
      <w:sz w:val="24"/>
      <w:szCs w:val="24"/>
    </w:rPr>
  </w:style>
  <w:style w:type="paragraph" w:styleId="Subtitle">
    <w:name w:val="Subtitle"/>
    <w:basedOn w:val="Normal"/>
    <w:next w:val="Normal"/>
    <w:pPr>
      <w:keepNext w:val="1"/>
      <w:keepLines w:val="1"/>
      <w:spacing w:after="200" w:line="240" w:lineRule="auto"/>
      <w:jc w:val="both"/>
    </w:pPr>
    <w:rPr>
      <w:rFonts w:ascii="Calibri" w:cs="Calibri" w:eastAsia="Calibri" w:hAnsi="Calibri"/>
      <w:b w:val="1"/>
      <w:color w:val="99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comigrar2@m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