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3CA10" w14:textId="60037EE0" w:rsidR="00765585" w:rsidRPr="00F31789" w:rsidRDefault="00F31789" w:rsidP="00F31789">
      <w:pPr>
        <w:spacing w:after="120" w:line="240" w:lineRule="auto"/>
        <w:jc w:val="both"/>
        <w:rPr>
          <w:rFonts w:cstheme="minorHAnsi"/>
          <w:b/>
          <w:bCs/>
          <w:sz w:val="23"/>
          <w:szCs w:val="23"/>
        </w:rPr>
      </w:pPr>
      <w:r w:rsidRPr="00F31789">
        <w:rPr>
          <w:rFonts w:cstheme="minorHAnsi"/>
          <w:b/>
          <w:bCs/>
          <w:sz w:val="23"/>
          <w:szCs w:val="23"/>
        </w:rPr>
        <w:t>ACERVO DE TODOS OS INSTRUMENTOS LEGAIS DO CCP DA OCDE ADERIDOS PELO BRASIL (23.12.2020)</w:t>
      </w:r>
    </w:p>
    <w:p w14:paraId="64741CE9" w14:textId="77777777" w:rsidR="00F31789" w:rsidRDefault="00F31789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5FD02913" w14:textId="3F6469A1" w:rsidR="00A14A1B" w:rsidRPr="00F31789" w:rsidRDefault="00A14A1B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Em 18 de dezembro</w:t>
      </w:r>
      <w:r w:rsidR="009F6935">
        <w:rPr>
          <w:rFonts w:cstheme="minorHAnsi"/>
          <w:sz w:val="23"/>
          <w:szCs w:val="23"/>
        </w:rPr>
        <w:t xml:space="preserve"> de 2020</w:t>
      </w:r>
      <w:r w:rsidRPr="00F31789">
        <w:rPr>
          <w:rFonts w:cstheme="minorHAnsi"/>
          <w:sz w:val="23"/>
          <w:szCs w:val="23"/>
        </w:rPr>
        <w:t xml:space="preserve">, o </w:t>
      </w:r>
      <w:r w:rsidRPr="00F31789">
        <w:rPr>
          <w:rFonts w:cstheme="minorHAnsi"/>
          <w:sz w:val="23"/>
          <w:szCs w:val="23"/>
        </w:rPr>
        <w:t>Brasil</w:t>
      </w:r>
      <w:r w:rsidR="00765585" w:rsidRPr="00F31789">
        <w:rPr>
          <w:rFonts w:cstheme="minorHAnsi"/>
          <w:sz w:val="23"/>
          <w:szCs w:val="23"/>
        </w:rPr>
        <w:t>,</w:t>
      </w:r>
      <w:r w:rsidRPr="00F31789">
        <w:rPr>
          <w:rFonts w:cstheme="minorHAnsi"/>
          <w:sz w:val="23"/>
          <w:szCs w:val="23"/>
        </w:rPr>
        <w:t xml:space="preserve"> </w:t>
      </w:r>
      <w:r w:rsidR="00765585" w:rsidRPr="00F31789">
        <w:rPr>
          <w:rFonts w:cstheme="minorHAnsi"/>
          <w:sz w:val="23"/>
          <w:szCs w:val="23"/>
        </w:rPr>
        <w:t xml:space="preserve">por meio da </w:t>
      </w:r>
      <w:r w:rsidR="009F6935">
        <w:rPr>
          <w:rFonts w:cstheme="minorHAnsi"/>
          <w:sz w:val="23"/>
          <w:szCs w:val="23"/>
        </w:rPr>
        <w:t>Secretaria Nacional do Consumidor</w:t>
      </w:r>
      <w:r w:rsidR="00ED0633">
        <w:rPr>
          <w:rFonts w:cstheme="minorHAnsi"/>
          <w:sz w:val="23"/>
          <w:szCs w:val="23"/>
        </w:rPr>
        <w:t xml:space="preserve"> do Ministério da Justiça e Segurança Pública, da Casa Civil da Presidência da República e do Ministério das Relações Exteriores</w:t>
      </w:r>
      <w:r w:rsidR="00765585" w:rsidRPr="00F31789">
        <w:rPr>
          <w:rFonts w:cstheme="minorHAnsi"/>
          <w:sz w:val="23"/>
          <w:szCs w:val="23"/>
        </w:rPr>
        <w:t xml:space="preserve">, </w:t>
      </w:r>
      <w:r w:rsidRPr="00F31789">
        <w:rPr>
          <w:rFonts w:cstheme="minorHAnsi"/>
          <w:sz w:val="23"/>
          <w:szCs w:val="23"/>
        </w:rPr>
        <w:t>conclui</w:t>
      </w:r>
      <w:r w:rsidR="00765585" w:rsidRPr="00F31789">
        <w:rPr>
          <w:rFonts w:cstheme="minorHAnsi"/>
          <w:sz w:val="23"/>
          <w:szCs w:val="23"/>
        </w:rPr>
        <w:t>u</w:t>
      </w:r>
      <w:r w:rsidRPr="00F31789">
        <w:rPr>
          <w:rFonts w:cstheme="minorHAnsi"/>
          <w:sz w:val="23"/>
          <w:szCs w:val="23"/>
        </w:rPr>
        <w:t xml:space="preserve"> adesão</w:t>
      </w:r>
      <w:r w:rsidRPr="00F31789">
        <w:rPr>
          <w:rFonts w:cstheme="minorHAnsi"/>
          <w:sz w:val="23"/>
          <w:szCs w:val="23"/>
        </w:rPr>
        <w:t xml:space="preserve"> a todas as normativas de proteção do consumidor </w:t>
      </w:r>
      <w:r w:rsidRPr="00F31789">
        <w:rPr>
          <w:rFonts w:cstheme="minorHAnsi"/>
          <w:sz w:val="23"/>
          <w:szCs w:val="23"/>
        </w:rPr>
        <w:t xml:space="preserve">do Comitê de Políticas do Consumidor (CCP - </w:t>
      </w:r>
      <w:proofErr w:type="spellStart"/>
      <w:r w:rsidRPr="00F31789">
        <w:rPr>
          <w:rFonts w:cstheme="minorHAnsi"/>
          <w:i/>
          <w:iCs/>
          <w:sz w:val="23"/>
          <w:szCs w:val="23"/>
        </w:rPr>
        <w:t>Committee</w:t>
      </w:r>
      <w:proofErr w:type="spellEnd"/>
      <w:r w:rsidRPr="00F31789">
        <w:rPr>
          <w:rFonts w:cstheme="minorHAnsi"/>
          <w:i/>
          <w:iCs/>
          <w:sz w:val="23"/>
          <w:szCs w:val="23"/>
        </w:rPr>
        <w:t xml:space="preserve"> </w:t>
      </w:r>
      <w:proofErr w:type="spellStart"/>
      <w:r w:rsidRPr="00F31789">
        <w:rPr>
          <w:rFonts w:cstheme="minorHAnsi"/>
          <w:i/>
          <w:iCs/>
          <w:sz w:val="23"/>
          <w:szCs w:val="23"/>
        </w:rPr>
        <w:t>on</w:t>
      </w:r>
      <w:proofErr w:type="spellEnd"/>
      <w:r w:rsidRPr="00F31789">
        <w:rPr>
          <w:rFonts w:cstheme="minorHAnsi"/>
          <w:i/>
          <w:iCs/>
          <w:sz w:val="23"/>
          <w:szCs w:val="23"/>
        </w:rPr>
        <w:t xml:space="preserve"> Consumer </w:t>
      </w:r>
      <w:proofErr w:type="spellStart"/>
      <w:r w:rsidRPr="00F31789">
        <w:rPr>
          <w:rFonts w:cstheme="minorHAnsi"/>
          <w:i/>
          <w:iCs/>
          <w:sz w:val="23"/>
          <w:szCs w:val="23"/>
        </w:rPr>
        <w:t>Policy</w:t>
      </w:r>
      <w:proofErr w:type="spellEnd"/>
      <w:r w:rsidRPr="00F31789">
        <w:rPr>
          <w:rFonts w:cstheme="minorHAnsi"/>
          <w:sz w:val="23"/>
          <w:szCs w:val="23"/>
        </w:rPr>
        <w:t>) da Organização para Cooperação e Desenvolvimento Econômico (</w:t>
      </w:r>
      <w:r w:rsidRPr="00F31789">
        <w:rPr>
          <w:rFonts w:cstheme="minorHAnsi"/>
          <w:sz w:val="23"/>
          <w:szCs w:val="23"/>
        </w:rPr>
        <w:t>OCDE</w:t>
      </w:r>
      <w:r w:rsidRPr="00F31789">
        <w:rPr>
          <w:rFonts w:cstheme="minorHAnsi"/>
          <w:sz w:val="23"/>
          <w:szCs w:val="23"/>
        </w:rPr>
        <w:t>). Nos próximos meses, terá início o processo de sua implementação</w:t>
      </w:r>
      <w:r w:rsidR="00765585" w:rsidRPr="00F31789">
        <w:rPr>
          <w:rFonts w:cstheme="minorHAnsi"/>
          <w:sz w:val="23"/>
          <w:szCs w:val="23"/>
        </w:rPr>
        <w:t>.</w:t>
      </w:r>
    </w:p>
    <w:p w14:paraId="7990FD38" w14:textId="0D0DD74C" w:rsidR="00A14A1B" w:rsidRPr="00F31789" w:rsidRDefault="00A14A1B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O </w:t>
      </w:r>
      <w:r w:rsidRPr="00F31789">
        <w:rPr>
          <w:rFonts w:cstheme="minorHAnsi"/>
          <w:sz w:val="23"/>
          <w:szCs w:val="23"/>
        </w:rPr>
        <w:t>“</w:t>
      </w:r>
      <w:proofErr w:type="spellStart"/>
      <w:r w:rsidRPr="00F31789">
        <w:rPr>
          <w:rFonts w:cstheme="minorHAnsi"/>
          <w:sz w:val="23"/>
          <w:szCs w:val="23"/>
        </w:rPr>
        <w:t>Acquis</w:t>
      </w:r>
      <w:proofErr w:type="spellEnd"/>
      <w:r w:rsidRPr="00F31789">
        <w:rPr>
          <w:rFonts w:cstheme="minorHAnsi"/>
          <w:sz w:val="23"/>
          <w:szCs w:val="23"/>
        </w:rPr>
        <w:t xml:space="preserve">” </w:t>
      </w:r>
      <w:r w:rsidRPr="00F31789">
        <w:rPr>
          <w:rFonts w:cstheme="minorHAnsi"/>
          <w:sz w:val="23"/>
          <w:szCs w:val="23"/>
        </w:rPr>
        <w:t xml:space="preserve">ou Acervo </w:t>
      </w:r>
      <w:r w:rsidR="00765585" w:rsidRPr="00F31789">
        <w:rPr>
          <w:rFonts w:cstheme="minorHAnsi"/>
          <w:sz w:val="23"/>
          <w:szCs w:val="23"/>
        </w:rPr>
        <w:t xml:space="preserve">Legal </w:t>
      </w:r>
      <w:r w:rsidRPr="00F31789">
        <w:rPr>
          <w:rFonts w:cstheme="minorHAnsi"/>
          <w:sz w:val="23"/>
          <w:szCs w:val="23"/>
        </w:rPr>
        <w:t xml:space="preserve">do Comitê de Políticas do Consumidor </w:t>
      </w:r>
      <w:r w:rsidRPr="00F31789">
        <w:rPr>
          <w:rFonts w:cstheme="minorHAnsi"/>
          <w:sz w:val="23"/>
          <w:szCs w:val="23"/>
        </w:rPr>
        <w:t>na matéria</w:t>
      </w:r>
      <w:r w:rsidR="00765585" w:rsidRPr="00F31789">
        <w:rPr>
          <w:rFonts w:cstheme="minorHAnsi"/>
          <w:sz w:val="23"/>
          <w:szCs w:val="23"/>
        </w:rPr>
        <w:t xml:space="preserve"> aderido </w:t>
      </w:r>
      <w:proofErr w:type="spellStart"/>
      <w:r w:rsidR="00765585" w:rsidRPr="00F31789">
        <w:rPr>
          <w:rFonts w:cstheme="minorHAnsi"/>
          <w:sz w:val="23"/>
          <w:szCs w:val="23"/>
        </w:rPr>
        <w:t>na</w:t>
      </w:r>
      <w:proofErr w:type="spellEnd"/>
      <w:r w:rsidR="00765585" w:rsidRPr="00F31789">
        <w:rPr>
          <w:rFonts w:cstheme="minorHAnsi"/>
          <w:sz w:val="23"/>
          <w:szCs w:val="23"/>
        </w:rPr>
        <w:t xml:space="preserve"> integridade pelo Brasil</w:t>
      </w:r>
      <w:r w:rsidRPr="00F31789">
        <w:rPr>
          <w:rFonts w:cstheme="minorHAnsi"/>
          <w:sz w:val="23"/>
          <w:szCs w:val="23"/>
        </w:rPr>
        <w:t xml:space="preserve"> </w:t>
      </w:r>
      <w:r w:rsidRPr="00F31789">
        <w:rPr>
          <w:rFonts w:cstheme="minorHAnsi"/>
          <w:sz w:val="23"/>
          <w:szCs w:val="23"/>
        </w:rPr>
        <w:t>é constituído por 6 Recomendações e uma Declaração Ministerial, que seguem abaixo:</w:t>
      </w:r>
    </w:p>
    <w:p w14:paraId="74DE972B" w14:textId="34A35833" w:rsidR="00A14A1B" w:rsidRPr="00344CC7" w:rsidRDefault="00A14A1B" w:rsidP="006C0087">
      <w:pPr>
        <w:pStyle w:val="PargrafodaLista"/>
        <w:numPr>
          <w:ilvl w:val="0"/>
          <w:numId w:val="12"/>
        </w:numPr>
        <w:spacing w:after="120" w:line="240" w:lineRule="auto"/>
        <w:rPr>
          <w:rFonts w:cstheme="minorHAnsi"/>
          <w:sz w:val="23"/>
          <w:szCs w:val="23"/>
        </w:rPr>
      </w:pPr>
      <w:r w:rsidRPr="006C0087">
        <w:rPr>
          <w:rFonts w:cstheme="minorHAnsi"/>
          <w:b/>
          <w:bCs/>
          <w:sz w:val="23"/>
          <w:szCs w:val="23"/>
          <w:lang w:val="en-US"/>
        </w:rPr>
        <w:t>Recommendation on Cross-Border Co-operation in the Enforcement of Laws against Spam</w:t>
      </w:r>
      <w:r w:rsidRPr="00344CC7">
        <w:rPr>
          <w:rFonts w:cstheme="minorHAnsi"/>
          <w:sz w:val="23"/>
          <w:szCs w:val="23"/>
          <w:lang w:val="en-US"/>
        </w:rPr>
        <w:t xml:space="preserve"> – </w:t>
      </w:r>
      <w:proofErr w:type="spellStart"/>
      <w:r w:rsidRPr="00344CC7">
        <w:rPr>
          <w:rFonts w:cstheme="minorHAnsi"/>
          <w:sz w:val="23"/>
          <w:szCs w:val="23"/>
          <w:lang w:val="en-US"/>
        </w:rPr>
        <w:t>adesão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</w:t>
      </w:r>
      <w:proofErr w:type="spellStart"/>
      <w:r w:rsidRPr="00344CC7">
        <w:rPr>
          <w:rFonts w:cstheme="minorHAnsi"/>
          <w:sz w:val="23"/>
          <w:szCs w:val="23"/>
          <w:lang w:val="en-US"/>
        </w:rPr>
        <w:t>em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2018</w:t>
      </w:r>
      <w:r w:rsidR="00765585" w:rsidRPr="00344CC7">
        <w:rPr>
          <w:rFonts w:cstheme="minorHAnsi"/>
          <w:sz w:val="23"/>
          <w:szCs w:val="23"/>
          <w:lang w:val="en-US"/>
        </w:rPr>
        <w:t xml:space="preserve">. </w:t>
      </w:r>
      <w:r w:rsidR="00765585" w:rsidRPr="00344CC7">
        <w:rPr>
          <w:rFonts w:cstheme="minorHAnsi"/>
          <w:sz w:val="23"/>
          <w:szCs w:val="23"/>
        </w:rPr>
        <w:t xml:space="preserve">Link para acesso: </w:t>
      </w:r>
      <w:hyperlink r:id="rId7" w:history="1">
        <w:r w:rsidR="00765585"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https://legalinstruments.oecd.org/en/instruments/OECD-LEGAL-0344</w:t>
        </w:r>
      </w:hyperlink>
      <w:r w:rsidR="00765585" w:rsidRPr="00344CC7">
        <w:rPr>
          <w:rFonts w:cstheme="minorHAnsi"/>
          <w:sz w:val="23"/>
          <w:szCs w:val="23"/>
        </w:rPr>
        <w:t>.</w:t>
      </w:r>
    </w:p>
    <w:p w14:paraId="1A5A3885" w14:textId="1C6F9834" w:rsidR="00A14A1B" w:rsidRPr="00344CC7" w:rsidRDefault="00A14A1B" w:rsidP="006C0087">
      <w:pPr>
        <w:pStyle w:val="PargrafodaLista"/>
        <w:numPr>
          <w:ilvl w:val="0"/>
          <w:numId w:val="12"/>
        </w:numPr>
        <w:spacing w:after="120" w:line="240" w:lineRule="auto"/>
        <w:rPr>
          <w:rFonts w:cstheme="minorHAnsi"/>
          <w:sz w:val="23"/>
          <w:szCs w:val="23"/>
        </w:rPr>
      </w:pPr>
      <w:r w:rsidRPr="006C0087">
        <w:rPr>
          <w:rFonts w:cstheme="minorHAnsi"/>
          <w:b/>
          <w:bCs/>
          <w:sz w:val="23"/>
          <w:szCs w:val="23"/>
          <w:lang w:val="en-US"/>
        </w:rPr>
        <w:t>Recommendation on Consumer Protection in E-commerce</w:t>
      </w:r>
      <w:r w:rsidRPr="00344CC7">
        <w:rPr>
          <w:rFonts w:cstheme="minorHAnsi"/>
          <w:sz w:val="23"/>
          <w:szCs w:val="23"/>
          <w:lang w:val="en-US"/>
        </w:rPr>
        <w:t xml:space="preserve"> – </w:t>
      </w:r>
      <w:proofErr w:type="spellStart"/>
      <w:r w:rsidRPr="00344CC7">
        <w:rPr>
          <w:rFonts w:cstheme="minorHAnsi"/>
          <w:sz w:val="23"/>
          <w:szCs w:val="23"/>
          <w:lang w:val="en-US"/>
        </w:rPr>
        <w:t>adesão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</w:t>
      </w:r>
      <w:proofErr w:type="spellStart"/>
      <w:r w:rsidRPr="00344CC7">
        <w:rPr>
          <w:rFonts w:cstheme="minorHAnsi"/>
          <w:sz w:val="23"/>
          <w:szCs w:val="23"/>
          <w:lang w:val="en-US"/>
        </w:rPr>
        <w:t>em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2018</w:t>
      </w:r>
      <w:r w:rsidR="00765585" w:rsidRPr="00344CC7">
        <w:rPr>
          <w:rFonts w:cstheme="minorHAnsi"/>
          <w:sz w:val="23"/>
          <w:szCs w:val="23"/>
          <w:lang w:val="en-US"/>
        </w:rPr>
        <w:t xml:space="preserve">. </w:t>
      </w:r>
      <w:r w:rsidR="00765585" w:rsidRPr="00344CC7">
        <w:rPr>
          <w:rFonts w:cstheme="minorHAnsi"/>
          <w:sz w:val="23"/>
          <w:szCs w:val="23"/>
        </w:rPr>
        <w:t xml:space="preserve">Link para acesso: </w:t>
      </w:r>
      <w:hyperlink r:id="rId8" w:history="1">
        <w:r w:rsidR="00765585"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https://legalinstruments.oecd.org/en/instruments/OECD-LEGAL-0422</w:t>
        </w:r>
      </w:hyperlink>
      <w:r w:rsidR="00765585" w:rsidRPr="00344CC7">
        <w:rPr>
          <w:rFonts w:cstheme="minorHAnsi"/>
          <w:sz w:val="23"/>
          <w:szCs w:val="23"/>
        </w:rPr>
        <w:t>.</w:t>
      </w:r>
    </w:p>
    <w:p w14:paraId="12370F60" w14:textId="1C17B677" w:rsidR="00A14A1B" w:rsidRPr="00344CC7" w:rsidRDefault="00A14A1B" w:rsidP="006C0087">
      <w:pPr>
        <w:pStyle w:val="PargrafodaLista"/>
        <w:numPr>
          <w:ilvl w:val="0"/>
          <w:numId w:val="12"/>
        </w:numPr>
        <w:spacing w:after="120" w:line="240" w:lineRule="auto"/>
        <w:rPr>
          <w:rFonts w:cstheme="minorHAnsi"/>
          <w:sz w:val="23"/>
          <w:szCs w:val="23"/>
        </w:rPr>
      </w:pPr>
      <w:proofErr w:type="spellStart"/>
      <w:r w:rsidRPr="006C0087">
        <w:rPr>
          <w:rFonts w:cstheme="minorHAnsi"/>
          <w:b/>
          <w:bCs/>
          <w:sz w:val="23"/>
          <w:szCs w:val="23"/>
        </w:rPr>
        <w:t>Recommendation</w:t>
      </w:r>
      <w:proofErr w:type="spellEnd"/>
      <w:r w:rsidRPr="006C0087">
        <w:rPr>
          <w:rFonts w:cstheme="minorHAnsi"/>
          <w:b/>
          <w:bCs/>
          <w:sz w:val="23"/>
          <w:szCs w:val="23"/>
        </w:rPr>
        <w:t xml:space="preserve"> </w:t>
      </w:r>
      <w:proofErr w:type="spellStart"/>
      <w:r w:rsidRPr="006C0087">
        <w:rPr>
          <w:rFonts w:cstheme="minorHAnsi"/>
          <w:b/>
          <w:bCs/>
          <w:sz w:val="23"/>
          <w:szCs w:val="23"/>
        </w:rPr>
        <w:t>on</w:t>
      </w:r>
      <w:proofErr w:type="spellEnd"/>
      <w:r w:rsidRPr="006C0087">
        <w:rPr>
          <w:rFonts w:cstheme="minorHAnsi"/>
          <w:b/>
          <w:bCs/>
          <w:sz w:val="23"/>
          <w:szCs w:val="23"/>
        </w:rPr>
        <w:t xml:space="preserve"> Consumer </w:t>
      </w:r>
      <w:proofErr w:type="spellStart"/>
      <w:r w:rsidRPr="006C0087">
        <w:rPr>
          <w:rFonts w:cstheme="minorHAnsi"/>
          <w:b/>
          <w:bCs/>
          <w:sz w:val="23"/>
          <w:szCs w:val="23"/>
        </w:rPr>
        <w:t>Product</w:t>
      </w:r>
      <w:proofErr w:type="spellEnd"/>
      <w:r w:rsidRPr="006C0087">
        <w:rPr>
          <w:rFonts w:cstheme="minorHAnsi"/>
          <w:b/>
          <w:bCs/>
          <w:sz w:val="23"/>
          <w:szCs w:val="23"/>
        </w:rPr>
        <w:t xml:space="preserve"> </w:t>
      </w:r>
      <w:proofErr w:type="spellStart"/>
      <w:r w:rsidRPr="006C0087">
        <w:rPr>
          <w:rFonts w:cstheme="minorHAnsi"/>
          <w:b/>
          <w:bCs/>
          <w:sz w:val="23"/>
          <w:szCs w:val="23"/>
        </w:rPr>
        <w:t>Safety</w:t>
      </w:r>
      <w:proofErr w:type="spellEnd"/>
      <w:r w:rsidRPr="00344CC7">
        <w:rPr>
          <w:rFonts w:cstheme="minorHAnsi"/>
          <w:sz w:val="23"/>
          <w:szCs w:val="23"/>
        </w:rPr>
        <w:t xml:space="preserve"> – adesão simultânea em 17 julho de 2020</w:t>
      </w:r>
      <w:r w:rsidR="00765585" w:rsidRPr="00344CC7">
        <w:rPr>
          <w:rFonts w:cstheme="minorHAnsi"/>
          <w:sz w:val="23"/>
          <w:szCs w:val="23"/>
        </w:rPr>
        <w:t xml:space="preserve">. Link para acesso: </w:t>
      </w:r>
      <w:hyperlink r:id="rId9" w:history="1">
        <w:r w:rsidR="00662019"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https://legalinstruments.oecd.org/en/instruments/OECD-LEGAL-0459</w:t>
        </w:r>
      </w:hyperlink>
      <w:r w:rsidR="00765585" w:rsidRPr="00344CC7">
        <w:rPr>
          <w:rFonts w:cstheme="minorHAnsi"/>
          <w:sz w:val="23"/>
          <w:szCs w:val="23"/>
        </w:rPr>
        <w:t>.</w:t>
      </w:r>
    </w:p>
    <w:p w14:paraId="65558D2C" w14:textId="4B1BB896" w:rsidR="00A14A1B" w:rsidRPr="00344CC7" w:rsidRDefault="00A14A1B" w:rsidP="006C0087">
      <w:pPr>
        <w:pStyle w:val="PargrafodaLista"/>
        <w:numPr>
          <w:ilvl w:val="0"/>
          <w:numId w:val="12"/>
        </w:numPr>
        <w:spacing w:after="120" w:line="240" w:lineRule="auto"/>
        <w:rPr>
          <w:rFonts w:cstheme="minorHAnsi"/>
          <w:sz w:val="23"/>
          <w:szCs w:val="23"/>
        </w:rPr>
      </w:pPr>
      <w:r w:rsidRPr="006C0087">
        <w:rPr>
          <w:rFonts w:cstheme="minorHAnsi"/>
          <w:b/>
          <w:bCs/>
          <w:sz w:val="23"/>
          <w:szCs w:val="23"/>
          <w:lang w:val="en-US"/>
        </w:rPr>
        <w:t>Recommendation of the Council Concerning Guidelines for Protecting Consumers from Fraudulent and Deceptive Commercial Practices across Borders</w:t>
      </w:r>
      <w:r w:rsidRPr="00344CC7">
        <w:rPr>
          <w:rFonts w:cstheme="minorHAnsi"/>
          <w:sz w:val="23"/>
          <w:szCs w:val="23"/>
          <w:lang w:val="en-US"/>
        </w:rPr>
        <w:t xml:space="preserve"> – </w:t>
      </w:r>
      <w:proofErr w:type="spellStart"/>
      <w:r w:rsidRPr="00344CC7">
        <w:rPr>
          <w:rFonts w:cstheme="minorHAnsi"/>
          <w:sz w:val="23"/>
          <w:szCs w:val="23"/>
          <w:lang w:val="en-US"/>
        </w:rPr>
        <w:t>adesão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</w:t>
      </w:r>
      <w:proofErr w:type="spellStart"/>
      <w:r w:rsidRPr="00344CC7">
        <w:rPr>
          <w:rFonts w:cstheme="minorHAnsi"/>
          <w:sz w:val="23"/>
          <w:szCs w:val="23"/>
          <w:lang w:val="en-US"/>
        </w:rPr>
        <w:t>em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18 de </w:t>
      </w:r>
      <w:proofErr w:type="spellStart"/>
      <w:r w:rsidRPr="00344CC7">
        <w:rPr>
          <w:rFonts w:cstheme="minorHAnsi"/>
          <w:sz w:val="23"/>
          <w:szCs w:val="23"/>
          <w:lang w:val="en-US"/>
        </w:rPr>
        <w:t>dezembro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de 2020</w:t>
      </w:r>
      <w:r w:rsidR="00765585" w:rsidRPr="00344CC7">
        <w:rPr>
          <w:rFonts w:cstheme="minorHAnsi"/>
          <w:sz w:val="23"/>
          <w:szCs w:val="23"/>
          <w:lang w:val="en-US"/>
        </w:rPr>
        <w:t xml:space="preserve">. </w:t>
      </w:r>
      <w:r w:rsidR="00765585" w:rsidRPr="00344CC7">
        <w:rPr>
          <w:rFonts w:cstheme="minorHAnsi"/>
          <w:sz w:val="23"/>
          <w:szCs w:val="23"/>
        </w:rPr>
        <w:t xml:space="preserve">Link para acesso: </w:t>
      </w:r>
      <w:hyperlink r:id="rId10" w:history="1">
        <w:r w:rsidR="00765585"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https://legalinstruments.oecd.org/en/instruments/OECD-LEGAL-0317</w:t>
        </w:r>
      </w:hyperlink>
      <w:r w:rsidR="00765585" w:rsidRPr="00344CC7">
        <w:rPr>
          <w:rFonts w:cstheme="minorHAnsi"/>
          <w:sz w:val="23"/>
          <w:szCs w:val="23"/>
        </w:rPr>
        <w:t>.</w:t>
      </w:r>
    </w:p>
    <w:p w14:paraId="1E15ACC6" w14:textId="23E4FC8B" w:rsidR="00A14A1B" w:rsidRPr="00344CC7" w:rsidRDefault="00A14A1B" w:rsidP="006C0087">
      <w:pPr>
        <w:pStyle w:val="PargrafodaLista"/>
        <w:numPr>
          <w:ilvl w:val="0"/>
          <w:numId w:val="12"/>
        </w:numPr>
        <w:spacing w:after="120" w:line="240" w:lineRule="auto"/>
        <w:rPr>
          <w:rFonts w:cstheme="minorHAnsi"/>
          <w:sz w:val="23"/>
          <w:szCs w:val="23"/>
        </w:rPr>
      </w:pPr>
      <w:r w:rsidRPr="006C0087">
        <w:rPr>
          <w:rFonts w:cstheme="minorHAnsi"/>
          <w:b/>
          <w:bCs/>
          <w:sz w:val="23"/>
          <w:szCs w:val="23"/>
          <w:lang w:val="en-US"/>
        </w:rPr>
        <w:t>Recommendation of the Council on Consumer Dispute Resolution and Redress</w:t>
      </w:r>
      <w:r w:rsidRPr="00344CC7">
        <w:rPr>
          <w:rFonts w:cstheme="minorHAnsi"/>
          <w:sz w:val="23"/>
          <w:szCs w:val="23"/>
          <w:lang w:val="en-US"/>
        </w:rPr>
        <w:t xml:space="preserve"> – </w:t>
      </w:r>
      <w:proofErr w:type="spellStart"/>
      <w:r w:rsidRPr="00344CC7">
        <w:rPr>
          <w:rFonts w:cstheme="minorHAnsi"/>
          <w:sz w:val="23"/>
          <w:szCs w:val="23"/>
          <w:lang w:val="en-US"/>
        </w:rPr>
        <w:t>adesão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</w:t>
      </w:r>
      <w:proofErr w:type="spellStart"/>
      <w:r w:rsidRPr="00344CC7">
        <w:rPr>
          <w:rFonts w:cstheme="minorHAnsi"/>
          <w:sz w:val="23"/>
          <w:szCs w:val="23"/>
          <w:lang w:val="en-US"/>
        </w:rPr>
        <w:t>em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18 de </w:t>
      </w:r>
      <w:proofErr w:type="spellStart"/>
      <w:r w:rsidRPr="00344CC7">
        <w:rPr>
          <w:rFonts w:cstheme="minorHAnsi"/>
          <w:sz w:val="23"/>
          <w:szCs w:val="23"/>
          <w:lang w:val="en-US"/>
        </w:rPr>
        <w:t>dezembro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de 2020</w:t>
      </w:r>
      <w:r w:rsidR="00662019" w:rsidRPr="00344CC7">
        <w:rPr>
          <w:rFonts w:cstheme="minorHAnsi"/>
          <w:sz w:val="23"/>
          <w:szCs w:val="23"/>
          <w:lang w:val="en-US"/>
        </w:rPr>
        <w:t xml:space="preserve">. </w:t>
      </w:r>
      <w:r w:rsidR="00662019" w:rsidRPr="00344CC7">
        <w:rPr>
          <w:rFonts w:cstheme="minorHAnsi"/>
          <w:sz w:val="23"/>
          <w:szCs w:val="23"/>
        </w:rPr>
        <w:t xml:space="preserve">Link para acesso: </w:t>
      </w:r>
      <w:hyperlink r:id="rId11" w:history="1">
        <w:r w:rsidR="00662019"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https://legalinstruments.oecd.org/en/instruments/OECD-LEGAL-0459</w:t>
        </w:r>
      </w:hyperlink>
      <w:r w:rsidR="00662019" w:rsidRPr="00344CC7">
        <w:rPr>
          <w:rFonts w:cstheme="minorHAnsi"/>
          <w:sz w:val="23"/>
          <w:szCs w:val="23"/>
        </w:rPr>
        <w:t>.</w:t>
      </w:r>
    </w:p>
    <w:p w14:paraId="4091EEF6" w14:textId="57C27C35" w:rsidR="00A14A1B" w:rsidRPr="00344CC7" w:rsidRDefault="00A14A1B" w:rsidP="006C0087">
      <w:pPr>
        <w:pStyle w:val="PargrafodaLista"/>
        <w:numPr>
          <w:ilvl w:val="0"/>
          <w:numId w:val="12"/>
        </w:numPr>
        <w:spacing w:after="120" w:line="240" w:lineRule="auto"/>
        <w:rPr>
          <w:rFonts w:cstheme="minorHAnsi"/>
          <w:sz w:val="23"/>
          <w:szCs w:val="23"/>
        </w:rPr>
      </w:pPr>
      <w:r w:rsidRPr="006C0087">
        <w:rPr>
          <w:rFonts w:cstheme="minorHAnsi"/>
          <w:b/>
          <w:bCs/>
          <w:sz w:val="23"/>
          <w:szCs w:val="23"/>
          <w:lang w:val="en-US"/>
        </w:rPr>
        <w:t>Recommendation of the Council on Consumer Policy Decision Making</w:t>
      </w:r>
      <w:r w:rsidR="006C0087">
        <w:rPr>
          <w:rFonts w:cstheme="minorHAnsi"/>
          <w:sz w:val="23"/>
          <w:szCs w:val="23"/>
          <w:lang w:val="en-US"/>
        </w:rPr>
        <w:t xml:space="preserve"> </w:t>
      </w:r>
      <w:r w:rsidRPr="00344CC7">
        <w:rPr>
          <w:rFonts w:cstheme="minorHAnsi"/>
          <w:sz w:val="23"/>
          <w:szCs w:val="23"/>
          <w:lang w:val="en-US"/>
        </w:rPr>
        <w:t xml:space="preserve">– </w:t>
      </w:r>
      <w:proofErr w:type="spellStart"/>
      <w:r w:rsidRPr="00344CC7">
        <w:rPr>
          <w:rFonts w:cstheme="minorHAnsi"/>
          <w:sz w:val="23"/>
          <w:szCs w:val="23"/>
          <w:lang w:val="en-US"/>
        </w:rPr>
        <w:t>adesão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</w:t>
      </w:r>
      <w:proofErr w:type="spellStart"/>
      <w:r w:rsidRPr="00344CC7">
        <w:rPr>
          <w:rFonts w:cstheme="minorHAnsi"/>
          <w:sz w:val="23"/>
          <w:szCs w:val="23"/>
          <w:lang w:val="en-US"/>
        </w:rPr>
        <w:t>em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18 de </w:t>
      </w:r>
      <w:proofErr w:type="spellStart"/>
      <w:r w:rsidRPr="00344CC7">
        <w:rPr>
          <w:rFonts w:cstheme="minorHAnsi"/>
          <w:sz w:val="23"/>
          <w:szCs w:val="23"/>
          <w:lang w:val="en-US"/>
        </w:rPr>
        <w:t>dezembro</w:t>
      </w:r>
      <w:proofErr w:type="spellEnd"/>
      <w:r w:rsidRPr="00344CC7">
        <w:rPr>
          <w:rFonts w:cstheme="minorHAnsi"/>
          <w:sz w:val="23"/>
          <w:szCs w:val="23"/>
          <w:lang w:val="en-US"/>
        </w:rPr>
        <w:t xml:space="preserve"> de 2020</w:t>
      </w:r>
      <w:r w:rsidR="00662019" w:rsidRPr="00344CC7">
        <w:rPr>
          <w:rFonts w:cstheme="minorHAnsi"/>
          <w:sz w:val="23"/>
          <w:szCs w:val="23"/>
          <w:lang w:val="en-US"/>
        </w:rPr>
        <w:t xml:space="preserve">. </w:t>
      </w:r>
      <w:r w:rsidR="00662019" w:rsidRPr="00344CC7">
        <w:rPr>
          <w:rFonts w:cstheme="minorHAnsi"/>
          <w:sz w:val="23"/>
          <w:szCs w:val="23"/>
        </w:rPr>
        <w:t xml:space="preserve">Link para acesso: </w:t>
      </w:r>
      <w:hyperlink r:id="rId12" w:history="1">
        <w:r w:rsidR="00662019"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https://legalinstruments.oecd.org/en/instruments/OECD-LEGAL-0403</w:t>
        </w:r>
      </w:hyperlink>
      <w:r w:rsidR="00662019" w:rsidRPr="00344CC7">
        <w:rPr>
          <w:rFonts w:cstheme="minorHAnsi"/>
          <w:sz w:val="23"/>
          <w:szCs w:val="23"/>
        </w:rPr>
        <w:t>.</w:t>
      </w:r>
    </w:p>
    <w:p w14:paraId="398934B3" w14:textId="5BE2C12F" w:rsidR="00A14A1B" w:rsidRPr="006C0087" w:rsidRDefault="00A14A1B" w:rsidP="006C0087">
      <w:pPr>
        <w:pStyle w:val="PargrafodaLista"/>
        <w:numPr>
          <w:ilvl w:val="0"/>
          <w:numId w:val="12"/>
        </w:numPr>
        <w:spacing w:after="120" w:line="240" w:lineRule="auto"/>
        <w:rPr>
          <w:rFonts w:cstheme="minorHAnsi"/>
          <w:sz w:val="23"/>
          <w:szCs w:val="23"/>
        </w:rPr>
      </w:pPr>
      <w:r w:rsidRPr="006C0087">
        <w:rPr>
          <w:rFonts w:cstheme="minorHAnsi"/>
          <w:b/>
          <w:bCs/>
          <w:sz w:val="23"/>
          <w:szCs w:val="23"/>
        </w:rPr>
        <w:t xml:space="preserve">Ministerial </w:t>
      </w:r>
      <w:proofErr w:type="spellStart"/>
      <w:r w:rsidRPr="006C0087">
        <w:rPr>
          <w:rFonts w:cstheme="minorHAnsi"/>
          <w:b/>
          <w:bCs/>
          <w:sz w:val="23"/>
          <w:szCs w:val="23"/>
        </w:rPr>
        <w:t>Declaration</w:t>
      </w:r>
      <w:proofErr w:type="spellEnd"/>
      <w:r w:rsidRPr="006C0087">
        <w:rPr>
          <w:rFonts w:cstheme="minorHAnsi"/>
          <w:b/>
          <w:bCs/>
          <w:sz w:val="23"/>
          <w:szCs w:val="23"/>
        </w:rPr>
        <w:t xml:space="preserve"> </w:t>
      </w:r>
      <w:proofErr w:type="spellStart"/>
      <w:r w:rsidRPr="006C0087">
        <w:rPr>
          <w:rFonts w:cstheme="minorHAnsi"/>
          <w:b/>
          <w:bCs/>
          <w:sz w:val="23"/>
          <w:szCs w:val="23"/>
        </w:rPr>
        <w:t>on</w:t>
      </w:r>
      <w:proofErr w:type="spellEnd"/>
      <w:r w:rsidRPr="006C0087">
        <w:rPr>
          <w:rFonts w:cstheme="minorHAnsi"/>
          <w:b/>
          <w:bCs/>
          <w:sz w:val="23"/>
          <w:szCs w:val="23"/>
        </w:rPr>
        <w:t xml:space="preserve"> Consumer Protection in </w:t>
      </w:r>
      <w:proofErr w:type="spellStart"/>
      <w:r w:rsidRPr="006C0087">
        <w:rPr>
          <w:rFonts w:cstheme="minorHAnsi"/>
          <w:b/>
          <w:bCs/>
          <w:sz w:val="23"/>
          <w:szCs w:val="23"/>
        </w:rPr>
        <w:t>the</w:t>
      </w:r>
      <w:proofErr w:type="spellEnd"/>
      <w:r w:rsidRPr="006C0087">
        <w:rPr>
          <w:rFonts w:cstheme="minorHAnsi"/>
          <w:b/>
          <w:bCs/>
          <w:sz w:val="23"/>
          <w:szCs w:val="23"/>
        </w:rPr>
        <w:t xml:space="preserve"> </w:t>
      </w:r>
      <w:proofErr w:type="spellStart"/>
      <w:r w:rsidRPr="006C0087">
        <w:rPr>
          <w:rFonts w:cstheme="minorHAnsi"/>
          <w:b/>
          <w:bCs/>
          <w:sz w:val="23"/>
          <w:szCs w:val="23"/>
        </w:rPr>
        <w:t>Context</w:t>
      </w:r>
      <w:proofErr w:type="spellEnd"/>
      <w:r w:rsidRPr="006C0087">
        <w:rPr>
          <w:rFonts w:cstheme="minorHAnsi"/>
          <w:b/>
          <w:bCs/>
          <w:sz w:val="23"/>
          <w:szCs w:val="23"/>
        </w:rPr>
        <w:t xml:space="preserve"> </w:t>
      </w:r>
      <w:proofErr w:type="spellStart"/>
      <w:r w:rsidRPr="006C0087">
        <w:rPr>
          <w:rFonts w:cstheme="minorHAnsi"/>
          <w:b/>
          <w:bCs/>
          <w:sz w:val="23"/>
          <w:szCs w:val="23"/>
        </w:rPr>
        <w:t>of</w:t>
      </w:r>
      <w:proofErr w:type="spellEnd"/>
      <w:r w:rsidRPr="006C0087">
        <w:rPr>
          <w:rFonts w:cstheme="minorHAnsi"/>
          <w:b/>
          <w:bCs/>
          <w:sz w:val="23"/>
          <w:szCs w:val="23"/>
        </w:rPr>
        <w:t xml:space="preserve"> </w:t>
      </w:r>
      <w:proofErr w:type="spellStart"/>
      <w:r w:rsidRPr="006C0087">
        <w:rPr>
          <w:rFonts w:cstheme="minorHAnsi"/>
          <w:b/>
          <w:bCs/>
          <w:sz w:val="23"/>
          <w:szCs w:val="23"/>
        </w:rPr>
        <w:t>Electronic</w:t>
      </w:r>
      <w:proofErr w:type="spellEnd"/>
      <w:r w:rsidRPr="006C0087">
        <w:rPr>
          <w:rFonts w:cstheme="minorHAnsi"/>
          <w:b/>
          <w:bCs/>
          <w:sz w:val="23"/>
          <w:szCs w:val="23"/>
        </w:rPr>
        <w:t xml:space="preserve"> </w:t>
      </w:r>
      <w:proofErr w:type="spellStart"/>
      <w:r w:rsidRPr="006C0087">
        <w:rPr>
          <w:rFonts w:cstheme="minorHAnsi"/>
          <w:b/>
          <w:bCs/>
          <w:sz w:val="23"/>
          <w:szCs w:val="23"/>
        </w:rPr>
        <w:t>Commerce</w:t>
      </w:r>
      <w:proofErr w:type="spellEnd"/>
      <w:r w:rsidRPr="006C0087">
        <w:rPr>
          <w:rFonts w:cstheme="minorHAnsi"/>
          <w:sz w:val="23"/>
          <w:szCs w:val="23"/>
        </w:rPr>
        <w:t xml:space="preserve"> – adesão em 18 de dezembro de 2020</w:t>
      </w:r>
      <w:r w:rsidR="00765585" w:rsidRPr="006C0087">
        <w:rPr>
          <w:rFonts w:cstheme="minorHAnsi"/>
          <w:sz w:val="23"/>
          <w:szCs w:val="23"/>
        </w:rPr>
        <w:t xml:space="preserve">. Link para acesso: </w:t>
      </w:r>
      <w:hyperlink r:id="rId13" w:history="1">
        <w:r w:rsidR="00765585" w:rsidRPr="006C0087">
          <w:rPr>
            <w:rStyle w:val="Hyperlink"/>
            <w:rFonts w:cstheme="minorHAnsi"/>
            <w:sz w:val="23"/>
            <w:szCs w:val="23"/>
          </w:rPr>
          <w:t>https://legalinstruments.oecd.org/en/instruments/OECD-LEGAL-0299</w:t>
        </w:r>
      </w:hyperlink>
      <w:r w:rsidR="00765585" w:rsidRPr="006C0087">
        <w:rPr>
          <w:rFonts w:cstheme="minorHAnsi"/>
          <w:sz w:val="23"/>
          <w:szCs w:val="23"/>
        </w:rPr>
        <w:t>.</w:t>
      </w:r>
    </w:p>
    <w:p w14:paraId="548CE5C2" w14:textId="7C118713" w:rsidR="00A14A1B" w:rsidRPr="006C0087" w:rsidRDefault="00A14A1B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4777CD41" w14:textId="77777777" w:rsidR="006C0087" w:rsidRPr="006C0087" w:rsidRDefault="006C0087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46AFD0B7" w14:textId="191B9DE5" w:rsidR="00A14A1B" w:rsidRDefault="009F6935" w:rsidP="00344CC7">
      <w:pPr>
        <w:spacing w:after="12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F31789">
        <w:rPr>
          <w:rFonts w:cstheme="minorHAnsi"/>
          <w:b/>
          <w:bCs/>
          <w:sz w:val="23"/>
          <w:szCs w:val="23"/>
        </w:rPr>
        <w:t>RESUMO DOS INSTRUMENTOS LEGAIS ADERIDOS (ORDEM CRONOLÓGICA):</w:t>
      </w:r>
    </w:p>
    <w:p w14:paraId="2F972124" w14:textId="77777777" w:rsidR="009F6935" w:rsidRPr="00F31789" w:rsidRDefault="009F6935" w:rsidP="00344CC7">
      <w:pPr>
        <w:spacing w:after="12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105D5EA4" w14:textId="7778F4A8" w:rsidR="00A14A1B" w:rsidRPr="009F6935" w:rsidRDefault="009F6935" w:rsidP="009F6935">
      <w:pPr>
        <w:spacing w:after="120" w:line="240" w:lineRule="auto"/>
        <w:jc w:val="center"/>
        <w:rPr>
          <w:rFonts w:cstheme="minorHAnsi"/>
          <w:b/>
          <w:bCs/>
          <w:sz w:val="23"/>
          <w:szCs w:val="23"/>
          <w:lang w:val="en-US"/>
        </w:rPr>
      </w:pPr>
      <w:r w:rsidRPr="009F6935">
        <w:rPr>
          <w:rFonts w:cstheme="minorHAnsi"/>
          <w:b/>
          <w:bCs/>
          <w:sz w:val="23"/>
          <w:szCs w:val="23"/>
          <w:lang w:val="en-US"/>
        </w:rPr>
        <w:t>OECD/LEGAL/0299 – 1998 MINISTERIAL DECLARATION ON CONSUMER PROTECTION IN THE CONTEXT OF ELECTRONIC COMMERCE</w:t>
      </w:r>
    </w:p>
    <w:p w14:paraId="208CB807" w14:textId="0781415C" w:rsidR="00662019" w:rsidRPr="00F31789" w:rsidRDefault="00662019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Tema: Proteção do Consumidor no </w:t>
      </w:r>
      <w:r w:rsidRPr="00F31789">
        <w:rPr>
          <w:rFonts w:cstheme="minorHAnsi"/>
          <w:sz w:val="23"/>
          <w:szCs w:val="23"/>
        </w:rPr>
        <w:t>Comércio Eletrônico (</w:t>
      </w:r>
      <w:r w:rsidRPr="00F31789">
        <w:rPr>
          <w:rFonts w:cstheme="minorHAnsi"/>
          <w:sz w:val="23"/>
          <w:szCs w:val="23"/>
        </w:rPr>
        <w:t>E-commerce</w:t>
      </w:r>
      <w:r w:rsidRPr="00F31789">
        <w:rPr>
          <w:rFonts w:cstheme="minorHAnsi"/>
          <w:sz w:val="23"/>
          <w:szCs w:val="23"/>
        </w:rPr>
        <w:t>)</w:t>
      </w:r>
    </w:p>
    <w:p w14:paraId="1412E055" w14:textId="54108033" w:rsidR="00662019" w:rsidRDefault="00662019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Link para acesso: </w:t>
      </w:r>
      <w:hyperlink r:id="rId14" w:history="1">
        <w:r w:rsidRPr="00F31789">
          <w:rPr>
            <w:rStyle w:val="Hyperlink"/>
            <w:rFonts w:cstheme="minorHAnsi"/>
            <w:sz w:val="23"/>
            <w:szCs w:val="23"/>
          </w:rPr>
          <w:t>https://legalinstruments.oecd.org/en/instruments/OECD-L</w:t>
        </w:r>
        <w:r w:rsidRPr="00F31789">
          <w:rPr>
            <w:rStyle w:val="Hyperlink"/>
            <w:rFonts w:cstheme="minorHAnsi"/>
            <w:sz w:val="23"/>
            <w:szCs w:val="23"/>
          </w:rPr>
          <w:t>E</w:t>
        </w:r>
        <w:r w:rsidRPr="00F31789">
          <w:rPr>
            <w:rStyle w:val="Hyperlink"/>
            <w:rFonts w:cstheme="minorHAnsi"/>
            <w:sz w:val="23"/>
            <w:szCs w:val="23"/>
          </w:rPr>
          <w:t>GAL-0299</w:t>
        </w:r>
      </w:hyperlink>
      <w:r w:rsidRPr="00F31789">
        <w:rPr>
          <w:rFonts w:cstheme="minorHAnsi"/>
          <w:sz w:val="23"/>
          <w:szCs w:val="23"/>
        </w:rPr>
        <w:t>.</w:t>
      </w:r>
    </w:p>
    <w:p w14:paraId="181316A5" w14:textId="77777777" w:rsidR="009F6935" w:rsidRPr="00F31789" w:rsidRDefault="009F6935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456F958F" w14:textId="77777777" w:rsidR="00662019" w:rsidRPr="00F31789" w:rsidRDefault="00662019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lastRenderedPageBreak/>
        <w:t xml:space="preserve">O </w:t>
      </w:r>
      <w:r w:rsidRPr="00F31789">
        <w:rPr>
          <w:rFonts w:cstheme="minorHAnsi"/>
          <w:sz w:val="23"/>
          <w:szCs w:val="23"/>
        </w:rPr>
        <w:t>instrumento</w:t>
      </w:r>
      <w:r w:rsidRPr="00F31789">
        <w:rPr>
          <w:rFonts w:cstheme="minorHAnsi"/>
          <w:sz w:val="23"/>
          <w:szCs w:val="23"/>
        </w:rPr>
        <w:t xml:space="preserve"> menciona a necessidade de transparência e efetivo nível de proteção ao consumidor nas transações digitais</w:t>
      </w:r>
      <w:r w:rsidRPr="00F31789">
        <w:rPr>
          <w:rFonts w:cstheme="minorHAnsi"/>
          <w:sz w:val="23"/>
          <w:szCs w:val="23"/>
        </w:rPr>
        <w:t>, por meio das seguintes medidas:</w:t>
      </w:r>
    </w:p>
    <w:p w14:paraId="2755106E" w14:textId="77777777" w:rsidR="00662019" w:rsidRPr="00F31789" w:rsidRDefault="00662019" w:rsidP="00F31789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revisar e adaptar leis e práticas para o comércio eletrônico (</w:t>
      </w:r>
      <w:r w:rsidRPr="00F31789">
        <w:rPr>
          <w:rFonts w:cstheme="minorHAnsi"/>
          <w:i/>
          <w:iCs/>
          <w:sz w:val="23"/>
          <w:szCs w:val="23"/>
        </w:rPr>
        <w:t xml:space="preserve">e-commerce), </w:t>
      </w:r>
    </w:p>
    <w:p w14:paraId="6A67A50B" w14:textId="77777777" w:rsidR="00662019" w:rsidRPr="00F31789" w:rsidRDefault="00662019" w:rsidP="00F31789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apoiar a criação de mecanismos eficazes de autorregulação, </w:t>
      </w:r>
    </w:p>
    <w:p w14:paraId="460B9EE8" w14:textId="46DC1282" w:rsidR="00662019" w:rsidRPr="00F31789" w:rsidRDefault="00662019" w:rsidP="00F31789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encorajar o desenvolvimento da tecnologia, aplicar medidas de educação de usuários para que tomem decisões informadas, bem como aumentar a conscientização das empresas sobre medidas de proteção ao consumidor, </w:t>
      </w:r>
      <w:r w:rsidRPr="00F31789">
        <w:rPr>
          <w:rFonts w:cstheme="minorHAnsi"/>
          <w:sz w:val="23"/>
          <w:szCs w:val="23"/>
        </w:rPr>
        <w:t>e</w:t>
      </w:r>
    </w:p>
    <w:p w14:paraId="235DB960" w14:textId="4A8F1738" w:rsidR="00662019" w:rsidRPr="00F31789" w:rsidRDefault="00662019" w:rsidP="00F31789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por fim, aumentar a conscientização de órgãos judiciais visando cooperação internacional e combate às práticas fraudentas e abusivas. </w:t>
      </w:r>
    </w:p>
    <w:p w14:paraId="5D9D5EAE" w14:textId="02569CE1" w:rsidR="00662019" w:rsidRPr="00F31789" w:rsidRDefault="00662019" w:rsidP="00F31789">
      <w:pPr>
        <w:spacing w:after="120" w:line="240" w:lineRule="auto"/>
        <w:ind w:firstLine="72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O</w:t>
      </w:r>
      <w:r w:rsidRPr="00F31789">
        <w:rPr>
          <w:rFonts w:cstheme="minorHAnsi"/>
          <w:sz w:val="23"/>
          <w:szCs w:val="23"/>
        </w:rPr>
        <w:t>s países declararam seu intuito de desenvolver parâmetros para aumentar a confiança do consumidor nas relações comerciais eletrônicas, bem como para aumentar o desenvolvimento do e-commerce no cenário global.</w:t>
      </w:r>
    </w:p>
    <w:p w14:paraId="6B42FDAC" w14:textId="703D5698" w:rsidR="00662019" w:rsidRPr="00F31789" w:rsidRDefault="00662019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58EB1661" w14:textId="24A55ED5" w:rsidR="00662019" w:rsidRPr="00F31789" w:rsidRDefault="006C0087" w:rsidP="006C0087">
      <w:pPr>
        <w:pStyle w:val="Ttulo2"/>
        <w:spacing w:after="120"/>
        <w:jc w:val="center"/>
        <w:rPr>
          <w:rFonts w:asciiTheme="minorHAnsi" w:hAnsiTheme="minorHAnsi" w:cstheme="minorHAnsi"/>
          <w:sz w:val="23"/>
          <w:szCs w:val="23"/>
          <w:lang w:val="en-US"/>
        </w:rPr>
      </w:pPr>
      <w:bookmarkStart w:id="0" w:name="_Toc48589029"/>
      <w:r w:rsidRPr="00F31789">
        <w:rPr>
          <w:rFonts w:asciiTheme="minorHAnsi" w:hAnsiTheme="minorHAnsi" w:cstheme="minorHAnsi"/>
          <w:sz w:val="23"/>
          <w:szCs w:val="23"/>
          <w:lang w:val="en-US"/>
        </w:rPr>
        <w:t>OECD/LEGAL/0317 – 2003 RECOMMENDATION OF THE COUNCIL CONCERNING GUIDELINES FOR PROTECTING CONSUMERS FROM FRAUDULENT AND DECEPTIVE COMMERCIAL PRACTICES ACROSS BORDERS</w:t>
      </w:r>
      <w:bookmarkEnd w:id="0"/>
    </w:p>
    <w:p w14:paraId="4D845994" w14:textId="2F1C3541" w:rsidR="00662019" w:rsidRPr="006C0087" w:rsidRDefault="00740016" w:rsidP="00F31789">
      <w:pPr>
        <w:pStyle w:val="Ttulo3"/>
        <w:spacing w:after="120"/>
        <w:rPr>
          <w:rFonts w:asciiTheme="minorHAnsi" w:hAnsiTheme="minorHAnsi" w:cstheme="minorHAnsi"/>
          <w:b w:val="0"/>
          <w:bCs/>
          <w:sz w:val="23"/>
          <w:szCs w:val="23"/>
        </w:rPr>
      </w:pPr>
      <w:bookmarkStart w:id="1" w:name="_Toc48589030"/>
      <w:r w:rsidRPr="006C0087">
        <w:rPr>
          <w:rFonts w:asciiTheme="minorHAnsi" w:hAnsiTheme="minorHAnsi" w:cstheme="minorHAnsi"/>
          <w:b w:val="0"/>
          <w:bCs/>
          <w:sz w:val="23"/>
          <w:szCs w:val="23"/>
        </w:rPr>
        <w:t xml:space="preserve">Tema: </w:t>
      </w:r>
      <w:r w:rsidR="00662019" w:rsidRPr="006C0087">
        <w:rPr>
          <w:rFonts w:asciiTheme="minorHAnsi" w:hAnsiTheme="minorHAnsi" w:cstheme="minorHAnsi"/>
          <w:b w:val="0"/>
          <w:bCs/>
          <w:sz w:val="23"/>
          <w:szCs w:val="23"/>
        </w:rPr>
        <w:t>Proteção de Consumidores contra Prática Comerciais Fraudulentas e Enganosas Transfronteiriças</w:t>
      </w:r>
      <w:bookmarkEnd w:id="1"/>
    </w:p>
    <w:p w14:paraId="6833CD36" w14:textId="77777777" w:rsidR="00740016" w:rsidRPr="00F31789" w:rsidRDefault="00740016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Link para acesso: </w:t>
      </w:r>
      <w:hyperlink r:id="rId15" w:history="1">
        <w:r w:rsidRPr="00F31789">
          <w:rPr>
            <w:rStyle w:val="Hyperlink"/>
            <w:rFonts w:cstheme="minorHAnsi"/>
            <w:sz w:val="23"/>
            <w:szCs w:val="23"/>
          </w:rPr>
          <w:t>https://legalinstruments.oecd.org/en/instrum</w:t>
        </w:r>
        <w:r w:rsidRPr="00F31789">
          <w:rPr>
            <w:rStyle w:val="Hyperlink"/>
            <w:rFonts w:cstheme="minorHAnsi"/>
            <w:sz w:val="23"/>
            <w:szCs w:val="23"/>
          </w:rPr>
          <w:t>e</w:t>
        </w:r>
        <w:r w:rsidRPr="00F31789">
          <w:rPr>
            <w:rStyle w:val="Hyperlink"/>
            <w:rFonts w:cstheme="minorHAnsi"/>
            <w:sz w:val="23"/>
            <w:szCs w:val="23"/>
          </w:rPr>
          <w:t>nts/OECD-LEGAL-0317</w:t>
        </w:r>
      </w:hyperlink>
      <w:r w:rsidRPr="00F31789">
        <w:rPr>
          <w:rFonts w:cstheme="minorHAnsi"/>
          <w:sz w:val="23"/>
          <w:szCs w:val="23"/>
        </w:rPr>
        <w:t>.</w:t>
      </w:r>
    </w:p>
    <w:p w14:paraId="4D484FD8" w14:textId="77777777" w:rsidR="00662019" w:rsidRPr="00F31789" w:rsidRDefault="00662019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218C8EBE" w14:textId="6E0898F2" w:rsidR="00662019" w:rsidRPr="00F31789" w:rsidRDefault="00662019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A Recomendação </w:t>
      </w:r>
      <w:r w:rsidR="00740016" w:rsidRPr="00F31789">
        <w:rPr>
          <w:rFonts w:cstheme="minorHAnsi"/>
          <w:sz w:val="23"/>
          <w:szCs w:val="23"/>
        </w:rPr>
        <w:t xml:space="preserve">determina </w:t>
      </w:r>
      <w:r w:rsidRPr="00F31789">
        <w:rPr>
          <w:rFonts w:cstheme="minorHAnsi"/>
          <w:sz w:val="23"/>
          <w:szCs w:val="23"/>
        </w:rPr>
        <w:t xml:space="preserve">que as agências de proteção ao consumidor dos países membros cooperem entre si ao implementar leis para coibir a prática de fraude </w:t>
      </w:r>
      <w:r w:rsidR="00D005CC" w:rsidRPr="00F31789">
        <w:rPr>
          <w:rFonts w:cstheme="minorHAnsi"/>
          <w:sz w:val="23"/>
          <w:szCs w:val="23"/>
        </w:rPr>
        <w:t xml:space="preserve">de consumo </w:t>
      </w:r>
      <w:r w:rsidRPr="00F31789">
        <w:rPr>
          <w:rFonts w:cstheme="minorHAnsi"/>
          <w:sz w:val="23"/>
          <w:szCs w:val="23"/>
        </w:rPr>
        <w:t xml:space="preserve">ou práticas comerciais enganosas. </w:t>
      </w:r>
    </w:p>
    <w:p w14:paraId="418A43B6" w14:textId="77777777" w:rsidR="00740016" w:rsidRPr="00F31789" w:rsidRDefault="00662019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 Também, recomenda que os países membros desenvolvam uma estrutura para que a cooperação entre as agências aconteça de forma mais célere, próxima e eficiente. Deve-se, portanto: </w:t>
      </w:r>
    </w:p>
    <w:p w14:paraId="44A8B43D" w14:textId="77777777" w:rsidR="00740016" w:rsidRPr="00F31789" w:rsidRDefault="00662019" w:rsidP="00F31789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estabelecer um sistema no direito interno para o combate às práticas comerciais mencionadas; </w:t>
      </w:r>
    </w:p>
    <w:p w14:paraId="70B4E045" w14:textId="77777777" w:rsidR="00740016" w:rsidRPr="00F31789" w:rsidRDefault="00662019" w:rsidP="00F31789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aprimorar o sistema de notificações, o compartilhamento de informações e a assistência investigativa;</w:t>
      </w:r>
    </w:p>
    <w:p w14:paraId="6A52724F" w14:textId="77777777" w:rsidR="00740016" w:rsidRPr="00F31789" w:rsidRDefault="00662019" w:rsidP="00F31789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melhorar a proteção de consumidores nacionais em mercados estrangeiros e a proteção de estrangeiros no mercado nacional</w:t>
      </w:r>
      <w:r w:rsidR="00740016" w:rsidRPr="00F31789">
        <w:rPr>
          <w:rFonts w:cstheme="minorHAnsi"/>
          <w:sz w:val="23"/>
          <w:szCs w:val="23"/>
        </w:rPr>
        <w:t>;</w:t>
      </w:r>
    </w:p>
    <w:p w14:paraId="09DBCFB9" w14:textId="0F3D546F" w:rsidR="00740016" w:rsidRPr="00F31789" w:rsidRDefault="00662019" w:rsidP="00F31789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avaliar como garantir a efetiva reparação de danos aos consumidores atingidos pela prática de fraude e atos comercia</w:t>
      </w:r>
      <w:r w:rsidR="002F54FF" w:rsidRPr="00F31789">
        <w:rPr>
          <w:rFonts w:cstheme="minorHAnsi"/>
          <w:sz w:val="23"/>
          <w:szCs w:val="23"/>
        </w:rPr>
        <w:t>i</w:t>
      </w:r>
      <w:r w:rsidRPr="00F31789">
        <w:rPr>
          <w:rFonts w:cstheme="minorHAnsi"/>
          <w:sz w:val="23"/>
          <w:szCs w:val="23"/>
        </w:rPr>
        <w:t xml:space="preserve">s fraudulentos; e </w:t>
      </w:r>
    </w:p>
    <w:p w14:paraId="284CE4D1" w14:textId="1423CED0" w:rsidR="00662019" w:rsidRPr="00F31789" w:rsidRDefault="00662019" w:rsidP="00F31789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cooperar com entidades privadas. </w:t>
      </w:r>
    </w:p>
    <w:p w14:paraId="4DA884F7" w14:textId="77777777" w:rsidR="00662019" w:rsidRPr="00F31789" w:rsidRDefault="00662019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No anexo – que é um detalhamento da Recomendação e sua parte integrante –, são apresentadas diretrizes para proteção dos consumidores contra práticas comerciais fraudulentas ou enganosas, em especial nas transações </w:t>
      </w:r>
      <w:r w:rsidRPr="00F31789">
        <w:rPr>
          <w:rFonts w:cstheme="minorHAnsi"/>
          <w:i/>
          <w:iCs/>
          <w:sz w:val="23"/>
          <w:szCs w:val="23"/>
        </w:rPr>
        <w:t>Business-</w:t>
      </w:r>
      <w:proofErr w:type="spellStart"/>
      <w:r w:rsidRPr="00F31789">
        <w:rPr>
          <w:rFonts w:cstheme="minorHAnsi"/>
          <w:i/>
          <w:iCs/>
          <w:sz w:val="23"/>
          <w:szCs w:val="23"/>
        </w:rPr>
        <w:t>to</w:t>
      </w:r>
      <w:proofErr w:type="spellEnd"/>
      <w:r w:rsidRPr="00F31789">
        <w:rPr>
          <w:rFonts w:cstheme="minorHAnsi"/>
          <w:i/>
          <w:iCs/>
          <w:sz w:val="23"/>
          <w:szCs w:val="23"/>
        </w:rPr>
        <w:t>-Consumer</w:t>
      </w:r>
      <w:r w:rsidRPr="00F31789">
        <w:rPr>
          <w:rFonts w:cstheme="minorHAnsi"/>
          <w:sz w:val="23"/>
          <w:szCs w:val="23"/>
        </w:rPr>
        <w:t xml:space="preserve"> (</w:t>
      </w:r>
      <w:r w:rsidRPr="00F31789">
        <w:rPr>
          <w:rFonts w:cstheme="minorHAnsi"/>
          <w:i/>
          <w:iCs/>
          <w:sz w:val="23"/>
          <w:szCs w:val="23"/>
        </w:rPr>
        <w:t>B2C</w:t>
      </w:r>
      <w:r w:rsidRPr="00F31789">
        <w:rPr>
          <w:rFonts w:cstheme="minorHAnsi"/>
          <w:sz w:val="23"/>
          <w:szCs w:val="23"/>
        </w:rPr>
        <w:t xml:space="preserve">). Essas diretrizes são voltadas em primeiro momento aos órgãos públicos nacionais, definidos por cada país membro, com autoridade para execução das medidas para a proteção dos consumidores. </w:t>
      </w:r>
    </w:p>
    <w:p w14:paraId="38CD6875" w14:textId="77777777" w:rsidR="002F54FF" w:rsidRPr="00F31789" w:rsidRDefault="00662019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Portanto, para combater as práticas transfronteiriças fraudulentas e enganosas, os países devem introduzir e manter agências, leis, instituições, práticas e iniciativas conjuntas para limitar as práticas comerciais tratadas na Recomendação. Para isso, é necessário: </w:t>
      </w:r>
    </w:p>
    <w:p w14:paraId="71345A93" w14:textId="77777777" w:rsidR="00D005CC" w:rsidRPr="00F31789" w:rsidRDefault="00662019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lastRenderedPageBreak/>
        <w:t xml:space="preserve">(1) a implementação de medidas efetivas em “forma e nível adequados” para coibir a ação das empresas fraudulentas; </w:t>
      </w:r>
    </w:p>
    <w:p w14:paraId="554C8578" w14:textId="77777777" w:rsidR="00D005CC" w:rsidRPr="00F31789" w:rsidRDefault="00662019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(2) instaurar mecanismos efetivos para investigar, preservar, obter e compartilhar informações e evidências importantes; e </w:t>
      </w:r>
    </w:p>
    <w:p w14:paraId="4535B8A8" w14:textId="0083A48E" w:rsidR="00662019" w:rsidRPr="00F31789" w:rsidRDefault="00662019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(3) instaurar mecanismos para deter empresas que utilizam essas práticas e reparar os danos sofridos pelos consumidores atingidos. </w:t>
      </w:r>
    </w:p>
    <w:p w14:paraId="1CF9939C" w14:textId="77777777" w:rsidR="002F1313" w:rsidRPr="00F31789" w:rsidRDefault="002F1313" w:rsidP="00F31789">
      <w:pPr>
        <w:spacing w:after="120" w:line="240" w:lineRule="auto"/>
        <w:jc w:val="both"/>
        <w:rPr>
          <w:rFonts w:cstheme="minorHAnsi"/>
          <w:sz w:val="23"/>
          <w:szCs w:val="23"/>
          <w:lang w:val="en-US"/>
        </w:rPr>
      </w:pPr>
    </w:p>
    <w:p w14:paraId="2FC34C2E" w14:textId="3EEAE450" w:rsidR="002F1313" w:rsidRPr="006C0087" w:rsidRDefault="006C0087" w:rsidP="006C0087">
      <w:pPr>
        <w:spacing w:after="120" w:line="240" w:lineRule="auto"/>
        <w:jc w:val="center"/>
        <w:rPr>
          <w:rFonts w:cstheme="minorHAnsi"/>
          <w:b/>
          <w:bCs/>
          <w:sz w:val="23"/>
          <w:szCs w:val="23"/>
          <w:lang w:val="en-US"/>
        </w:rPr>
      </w:pPr>
      <w:r w:rsidRPr="006C0087">
        <w:rPr>
          <w:rFonts w:cstheme="minorHAnsi"/>
          <w:b/>
          <w:bCs/>
          <w:sz w:val="23"/>
          <w:szCs w:val="23"/>
          <w:lang w:val="en-US"/>
        </w:rPr>
        <w:t>OECD/LEGAL/0344 - 2006 RECOMMENDATION ON CROSS-BORDER CO-OPERATION IN THE ENFORCEMENT OF LAWS AGAINST SPAM</w:t>
      </w:r>
    </w:p>
    <w:p w14:paraId="724E5886" w14:textId="36E0611C" w:rsidR="002F1313" w:rsidRDefault="002F1313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Tema:</w:t>
      </w:r>
      <w:r w:rsidRPr="00F31789">
        <w:rPr>
          <w:rFonts w:cstheme="minorHAnsi"/>
          <w:sz w:val="23"/>
          <w:szCs w:val="23"/>
        </w:rPr>
        <w:t xml:space="preserve"> Cooperação Transfronteiriça para a Eficácia de Leis contra o Spam</w:t>
      </w:r>
    </w:p>
    <w:p w14:paraId="58FA359A" w14:textId="175EDC25" w:rsidR="006C0087" w:rsidRDefault="006C0087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344CC7">
        <w:rPr>
          <w:rFonts w:cstheme="minorHAnsi"/>
          <w:sz w:val="23"/>
          <w:szCs w:val="23"/>
        </w:rPr>
        <w:t xml:space="preserve">Link para acesso: </w:t>
      </w:r>
      <w:hyperlink r:id="rId16" w:history="1">
        <w:r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https://legalinstruments.oecd.org/en/instruments/OECD-LEGAL-0344</w:t>
        </w:r>
      </w:hyperlink>
      <w:r w:rsidRPr="00344CC7">
        <w:rPr>
          <w:rFonts w:cstheme="minorHAnsi"/>
          <w:sz w:val="23"/>
          <w:szCs w:val="23"/>
        </w:rPr>
        <w:t>.</w:t>
      </w:r>
    </w:p>
    <w:p w14:paraId="713EF58B" w14:textId="77777777" w:rsidR="006C0087" w:rsidRPr="00F31789" w:rsidRDefault="006C0087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6F034876" w14:textId="4CAB88CD" w:rsidR="002F1313" w:rsidRPr="00F31789" w:rsidRDefault="002F1313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Em 2006 o Conselho da OECD aprovou </w:t>
      </w:r>
      <w:r w:rsidRPr="00F31789">
        <w:rPr>
          <w:rFonts w:cstheme="minorHAnsi"/>
          <w:sz w:val="23"/>
          <w:szCs w:val="23"/>
        </w:rPr>
        <w:t xml:space="preserve">essa </w:t>
      </w:r>
      <w:r w:rsidRPr="00F31789">
        <w:rPr>
          <w:rFonts w:cstheme="minorHAnsi"/>
          <w:sz w:val="23"/>
          <w:szCs w:val="23"/>
        </w:rPr>
        <w:t xml:space="preserve">Recomendação sobre a Cooperação Transfronteiriça para a Eficácia de Leis contra o </w:t>
      </w:r>
      <w:r w:rsidRPr="00F31789">
        <w:rPr>
          <w:rFonts w:cstheme="minorHAnsi"/>
          <w:i/>
          <w:iCs/>
          <w:sz w:val="23"/>
          <w:szCs w:val="23"/>
        </w:rPr>
        <w:t>Spam</w:t>
      </w:r>
      <w:r w:rsidRPr="00F31789">
        <w:rPr>
          <w:rFonts w:cstheme="minorHAnsi"/>
          <w:sz w:val="23"/>
          <w:szCs w:val="23"/>
        </w:rPr>
        <w:t xml:space="preserve">. Parte-se do princípio que a recepção de </w:t>
      </w:r>
      <w:r w:rsidRPr="00F31789">
        <w:rPr>
          <w:rFonts w:cstheme="minorHAnsi"/>
          <w:i/>
          <w:iCs/>
          <w:sz w:val="23"/>
          <w:szCs w:val="23"/>
        </w:rPr>
        <w:t xml:space="preserve">spam </w:t>
      </w:r>
      <w:r w:rsidRPr="00F31789">
        <w:rPr>
          <w:rFonts w:cstheme="minorHAnsi"/>
          <w:sz w:val="23"/>
          <w:szCs w:val="23"/>
        </w:rPr>
        <w:t>tende a minar a confiança do consumidor nos meios eletrônicos, inclusive pela disseminação de vírus e relação com práticas fraudulentas. Reconhece-se, ainda, a natureza internacional do problema e, consequentemente, a necessidade de cooperação transfronteiriça para seu enfrentamento.</w:t>
      </w:r>
    </w:p>
    <w:p w14:paraId="40977642" w14:textId="190EDD52" w:rsidR="000D505B" w:rsidRPr="00F31789" w:rsidRDefault="000D505B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Dessa forma, a</w:t>
      </w:r>
      <w:r w:rsidRPr="00F31789">
        <w:rPr>
          <w:rFonts w:cstheme="minorHAnsi"/>
          <w:sz w:val="23"/>
          <w:szCs w:val="23"/>
        </w:rPr>
        <w:t xml:space="preserve"> Recomendação abarca os seguintes pontos:</w:t>
      </w:r>
    </w:p>
    <w:p w14:paraId="0DA0A6E9" w14:textId="77777777" w:rsidR="000D505B" w:rsidRPr="00F31789" w:rsidRDefault="000D505B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(a) O estabelecimento de um quadro normativo e institucional nacional,</w:t>
      </w:r>
    </w:p>
    <w:p w14:paraId="672FDF75" w14:textId="77777777" w:rsidR="000D505B" w:rsidRPr="00F31789" w:rsidRDefault="000D505B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(b) A melhora das capacidades nacionais de cooperação,</w:t>
      </w:r>
    </w:p>
    <w:p w14:paraId="329C68CA" w14:textId="77777777" w:rsidR="000D505B" w:rsidRPr="00F31789" w:rsidRDefault="000D505B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(c)  A melhora dos procedimentos de cooperação e</w:t>
      </w:r>
    </w:p>
    <w:p w14:paraId="356CECB1" w14:textId="77777777" w:rsidR="000D505B" w:rsidRPr="00F31789" w:rsidRDefault="000D505B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(d) A cooperação com entidades setoriais relevantes.</w:t>
      </w:r>
    </w:p>
    <w:p w14:paraId="01BFE01D" w14:textId="77777777" w:rsidR="002F1313" w:rsidRPr="00F31789" w:rsidRDefault="002F1313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Segundo o OECD </w:t>
      </w:r>
      <w:proofErr w:type="spellStart"/>
      <w:r w:rsidRPr="00F31789">
        <w:rPr>
          <w:rFonts w:cstheme="minorHAnsi"/>
          <w:sz w:val="23"/>
          <w:szCs w:val="23"/>
        </w:rPr>
        <w:t>Anti-Spam</w:t>
      </w:r>
      <w:proofErr w:type="spellEnd"/>
      <w:r w:rsidRPr="00F31789">
        <w:rPr>
          <w:rFonts w:cstheme="minorHAnsi"/>
          <w:sz w:val="23"/>
          <w:szCs w:val="23"/>
        </w:rPr>
        <w:t xml:space="preserve"> Toolkit, cada país tem o seu entendimento sobre a definição de </w:t>
      </w:r>
      <w:r w:rsidRPr="00F31789">
        <w:rPr>
          <w:rFonts w:cstheme="minorHAnsi"/>
          <w:i/>
          <w:iCs/>
          <w:sz w:val="23"/>
          <w:szCs w:val="23"/>
        </w:rPr>
        <w:t xml:space="preserve">spam, </w:t>
      </w:r>
      <w:r w:rsidRPr="00F31789">
        <w:rPr>
          <w:rFonts w:cstheme="minorHAnsi"/>
          <w:sz w:val="23"/>
          <w:szCs w:val="23"/>
        </w:rPr>
        <w:t>entretanto identificou-se características comuns dentre essas definições, quais sejam:</w:t>
      </w:r>
    </w:p>
    <w:p w14:paraId="39056A70" w14:textId="67B63E57" w:rsidR="002F1313" w:rsidRPr="00F31789" w:rsidRDefault="002F1313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- “Mensagem eletrônica: os </w:t>
      </w:r>
      <w:r w:rsidRPr="00F31789">
        <w:rPr>
          <w:rFonts w:cstheme="minorHAnsi"/>
          <w:i/>
          <w:iCs/>
          <w:sz w:val="23"/>
          <w:szCs w:val="23"/>
        </w:rPr>
        <w:t xml:space="preserve">spans </w:t>
      </w:r>
      <w:r w:rsidRPr="00F31789">
        <w:rPr>
          <w:rFonts w:cstheme="minorHAnsi"/>
          <w:sz w:val="23"/>
          <w:szCs w:val="23"/>
        </w:rPr>
        <w:t xml:space="preserve">são enviados eletronicamente. Apesar de o e-mail ser o meio mais comum, outros canais também são utilizados para enviar </w:t>
      </w:r>
      <w:r w:rsidRPr="00F31789">
        <w:rPr>
          <w:rFonts w:cstheme="minorHAnsi"/>
          <w:i/>
          <w:iCs/>
          <w:sz w:val="23"/>
          <w:szCs w:val="23"/>
        </w:rPr>
        <w:t>spans</w:t>
      </w:r>
      <w:r w:rsidRPr="00F31789">
        <w:rPr>
          <w:rFonts w:cstheme="minorHAnsi"/>
          <w:sz w:val="23"/>
          <w:szCs w:val="23"/>
        </w:rPr>
        <w:t>, como através do celular por SMS e MMS, chamadas telefônicas automática</w:t>
      </w:r>
      <w:r w:rsidRPr="00F31789">
        <w:rPr>
          <w:rFonts w:cstheme="minorHAnsi"/>
          <w:sz w:val="23"/>
          <w:szCs w:val="23"/>
        </w:rPr>
        <w:t>s</w:t>
      </w:r>
      <w:r w:rsidRPr="00F31789">
        <w:rPr>
          <w:rFonts w:cstheme="minorHAnsi"/>
          <w:sz w:val="23"/>
          <w:szCs w:val="23"/>
        </w:rPr>
        <w:t xml:space="preserve">, entre outros. </w:t>
      </w:r>
    </w:p>
    <w:p w14:paraId="1FD1237B" w14:textId="77777777" w:rsidR="002F1313" w:rsidRPr="00F31789" w:rsidRDefault="002F1313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- Mensagens de origem oculta ou falsa: mensagens de spam geralmente são enviadas de modo a disfarçar a identidade do emitente utilizando informações falsas no cabeçalho. Os </w:t>
      </w:r>
      <w:proofErr w:type="spellStart"/>
      <w:r w:rsidRPr="00F31789">
        <w:rPr>
          <w:rFonts w:cstheme="minorHAnsi"/>
          <w:i/>
          <w:iCs/>
          <w:sz w:val="23"/>
          <w:szCs w:val="23"/>
        </w:rPr>
        <w:t>spammers</w:t>
      </w:r>
      <w:proofErr w:type="spellEnd"/>
      <w:r w:rsidRPr="00F31789">
        <w:rPr>
          <w:rFonts w:cstheme="minorHAnsi"/>
          <w:i/>
          <w:iCs/>
          <w:sz w:val="23"/>
          <w:szCs w:val="23"/>
        </w:rPr>
        <w:t xml:space="preserve"> </w:t>
      </w:r>
      <w:r w:rsidRPr="00F31789">
        <w:rPr>
          <w:rFonts w:cstheme="minorHAnsi"/>
          <w:sz w:val="23"/>
          <w:szCs w:val="23"/>
        </w:rPr>
        <w:t xml:space="preserve">tendem a utilizar servidores de e-mail não autorizados de terceiros. </w:t>
      </w:r>
    </w:p>
    <w:p w14:paraId="354AF988" w14:textId="77777777" w:rsidR="002F1313" w:rsidRPr="00F31789" w:rsidRDefault="002F1313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- Spam não apresenta um endereço válido e funcional para o qual os destinatários podem enviar mensagens optando por não receber mais mensagens não solicitadas.</w:t>
      </w:r>
    </w:p>
    <w:p w14:paraId="185393B3" w14:textId="77777777" w:rsidR="002F1313" w:rsidRPr="00F31789" w:rsidRDefault="002F1313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- Conteúdo ilegal ou ofensivo: o spam é frequentemente um veículo para envio de conteúdo fraudulento ou enganoso, vírus etc. Outros </w:t>
      </w:r>
      <w:r w:rsidRPr="00F31789">
        <w:rPr>
          <w:rFonts w:cstheme="minorHAnsi"/>
          <w:i/>
          <w:iCs/>
          <w:sz w:val="23"/>
          <w:szCs w:val="23"/>
        </w:rPr>
        <w:t>spams</w:t>
      </w:r>
      <w:r w:rsidRPr="00F31789">
        <w:rPr>
          <w:rFonts w:cstheme="minorHAnsi"/>
          <w:sz w:val="23"/>
          <w:szCs w:val="23"/>
        </w:rPr>
        <w:t xml:space="preserve"> incluem conteúdo adulto ou ofensivo, que pode ser ilegal em alguns países, principalmente se for enviado a menores.</w:t>
      </w:r>
    </w:p>
    <w:p w14:paraId="595603D5" w14:textId="77777777" w:rsidR="002F1313" w:rsidRPr="00F31789" w:rsidRDefault="002F1313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- Utilização de endereços sem o consentimento do proprietário: os </w:t>
      </w:r>
      <w:proofErr w:type="spellStart"/>
      <w:r w:rsidRPr="00F31789">
        <w:rPr>
          <w:rFonts w:cstheme="minorHAnsi"/>
          <w:i/>
          <w:iCs/>
          <w:sz w:val="23"/>
          <w:szCs w:val="23"/>
        </w:rPr>
        <w:t>spammers</w:t>
      </w:r>
      <w:proofErr w:type="spellEnd"/>
      <w:r w:rsidRPr="00F31789">
        <w:rPr>
          <w:rFonts w:cstheme="minorHAnsi"/>
          <w:sz w:val="23"/>
          <w:szCs w:val="23"/>
        </w:rPr>
        <w:t xml:space="preserve"> geralmente usam endereços de e-mail que foram coletados sem o consentimento explícito do proprietário. Isso geralmente é feito por meio de programas de software que reúnem endereços da Web ou criam endereços de e-mail (</w:t>
      </w:r>
      <w:proofErr w:type="spellStart"/>
      <w:r w:rsidRPr="00F31789">
        <w:rPr>
          <w:rFonts w:cstheme="minorHAnsi"/>
          <w:i/>
          <w:iCs/>
          <w:sz w:val="23"/>
          <w:szCs w:val="23"/>
        </w:rPr>
        <w:t>harvesting</w:t>
      </w:r>
      <w:proofErr w:type="spellEnd"/>
      <w:r w:rsidRPr="00F31789">
        <w:rPr>
          <w:rFonts w:cstheme="minorHAnsi"/>
          <w:i/>
          <w:iCs/>
          <w:sz w:val="23"/>
          <w:szCs w:val="23"/>
        </w:rPr>
        <w:t xml:space="preserve"> </w:t>
      </w:r>
      <w:proofErr w:type="spellStart"/>
      <w:r w:rsidRPr="00F31789">
        <w:rPr>
          <w:rFonts w:cstheme="minorHAnsi"/>
          <w:i/>
          <w:iCs/>
          <w:sz w:val="23"/>
          <w:szCs w:val="23"/>
        </w:rPr>
        <w:t>and</w:t>
      </w:r>
      <w:proofErr w:type="spellEnd"/>
      <w:r w:rsidRPr="00F31789">
        <w:rPr>
          <w:rFonts w:cstheme="minorHAnsi"/>
          <w:i/>
          <w:iCs/>
          <w:sz w:val="23"/>
          <w:szCs w:val="23"/>
        </w:rPr>
        <w:t xml:space="preserve"> </w:t>
      </w:r>
      <w:proofErr w:type="spellStart"/>
      <w:r w:rsidRPr="00F31789">
        <w:rPr>
          <w:rFonts w:cstheme="minorHAnsi"/>
          <w:i/>
          <w:iCs/>
          <w:sz w:val="23"/>
          <w:szCs w:val="23"/>
        </w:rPr>
        <w:t>dictionary</w:t>
      </w:r>
      <w:proofErr w:type="spellEnd"/>
      <w:r w:rsidRPr="00F31789">
        <w:rPr>
          <w:rFonts w:cstheme="minorHAnsi"/>
          <w:i/>
          <w:iCs/>
          <w:sz w:val="23"/>
          <w:szCs w:val="23"/>
        </w:rPr>
        <w:t xml:space="preserve"> </w:t>
      </w:r>
      <w:proofErr w:type="spellStart"/>
      <w:r w:rsidRPr="00F31789">
        <w:rPr>
          <w:rFonts w:cstheme="minorHAnsi"/>
          <w:i/>
          <w:iCs/>
          <w:sz w:val="23"/>
          <w:szCs w:val="23"/>
        </w:rPr>
        <w:t>attacks</w:t>
      </w:r>
      <w:proofErr w:type="spellEnd"/>
      <w:r w:rsidRPr="00F31789">
        <w:rPr>
          <w:rFonts w:cstheme="minorHAnsi"/>
          <w:sz w:val="23"/>
          <w:szCs w:val="23"/>
        </w:rPr>
        <w:t>).</w:t>
      </w:r>
    </w:p>
    <w:p w14:paraId="53DDD8FF" w14:textId="77777777" w:rsidR="002F1313" w:rsidRPr="00F31789" w:rsidRDefault="002F1313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lastRenderedPageBreak/>
        <w:t xml:space="preserve">- Em massa e repetitiva: as mensagens de spam geralmente são enviadas em massa de maneira indiscriminada, sem nenhum conhecimento sobre o destinatário que não seja o seu endereço de e-mail”. </w:t>
      </w:r>
    </w:p>
    <w:p w14:paraId="7C3002DF" w14:textId="62C3A571" w:rsidR="00662019" w:rsidRPr="00F31789" w:rsidRDefault="00662019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7D03791C" w14:textId="25522BAD" w:rsidR="002F1313" w:rsidRPr="00F31789" w:rsidRDefault="006C0087" w:rsidP="006C0087">
      <w:pPr>
        <w:spacing w:after="120" w:line="240" w:lineRule="auto"/>
        <w:jc w:val="center"/>
        <w:rPr>
          <w:rFonts w:cstheme="minorHAnsi"/>
          <w:b/>
          <w:bCs/>
          <w:sz w:val="23"/>
          <w:szCs w:val="23"/>
          <w:lang w:val="en-US"/>
        </w:rPr>
      </w:pPr>
      <w:r w:rsidRPr="00F31789">
        <w:rPr>
          <w:rFonts w:cstheme="minorHAnsi"/>
          <w:b/>
          <w:bCs/>
          <w:sz w:val="23"/>
          <w:szCs w:val="23"/>
          <w:lang w:val="en-US"/>
        </w:rPr>
        <w:t>OECD/LEGAL/0356 - 2007 RECOMMENDATION OF THE COUNCIL ON CONSUMER DISPUTE RESOLUTION AND REDRESS</w:t>
      </w:r>
    </w:p>
    <w:p w14:paraId="094A2D39" w14:textId="5C62593F" w:rsidR="002F1313" w:rsidRDefault="002F1313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Tema:</w:t>
      </w:r>
      <w:r w:rsidRPr="00F31789">
        <w:rPr>
          <w:rFonts w:cstheme="minorHAnsi"/>
          <w:sz w:val="23"/>
          <w:szCs w:val="23"/>
        </w:rPr>
        <w:t xml:space="preserve"> Mecanismos de Resolução de Disputas </w:t>
      </w:r>
      <w:r w:rsidRPr="00F31789">
        <w:rPr>
          <w:rFonts w:cstheme="minorHAnsi"/>
          <w:sz w:val="23"/>
          <w:szCs w:val="23"/>
        </w:rPr>
        <w:t xml:space="preserve">de </w:t>
      </w:r>
      <w:r w:rsidRPr="00F31789">
        <w:rPr>
          <w:rFonts w:cstheme="minorHAnsi"/>
          <w:sz w:val="23"/>
          <w:szCs w:val="23"/>
        </w:rPr>
        <w:t>Consum</w:t>
      </w:r>
      <w:r w:rsidRPr="00F31789">
        <w:rPr>
          <w:rFonts w:cstheme="minorHAnsi"/>
          <w:sz w:val="23"/>
          <w:szCs w:val="23"/>
        </w:rPr>
        <w:t>o</w:t>
      </w:r>
      <w:r w:rsidRPr="00F31789">
        <w:rPr>
          <w:rFonts w:cstheme="minorHAnsi"/>
          <w:sz w:val="23"/>
          <w:szCs w:val="23"/>
        </w:rPr>
        <w:t xml:space="preserve"> e Reparaçã</w:t>
      </w:r>
      <w:r w:rsidRPr="00F31789">
        <w:rPr>
          <w:rFonts w:cstheme="minorHAnsi"/>
          <w:sz w:val="23"/>
          <w:szCs w:val="23"/>
        </w:rPr>
        <w:t>o</w:t>
      </w:r>
    </w:p>
    <w:p w14:paraId="4406B814" w14:textId="690C3CA9" w:rsidR="006C0087" w:rsidRDefault="006C0087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344CC7">
        <w:rPr>
          <w:rFonts w:cstheme="minorHAnsi"/>
          <w:sz w:val="23"/>
          <w:szCs w:val="23"/>
        </w:rPr>
        <w:t xml:space="preserve">Link para acesso: </w:t>
      </w:r>
      <w:hyperlink r:id="rId17" w:history="1">
        <w:r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https://legalinstruments.oecd.org/en/instruments/OECD-LEGAL-0459</w:t>
        </w:r>
      </w:hyperlink>
      <w:r w:rsidRPr="00344CC7">
        <w:rPr>
          <w:rFonts w:cstheme="minorHAnsi"/>
          <w:sz w:val="23"/>
          <w:szCs w:val="23"/>
        </w:rPr>
        <w:t>.</w:t>
      </w:r>
    </w:p>
    <w:p w14:paraId="701EB660" w14:textId="77777777" w:rsidR="006C0087" w:rsidRPr="00F31789" w:rsidRDefault="006C0087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561AAA37" w14:textId="1D7D9497" w:rsidR="003131E4" w:rsidRPr="00F31789" w:rsidRDefault="003131E4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A presente recomendação de 2007 dispõe sobre mecanismos para os consumidores visando a resolução de disputas e reparação por danos econômicos causados em transações </w:t>
      </w:r>
      <w:r w:rsidRPr="00F31789">
        <w:rPr>
          <w:rFonts w:cstheme="minorHAnsi"/>
          <w:i/>
          <w:sz w:val="23"/>
          <w:szCs w:val="23"/>
        </w:rPr>
        <w:t>B2C</w:t>
      </w:r>
      <w:r w:rsidRPr="00F31789">
        <w:rPr>
          <w:rFonts w:cstheme="minorHAnsi"/>
          <w:sz w:val="23"/>
          <w:szCs w:val="23"/>
        </w:rPr>
        <w:t xml:space="preserve"> de bens e serviços, incluindo transações transfronteiriças, reconhecendo que o conflito deve tentar ser resolvido pelas partes antes da intervenção de terceiro. </w:t>
      </w:r>
    </w:p>
    <w:p w14:paraId="1CC1AC7D" w14:textId="0070D288" w:rsidR="003131E4" w:rsidRPr="00F31789" w:rsidRDefault="003131E4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No que tange à terminologia da Recomendação</w:t>
      </w:r>
      <w:r w:rsidRPr="00F31789">
        <w:rPr>
          <w:rFonts w:cstheme="minorHAnsi"/>
          <w:sz w:val="23"/>
          <w:szCs w:val="23"/>
        </w:rPr>
        <w:t>, seguem as seguintes definições:</w:t>
      </w:r>
    </w:p>
    <w:p w14:paraId="3AE7CD91" w14:textId="77777777" w:rsidR="003131E4" w:rsidRPr="00F31789" w:rsidRDefault="003131E4" w:rsidP="00F31789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“resolução de disputas” é o uso de mecanismos que permitem que o consumidor que tenha sofrido danos econômicos de transações envolvendo bens ou serviços tenham a possibilidade de resolver seus problemas e requerer reparação. </w:t>
      </w:r>
    </w:p>
    <w:p w14:paraId="5800E00A" w14:textId="69C5F922" w:rsidR="003131E4" w:rsidRPr="00F31789" w:rsidRDefault="003131E4" w:rsidP="00F31789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“reparação” é a compensação econômica pelo dano sofrido, tanto em pecúnia quanto por obrigações de fazer (condutas restaurativas), como a troca de um bem ou serviço. </w:t>
      </w:r>
    </w:p>
    <w:p w14:paraId="6837AE36" w14:textId="46B4646A" w:rsidR="003131E4" w:rsidRPr="00F31789" w:rsidRDefault="003131E4" w:rsidP="00F31789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“dano econômico”</w:t>
      </w:r>
      <w:r w:rsidRPr="00F31789">
        <w:rPr>
          <w:rFonts w:cstheme="minorHAnsi"/>
          <w:sz w:val="23"/>
          <w:szCs w:val="23"/>
        </w:rPr>
        <w:t xml:space="preserve">: </w:t>
      </w:r>
      <w:r w:rsidRPr="00F31789">
        <w:rPr>
          <w:rFonts w:cstheme="minorHAnsi"/>
          <w:sz w:val="23"/>
          <w:szCs w:val="23"/>
        </w:rPr>
        <w:t>a efetiva perda de dinheiro em razão de alguma violação da lei em face do consumidor.</w:t>
      </w:r>
    </w:p>
    <w:p w14:paraId="349FB43A" w14:textId="6EAFC579" w:rsidR="003131E4" w:rsidRPr="00F31789" w:rsidRDefault="003131E4" w:rsidP="00F31789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“autoridade de implementação da defesa do consumidor” é o órgão público nacional determinado por cada país membro para aplicar medidas que coíbam práticas comerciais fraudulentas, enganosas ou injustas e que tenham o poder de conduzir investigações e conduzir procedimentos de implementação de medidas.</w:t>
      </w:r>
    </w:p>
    <w:p w14:paraId="6DD1F1AE" w14:textId="5D55B1FF" w:rsidR="003131E4" w:rsidRPr="00F31789" w:rsidRDefault="003131E4" w:rsidP="00F31789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“consumidores desfavorecidos ou vulneráveis” entende-se que são aqueles com alguma característica ou circunstância pessoal excepcional que possam enfrentar dificuldades para requer reparação e iniciar procedimentos de resolução de disputas.</w:t>
      </w:r>
    </w:p>
    <w:p w14:paraId="2A318D88" w14:textId="77777777" w:rsidR="003131E4" w:rsidRPr="00F31789" w:rsidRDefault="003131E4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Os membros devem rever as políticas de resolução de disputas e reparação existentes, a fim de fornecer o uso fácil, tempestivo e efetivo dessas medidas. Devem ainda fornecer soluções que enderecem especificamente a diversidade de problemas que possam surgir de reclamações consumeristas e deve focar na facilidade de obtenção ou facilitação de reparação monetária.</w:t>
      </w:r>
    </w:p>
    <w:p w14:paraId="4A0F74D8" w14:textId="77777777" w:rsidR="003131E4" w:rsidRPr="00F31789" w:rsidRDefault="003131E4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O Conselho estipulou três categorias, complementares e mutuamente aplicáveis, para que os países membros forneçam aos consumidores mecanismos de reparação e resolução de disputas previstas em cada uma das categorias, sendo elas: mecanismos para </w:t>
      </w:r>
      <w:r w:rsidRPr="00F31789">
        <w:rPr>
          <w:rFonts w:cstheme="minorHAnsi"/>
          <w:sz w:val="23"/>
          <w:szCs w:val="23"/>
          <w:u w:val="single"/>
        </w:rPr>
        <w:t>ação individual</w:t>
      </w:r>
      <w:r w:rsidRPr="00F31789">
        <w:rPr>
          <w:rFonts w:cstheme="minorHAnsi"/>
          <w:sz w:val="23"/>
          <w:szCs w:val="23"/>
        </w:rPr>
        <w:t xml:space="preserve"> dos consumidores, mecanismos para </w:t>
      </w:r>
      <w:r w:rsidRPr="00F31789">
        <w:rPr>
          <w:rFonts w:cstheme="minorHAnsi"/>
          <w:sz w:val="23"/>
          <w:szCs w:val="23"/>
          <w:u w:val="single"/>
        </w:rPr>
        <w:t>ação coletiva</w:t>
      </w:r>
      <w:r w:rsidRPr="00F31789">
        <w:rPr>
          <w:rFonts w:cstheme="minorHAnsi"/>
          <w:sz w:val="23"/>
          <w:szCs w:val="23"/>
        </w:rPr>
        <w:t xml:space="preserve"> dos consumidores e mecanismos para que as </w:t>
      </w:r>
      <w:r w:rsidRPr="00F31789">
        <w:rPr>
          <w:rFonts w:cstheme="minorHAnsi"/>
          <w:sz w:val="23"/>
          <w:szCs w:val="23"/>
          <w:u w:val="single"/>
        </w:rPr>
        <w:t>autoridades de implementação da defesa do consumidor garantam a reparação ao consumidor</w:t>
      </w:r>
      <w:r w:rsidRPr="00F31789">
        <w:rPr>
          <w:rFonts w:cstheme="minorHAnsi"/>
          <w:sz w:val="23"/>
          <w:szCs w:val="23"/>
        </w:rPr>
        <w:t xml:space="preserve">. </w:t>
      </w:r>
    </w:p>
    <w:p w14:paraId="41118EF5" w14:textId="77777777" w:rsidR="003131E4" w:rsidRPr="00F31789" w:rsidRDefault="003131E4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No que tange a disputas transfronteiriças, é necessário aumentar a efetividade de aplicação das medidas. Deve-se ter como objetivo (1) promover informações claras para os </w:t>
      </w:r>
      <w:r w:rsidRPr="00F31789">
        <w:rPr>
          <w:rFonts w:cstheme="minorHAnsi"/>
          <w:sz w:val="23"/>
          <w:szCs w:val="23"/>
        </w:rPr>
        <w:lastRenderedPageBreak/>
        <w:t xml:space="preserve">consumidores e organizações de consumidores quanto a resolução de disputa e reparação em âmbito judicial e extrajudicial; (2) participar de redes de contatos nacionais e internacionais; (3) aumentar a conscientização dos participantes do sistema de justiça conforme às necessidades de consumidores estrangeiros afetados; (4) encorajar o uso de novas tecnologias; (5) diminuir barreiras de acesso para requerentes estrangeiros; (5) incentivar acordos bilaterais e multilaterais para melhorar a cooperação judicial internacional na recuperação de ativos estrangeiros e na execução de sentenças.  </w:t>
      </w:r>
    </w:p>
    <w:p w14:paraId="06AEDA90" w14:textId="17CFDEE8" w:rsidR="002F1313" w:rsidRPr="00F31789" w:rsidRDefault="002F1313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606CC2CC" w14:textId="5A498F1A" w:rsidR="00A14A1B" w:rsidRPr="00F31789" w:rsidRDefault="006C0087" w:rsidP="006C0087">
      <w:pPr>
        <w:spacing w:after="120" w:line="240" w:lineRule="auto"/>
        <w:jc w:val="center"/>
        <w:rPr>
          <w:rFonts w:cstheme="minorHAnsi"/>
          <w:b/>
          <w:bCs/>
          <w:sz w:val="23"/>
          <w:szCs w:val="23"/>
          <w:lang w:val="en-US"/>
        </w:rPr>
      </w:pPr>
      <w:r w:rsidRPr="00F31789">
        <w:rPr>
          <w:rFonts w:cstheme="minorHAnsi"/>
          <w:b/>
          <w:bCs/>
          <w:sz w:val="23"/>
          <w:szCs w:val="23"/>
          <w:lang w:val="en-US"/>
        </w:rPr>
        <w:t>OECD/LEGAL/0403 - 2014 RECOMMENDATION OF THE COUNCIL ON CONSUMER POLICY DECISION MAKING</w:t>
      </w:r>
    </w:p>
    <w:p w14:paraId="52E38946" w14:textId="77777777" w:rsidR="006C0087" w:rsidRDefault="002A5246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Tema: </w:t>
      </w:r>
      <w:r w:rsidR="00A14A1B" w:rsidRPr="00F31789">
        <w:rPr>
          <w:rFonts w:cstheme="minorHAnsi"/>
          <w:sz w:val="23"/>
          <w:szCs w:val="23"/>
        </w:rPr>
        <w:t>Desenvolvimento e implementação de processos de tomada de decisões</w:t>
      </w:r>
    </w:p>
    <w:p w14:paraId="40673EDC" w14:textId="77777777" w:rsidR="006C0087" w:rsidRDefault="006C0087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344CC7">
        <w:rPr>
          <w:rFonts w:cstheme="minorHAnsi"/>
          <w:sz w:val="23"/>
          <w:szCs w:val="23"/>
        </w:rPr>
        <w:t xml:space="preserve">Link para acesso: </w:t>
      </w:r>
      <w:hyperlink r:id="rId18" w:history="1">
        <w:r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https://legalinstruments.oecd.org/en/instruments/OECD-LEGAL-0403</w:t>
        </w:r>
      </w:hyperlink>
      <w:r w:rsidRPr="00344CC7">
        <w:rPr>
          <w:rFonts w:cstheme="minorHAnsi"/>
          <w:sz w:val="23"/>
          <w:szCs w:val="23"/>
        </w:rPr>
        <w:t>.</w:t>
      </w:r>
    </w:p>
    <w:p w14:paraId="2BBC3E56" w14:textId="0133EF12" w:rsidR="00A14A1B" w:rsidRPr="00F31789" w:rsidRDefault="00A14A1B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ab/>
      </w:r>
    </w:p>
    <w:p w14:paraId="1C4E72E5" w14:textId="4F9CE0FD" w:rsidR="002A5246" w:rsidRPr="00F31789" w:rsidRDefault="002A5246" w:rsidP="00F31789">
      <w:pPr>
        <w:spacing w:after="120" w:line="240" w:lineRule="auto"/>
        <w:ind w:firstLine="360"/>
        <w:jc w:val="both"/>
        <w:rPr>
          <w:rFonts w:eastAsia="Garamond" w:cstheme="minorHAnsi"/>
          <w:sz w:val="23"/>
          <w:szCs w:val="23"/>
        </w:rPr>
      </w:pPr>
      <w:r w:rsidRPr="00F31789">
        <w:rPr>
          <w:rFonts w:eastAsia="Garamond" w:cstheme="minorHAnsi"/>
          <w:sz w:val="23"/>
          <w:szCs w:val="23"/>
        </w:rPr>
        <w:t xml:space="preserve">A </w:t>
      </w:r>
      <w:r w:rsidRPr="00F31789">
        <w:rPr>
          <w:rFonts w:eastAsia="Garamond" w:cstheme="minorHAnsi"/>
          <w:sz w:val="23"/>
          <w:szCs w:val="23"/>
        </w:rPr>
        <w:t xml:space="preserve">Recomendação sugere o desenvolvimento e implementação de processo para tomada de decisões em matéria de políticas públicas de consumo, com as seguintes especificações: </w:t>
      </w:r>
    </w:p>
    <w:p w14:paraId="089A732B" w14:textId="77777777" w:rsidR="002A5246" w:rsidRPr="00F31789" w:rsidRDefault="002A5246" w:rsidP="00F31789">
      <w:pPr>
        <w:pStyle w:val="PargrafodaLista"/>
        <w:numPr>
          <w:ilvl w:val="0"/>
          <w:numId w:val="5"/>
        </w:numPr>
        <w:spacing w:after="120" w:line="240" w:lineRule="auto"/>
        <w:ind w:left="1080" w:hanging="720"/>
        <w:jc w:val="both"/>
        <w:rPr>
          <w:rFonts w:eastAsia="Garamond" w:cstheme="minorHAnsi"/>
          <w:sz w:val="23"/>
          <w:szCs w:val="23"/>
        </w:rPr>
      </w:pPr>
      <w:r w:rsidRPr="00F31789">
        <w:rPr>
          <w:rFonts w:eastAsia="Garamond" w:cstheme="minorHAnsi"/>
          <w:sz w:val="23"/>
          <w:szCs w:val="23"/>
        </w:rPr>
        <w:t xml:space="preserve">“definir a natureza e a fonte de um problema, designar uma autoridade específica para analisar e endereçar o problema e considerar possíveis conflitos com atuais políticas públicas causados em razão da solução encontrada para o problema”; </w:t>
      </w:r>
    </w:p>
    <w:p w14:paraId="2840E009" w14:textId="77777777" w:rsidR="002A5246" w:rsidRPr="00F31789" w:rsidRDefault="002A5246" w:rsidP="00F31789">
      <w:pPr>
        <w:pStyle w:val="PargrafodaLista"/>
        <w:numPr>
          <w:ilvl w:val="0"/>
          <w:numId w:val="5"/>
        </w:numPr>
        <w:spacing w:after="120" w:line="240" w:lineRule="auto"/>
        <w:ind w:left="1080" w:hanging="720"/>
        <w:jc w:val="both"/>
        <w:rPr>
          <w:rFonts w:eastAsia="Garamond" w:cstheme="minorHAnsi"/>
          <w:sz w:val="23"/>
          <w:szCs w:val="23"/>
        </w:rPr>
      </w:pPr>
      <w:r w:rsidRPr="00F31789">
        <w:rPr>
          <w:rFonts w:eastAsia="Garamond" w:cstheme="minorHAnsi"/>
          <w:sz w:val="23"/>
          <w:szCs w:val="23"/>
        </w:rPr>
        <w:t>“avaliar a natureza e magnitude dos danos causados ao consumidor, incluindo o número e tipo de consumidores que possam ser afetados, bem como a forma em que foram prejudicados”;</w:t>
      </w:r>
    </w:p>
    <w:p w14:paraId="5BDF8193" w14:textId="77777777" w:rsidR="002A5246" w:rsidRPr="00F31789" w:rsidRDefault="002A5246" w:rsidP="00F31789">
      <w:pPr>
        <w:pStyle w:val="PargrafodaLista"/>
        <w:numPr>
          <w:ilvl w:val="0"/>
          <w:numId w:val="5"/>
        </w:numPr>
        <w:spacing w:after="120" w:line="240" w:lineRule="auto"/>
        <w:ind w:left="1080" w:hanging="720"/>
        <w:jc w:val="both"/>
        <w:rPr>
          <w:rFonts w:eastAsia="Garamond" w:cstheme="minorHAnsi"/>
          <w:sz w:val="23"/>
          <w:szCs w:val="23"/>
        </w:rPr>
      </w:pPr>
      <w:r w:rsidRPr="00F31789">
        <w:rPr>
          <w:rFonts w:eastAsia="Garamond" w:cstheme="minorHAnsi"/>
          <w:sz w:val="23"/>
          <w:szCs w:val="23"/>
        </w:rPr>
        <w:t>“determinar se uma ação é justificada, analisando o nível em que o consumidor foi afetado, os impactos desproporcionais em relação a algum tipo de consumidor, a duração prevista do prejuízo e as prováveis consequências de não tomar decisões’;</w:t>
      </w:r>
    </w:p>
    <w:p w14:paraId="287AC91C" w14:textId="77777777" w:rsidR="002A5246" w:rsidRPr="00F31789" w:rsidRDefault="002A5246" w:rsidP="00F31789">
      <w:pPr>
        <w:pStyle w:val="PargrafodaLista"/>
        <w:numPr>
          <w:ilvl w:val="0"/>
          <w:numId w:val="5"/>
        </w:numPr>
        <w:spacing w:after="120" w:line="240" w:lineRule="auto"/>
        <w:ind w:left="1080" w:hanging="720"/>
        <w:jc w:val="both"/>
        <w:rPr>
          <w:rFonts w:eastAsia="Garamond" w:cstheme="minorHAnsi"/>
          <w:sz w:val="23"/>
          <w:szCs w:val="23"/>
        </w:rPr>
      </w:pPr>
      <w:r w:rsidRPr="00F31789">
        <w:rPr>
          <w:rFonts w:eastAsia="Garamond" w:cstheme="minorHAnsi"/>
          <w:sz w:val="23"/>
          <w:szCs w:val="23"/>
        </w:rPr>
        <w:t xml:space="preserve">“firmar objetivos para a política pública que sejam compatíveis com as metas gerais de políticas para o consumidor, a fim de reduzir ou eliminar os prejuízos que possam afetar o comprador. Ainda, recomenda identificar as opções para utilização de um ou mais instrumentos de políticas públicas voltadas ao consumidor para atingir os objetivos escalados” e considerar medidas que outros atores possam tomar; </w:t>
      </w:r>
    </w:p>
    <w:p w14:paraId="0981EF72" w14:textId="77777777" w:rsidR="002A5246" w:rsidRPr="00F31789" w:rsidRDefault="002A5246" w:rsidP="00F31789">
      <w:pPr>
        <w:pStyle w:val="PargrafodaLista"/>
        <w:numPr>
          <w:ilvl w:val="0"/>
          <w:numId w:val="5"/>
        </w:numPr>
        <w:spacing w:after="120" w:line="240" w:lineRule="auto"/>
        <w:ind w:left="1080" w:hanging="720"/>
        <w:jc w:val="both"/>
        <w:rPr>
          <w:rFonts w:eastAsia="Garamond" w:cstheme="minorHAnsi"/>
          <w:sz w:val="23"/>
          <w:szCs w:val="23"/>
        </w:rPr>
      </w:pPr>
      <w:r w:rsidRPr="00F31789">
        <w:rPr>
          <w:rFonts w:eastAsia="Garamond" w:cstheme="minorHAnsi"/>
          <w:sz w:val="23"/>
          <w:szCs w:val="23"/>
        </w:rPr>
        <w:t>“avaliar as opções para determinar a política a ser aplicada da forma mais apropriada e com melhor custo-benefício”;</w:t>
      </w:r>
    </w:p>
    <w:p w14:paraId="58CBABB3" w14:textId="77777777" w:rsidR="002A5246" w:rsidRPr="00F31789" w:rsidRDefault="002A5246" w:rsidP="00F31789">
      <w:pPr>
        <w:pStyle w:val="PargrafodaLista"/>
        <w:numPr>
          <w:ilvl w:val="0"/>
          <w:numId w:val="5"/>
        </w:numPr>
        <w:spacing w:after="120" w:line="240" w:lineRule="auto"/>
        <w:ind w:left="1080" w:hanging="720"/>
        <w:jc w:val="both"/>
        <w:rPr>
          <w:rFonts w:eastAsia="Garamond" w:cstheme="minorHAnsi"/>
          <w:sz w:val="23"/>
          <w:szCs w:val="23"/>
        </w:rPr>
      </w:pPr>
      <w:r w:rsidRPr="00F31789">
        <w:rPr>
          <w:rFonts w:eastAsia="Garamond" w:cstheme="minorHAnsi"/>
          <w:sz w:val="23"/>
          <w:szCs w:val="23"/>
        </w:rPr>
        <w:t xml:space="preserve">desenvolver um processo de revisão e avaliação das medidas adotadas, a fim de avaliar periodicamente a política utilizada e sua efetividade. </w:t>
      </w:r>
    </w:p>
    <w:p w14:paraId="1886D037" w14:textId="77777777" w:rsidR="002A5246" w:rsidRPr="00F31789" w:rsidRDefault="002A5246" w:rsidP="00F31789">
      <w:pPr>
        <w:spacing w:after="120" w:line="240" w:lineRule="auto"/>
        <w:ind w:firstLine="360"/>
        <w:jc w:val="both"/>
        <w:rPr>
          <w:rFonts w:eastAsia="Garamond" w:cstheme="minorHAnsi"/>
          <w:sz w:val="23"/>
          <w:szCs w:val="23"/>
        </w:rPr>
      </w:pPr>
      <w:r w:rsidRPr="00F31789">
        <w:rPr>
          <w:rFonts w:eastAsia="Garamond" w:cstheme="minorHAnsi"/>
          <w:sz w:val="23"/>
          <w:szCs w:val="23"/>
        </w:rPr>
        <w:t>Além dos pontos apresentados, o Conselho recomenda a aplicação das políticas públicas em todos os níveis de governo voltadas à resolução de problemas consumeristas locais, nacionais e internacionais. Ainda, aconselha utilizar o processo de tomada de decisões de políticas públicas consumeristas para ajudar na estipulação de quais violações à lei consumerista estão sujeitas à atuação dos órgãos de proteção dos consumidores e quais meios podem ser empregados para tanto.</w:t>
      </w:r>
    </w:p>
    <w:p w14:paraId="06EE8DD3" w14:textId="77777777" w:rsidR="002A5246" w:rsidRPr="00F31789" w:rsidRDefault="002A5246" w:rsidP="00F31789">
      <w:pPr>
        <w:spacing w:after="120" w:line="240" w:lineRule="auto"/>
        <w:ind w:firstLine="360"/>
        <w:jc w:val="both"/>
        <w:rPr>
          <w:rFonts w:eastAsia="Garamond" w:cstheme="minorHAnsi"/>
          <w:sz w:val="23"/>
          <w:szCs w:val="23"/>
        </w:rPr>
      </w:pPr>
      <w:r w:rsidRPr="00F31789">
        <w:rPr>
          <w:rFonts w:eastAsia="Garamond" w:cstheme="minorHAnsi"/>
          <w:sz w:val="23"/>
          <w:szCs w:val="23"/>
        </w:rPr>
        <w:t xml:space="preserve">Ademais, a recomendação sugere o engajamento de diversos </w:t>
      </w:r>
      <w:r w:rsidRPr="00F31789">
        <w:rPr>
          <w:rFonts w:eastAsia="Garamond" w:cstheme="minorHAnsi"/>
          <w:i/>
          <w:iCs/>
          <w:sz w:val="23"/>
          <w:szCs w:val="23"/>
        </w:rPr>
        <w:t>stakeholders</w:t>
      </w:r>
      <w:r w:rsidRPr="00F31789">
        <w:rPr>
          <w:rFonts w:eastAsia="Garamond" w:cstheme="minorHAnsi"/>
          <w:sz w:val="23"/>
          <w:szCs w:val="23"/>
        </w:rPr>
        <w:t xml:space="preserve"> a fim de obter informações, consultorias técnicas e opiniões sobre as questões abordadas. </w:t>
      </w:r>
    </w:p>
    <w:p w14:paraId="03CD9D10" w14:textId="74151A13" w:rsidR="002A5246" w:rsidRPr="00F31789" w:rsidRDefault="002A5246" w:rsidP="00F31789">
      <w:pPr>
        <w:spacing w:after="120" w:line="240" w:lineRule="auto"/>
        <w:ind w:firstLine="360"/>
        <w:jc w:val="both"/>
        <w:rPr>
          <w:rFonts w:eastAsia="Garamond" w:cstheme="minorHAnsi"/>
          <w:sz w:val="23"/>
          <w:szCs w:val="23"/>
        </w:rPr>
      </w:pPr>
      <w:r w:rsidRPr="00F31789">
        <w:rPr>
          <w:rFonts w:eastAsia="Garamond" w:cstheme="minorHAnsi"/>
          <w:sz w:val="23"/>
          <w:szCs w:val="23"/>
        </w:rPr>
        <w:lastRenderedPageBreak/>
        <w:t xml:space="preserve">Embora esse seja um modelo bastante geral e flexível, há alguns aspectos que podem ser ressaltados. A metodologia proposta aponta para uma sistemática de </w:t>
      </w:r>
      <w:r w:rsidRPr="00F31789">
        <w:rPr>
          <w:rFonts w:eastAsia="Garamond" w:cstheme="minorHAnsi"/>
          <w:i/>
          <w:iCs/>
          <w:sz w:val="23"/>
          <w:szCs w:val="23"/>
        </w:rPr>
        <w:t>estruturação concentrada das políticas de consumo e proteção de consumidores</w:t>
      </w:r>
      <w:r w:rsidRPr="00F31789">
        <w:rPr>
          <w:rFonts w:eastAsia="Garamond" w:cstheme="minorHAnsi"/>
          <w:sz w:val="23"/>
          <w:szCs w:val="23"/>
        </w:rPr>
        <w:t xml:space="preserve">. Ao expressar o entendimento que a identificação e caracterização dos problemas sejam feitos por uma autoridade que, em seguida, analisa a natureza do problema, a pertinência das políticas, os conjuntos de ações pautados por juízos de eficiência e custo-benefício, além de processar a crítica das políticas mediante avaliação e revisão. </w:t>
      </w:r>
      <w:r w:rsidRPr="00F31789">
        <w:rPr>
          <w:rFonts w:eastAsia="Garamond" w:cstheme="minorHAnsi"/>
          <w:sz w:val="23"/>
          <w:szCs w:val="23"/>
        </w:rPr>
        <w:t xml:space="preserve">Ademais, o </w:t>
      </w:r>
      <w:r w:rsidRPr="00F31789">
        <w:rPr>
          <w:rFonts w:eastAsia="Garamond" w:cstheme="minorHAnsi"/>
          <w:sz w:val="23"/>
          <w:szCs w:val="23"/>
        </w:rPr>
        <w:t>documento</w:t>
      </w:r>
      <w:r w:rsidRPr="00F31789">
        <w:rPr>
          <w:rFonts w:cstheme="minorHAnsi"/>
          <w:sz w:val="23"/>
          <w:szCs w:val="23"/>
        </w:rPr>
        <w:t xml:space="preserve"> </w:t>
      </w:r>
      <w:r w:rsidRPr="00F31789">
        <w:rPr>
          <w:rFonts w:cstheme="minorHAnsi"/>
          <w:sz w:val="23"/>
          <w:szCs w:val="23"/>
        </w:rPr>
        <w:t xml:space="preserve">da OCDE </w:t>
      </w:r>
      <w:r w:rsidRPr="00F31789">
        <w:rPr>
          <w:rFonts w:eastAsia="Garamond" w:cstheme="minorHAnsi"/>
          <w:i/>
          <w:iCs/>
          <w:sz w:val="23"/>
          <w:szCs w:val="23"/>
        </w:rPr>
        <w:t xml:space="preserve">Consumer </w:t>
      </w:r>
      <w:proofErr w:type="spellStart"/>
      <w:r w:rsidRPr="00F31789">
        <w:rPr>
          <w:rFonts w:eastAsia="Garamond" w:cstheme="minorHAnsi"/>
          <w:i/>
          <w:iCs/>
          <w:sz w:val="23"/>
          <w:szCs w:val="23"/>
        </w:rPr>
        <w:t>Policy</w:t>
      </w:r>
      <w:proofErr w:type="spellEnd"/>
      <w:r w:rsidRPr="00F31789">
        <w:rPr>
          <w:rFonts w:eastAsia="Garamond" w:cstheme="minorHAnsi"/>
          <w:i/>
          <w:iCs/>
          <w:sz w:val="23"/>
          <w:szCs w:val="23"/>
        </w:rPr>
        <w:t xml:space="preserve"> Toolkit</w:t>
      </w:r>
      <w:r w:rsidRPr="00F31789">
        <w:rPr>
          <w:rFonts w:eastAsia="Garamond" w:cstheme="minorHAnsi"/>
          <w:sz w:val="23"/>
          <w:szCs w:val="23"/>
        </w:rPr>
        <w:t xml:space="preserve"> traz orientações </w:t>
      </w:r>
      <w:r w:rsidRPr="00F31789">
        <w:rPr>
          <w:rFonts w:eastAsia="Garamond" w:cstheme="minorHAnsi"/>
          <w:sz w:val="23"/>
          <w:szCs w:val="23"/>
        </w:rPr>
        <w:t>sobre a implementação de normas, como a análise de instrumentos políticos pode podem ser utilizados pelo governo,</w:t>
      </w:r>
      <w:r w:rsidRPr="00F31789">
        <w:rPr>
          <w:rFonts w:eastAsia="Garamond" w:cstheme="minorHAnsi"/>
          <w:sz w:val="23"/>
          <w:szCs w:val="23"/>
        </w:rPr>
        <w:t xml:space="preserve"> dentre outras informações relevantes para a implantação.</w:t>
      </w:r>
    </w:p>
    <w:p w14:paraId="4B7A7612" w14:textId="341063EF" w:rsidR="002A5246" w:rsidRPr="00F31789" w:rsidRDefault="002A5246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73D6A808" w14:textId="77777777" w:rsidR="002A5246" w:rsidRPr="00F31789" w:rsidRDefault="002A5246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6FB03D4F" w14:textId="19B9EF8C" w:rsidR="00A14A1B" w:rsidRPr="00F31789" w:rsidRDefault="006C0087" w:rsidP="006C0087">
      <w:pPr>
        <w:spacing w:after="120" w:line="240" w:lineRule="auto"/>
        <w:jc w:val="center"/>
        <w:rPr>
          <w:rFonts w:cstheme="minorHAnsi"/>
          <w:b/>
          <w:bCs/>
          <w:sz w:val="23"/>
          <w:szCs w:val="23"/>
          <w:lang w:val="en-US"/>
        </w:rPr>
      </w:pPr>
      <w:r w:rsidRPr="00F31789">
        <w:rPr>
          <w:rFonts w:cstheme="minorHAnsi"/>
          <w:b/>
          <w:bCs/>
          <w:sz w:val="23"/>
          <w:szCs w:val="23"/>
          <w:lang w:val="en-US"/>
        </w:rPr>
        <w:t xml:space="preserve">OECD/LEGAL/0422 – 2016 </w:t>
      </w:r>
      <w:r>
        <w:rPr>
          <w:rFonts w:cstheme="minorHAnsi"/>
          <w:b/>
          <w:bCs/>
          <w:sz w:val="23"/>
          <w:szCs w:val="23"/>
          <w:lang w:val="en-US"/>
        </w:rPr>
        <w:t>(</w:t>
      </w:r>
      <w:r w:rsidRPr="00F31789">
        <w:rPr>
          <w:rFonts w:cstheme="minorHAnsi"/>
          <w:b/>
          <w:bCs/>
          <w:sz w:val="23"/>
          <w:szCs w:val="23"/>
          <w:lang w:val="en-US"/>
        </w:rPr>
        <w:t>REVISED</w:t>
      </w:r>
      <w:r>
        <w:rPr>
          <w:rFonts w:cstheme="minorHAnsi"/>
          <w:b/>
          <w:bCs/>
          <w:sz w:val="23"/>
          <w:szCs w:val="23"/>
          <w:lang w:val="en-US"/>
        </w:rPr>
        <w:t>)</w:t>
      </w:r>
      <w:r w:rsidRPr="00F31789">
        <w:rPr>
          <w:rFonts w:cstheme="minorHAnsi"/>
          <w:b/>
          <w:bCs/>
          <w:sz w:val="23"/>
          <w:szCs w:val="23"/>
          <w:lang w:val="en-US"/>
        </w:rPr>
        <w:t xml:space="preserve"> RECOMMENDATION ON CONSUMER PROTECTION IN E-COMMERCE</w:t>
      </w:r>
    </w:p>
    <w:p w14:paraId="572CF842" w14:textId="1A1718C7" w:rsidR="00A14A1B" w:rsidRPr="00F31789" w:rsidRDefault="002A5246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Tema: Consolidação de princípios e normas para a </w:t>
      </w:r>
      <w:r w:rsidR="00A14A1B" w:rsidRPr="00F31789">
        <w:rPr>
          <w:rFonts w:cstheme="minorHAnsi"/>
          <w:sz w:val="23"/>
          <w:szCs w:val="23"/>
        </w:rPr>
        <w:t>Proteção do Consumidor no E-commerce</w:t>
      </w:r>
    </w:p>
    <w:p w14:paraId="3B3174DC" w14:textId="23719734" w:rsidR="002A5246" w:rsidRPr="006C0087" w:rsidRDefault="006C0087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344CC7">
        <w:rPr>
          <w:rFonts w:cstheme="minorHAnsi"/>
          <w:sz w:val="23"/>
          <w:szCs w:val="23"/>
        </w:rPr>
        <w:t xml:space="preserve">Link para acesso: </w:t>
      </w:r>
      <w:hyperlink r:id="rId19" w:history="1">
        <w:r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</w:t>
        </w:r>
        <w:r w:rsidRPr="00344CC7">
          <w:rPr>
            <w:rStyle w:val="Hyperlink"/>
            <w:rFonts w:cstheme="minorHAnsi"/>
            <w:sz w:val="23"/>
            <w:szCs w:val="23"/>
          </w:rPr>
          <w:t>L</w:t>
        </w:r>
        <w:r w:rsidRPr="00344CC7">
          <w:rPr>
            <w:rStyle w:val="Hyperlink"/>
            <w:rFonts w:cstheme="minorHAnsi"/>
            <w:sz w:val="23"/>
            <w:szCs w:val="23"/>
          </w:rPr>
          <w:t>-0422</w:t>
        </w:r>
      </w:hyperlink>
      <w:r w:rsidRPr="00344CC7">
        <w:rPr>
          <w:rFonts w:cstheme="minorHAnsi"/>
          <w:sz w:val="23"/>
          <w:szCs w:val="23"/>
        </w:rPr>
        <w:t>.</w:t>
      </w:r>
    </w:p>
    <w:p w14:paraId="19C7DCE2" w14:textId="77777777" w:rsidR="006C0087" w:rsidRPr="006C0087" w:rsidRDefault="006C0087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60514FE7" w14:textId="71ACBD62" w:rsidR="000D505B" w:rsidRPr="00F31789" w:rsidRDefault="000D505B" w:rsidP="00F31789">
      <w:pPr>
        <w:spacing w:after="120" w:line="240" w:lineRule="auto"/>
        <w:ind w:firstLine="72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A recomendação aplica-se às relações de e-commerce </w:t>
      </w:r>
      <w:r w:rsidRPr="00F31789">
        <w:rPr>
          <w:rFonts w:cstheme="minorHAnsi"/>
          <w:i/>
          <w:iCs/>
          <w:sz w:val="23"/>
          <w:szCs w:val="23"/>
        </w:rPr>
        <w:t>B2C</w:t>
      </w:r>
      <w:r w:rsidRPr="00F31789">
        <w:rPr>
          <w:rFonts w:cstheme="minorHAnsi"/>
          <w:sz w:val="23"/>
          <w:szCs w:val="23"/>
        </w:rPr>
        <w:t>, incluindo práticas que facilitem as relações C2C e relacionadas às transações financeiras e não financeiras</w:t>
      </w:r>
      <w:r w:rsidRPr="00F31789">
        <w:rPr>
          <w:rFonts w:cstheme="minorHAnsi"/>
          <w:sz w:val="23"/>
          <w:szCs w:val="23"/>
        </w:rPr>
        <w:t xml:space="preserve">, sendo </w:t>
      </w:r>
      <w:proofErr w:type="spellStart"/>
      <w:r w:rsidRPr="00F31789">
        <w:rPr>
          <w:rFonts w:cstheme="minorHAnsi"/>
          <w:sz w:val="23"/>
          <w:szCs w:val="23"/>
        </w:rPr>
        <w:t>divid</w:t>
      </w:r>
      <w:r w:rsidRPr="00F31789">
        <w:rPr>
          <w:rFonts w:cstheme="minorHAnsi"/>
          <w:sz w:val="23"/>
          <w:szCs w:val="23"/>
        </w:rPr>
        <w:t>a</w:t>
      </w:r>
      <w:proofErr w:type="spellEnd"/>
      <w:r w:rsidRPr="00F31789">
        <w:rPr>
          <w:rFonts w:cstheme="minorHAnsi"/>
          <w:sz w:val="23"/>
          <w:szCs w:val="23"/>
        </w:rPr>
        <w:t xml:space="preserve"> em 3 principais tópicos:</w:t>
      </w:r>
    </w:p>
    <w:p w14:paraId="2A734B81" w14:textId="0AEA4806" w:rsidR="000D505B" w:rsidRPr="00F31789" w:rsidRDefault="000D505B" w:rsidP="00F31789">
      <w:pPr>
        <w:pStyle w:val="PargrafodaLista"/>
        <w:numPr>
          <w:ilvl w:val="0"/>
          <w:numId w:val="6"/>
        </w:numPr>
        <w:spacing w:after="120" w:line="240" w:lineRule="auto"/>
        <w:ind w:left="1440" w:hanging="72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  <w:u w:val="single"/>
        </w:rPr>
        <w:t>Princípios gerais</w:t>
      </w:r>
      <w:r w:rsidRPr="00F31789">
        <w:rPr>
          <w:rFonts w:cstheme="minorHAnsi"/>
          <w:sz w:val="23"/>
          <w:szCs w:val="23"/>
        </w:rPr>
        <w:t>, que abrange os subtópicos: proteção transparente e efetiva, práticas justas de negócio, publicidade e marketing, disposição de informações on</w:t>
      </w:r>
      <w:r w:rsidRPr="00F31789">
        <w:rPr>
          <w:rFonts w:cstheme="minorHAnsi"/>
          <w:sz w:val="23"/>
          <w:szCs w:val="23"/>
        </w:rPr>
        <w:t>-</w:t>
      </w:r>
      <w:r w:rsidRPr="00F31789">
        <w:rPr>
          <w:rFonts w:cstheme="minorHAnsi"/>
          <w:sz w:val="23"/>
          <w:szCs w:val="23"/>
        </w:rPr>
        <w:t>line, processo de confirmação da compra, pagamento, resolução de conflitos e reparação, privacidade e segurança e educação, conscientização e competência digital.</w:t>
      </w:r>
    </w:p>
    <w:p w14:paraId="24244DA3" w14:textId="77777777" w:rsidR="000D505B" w:rsidRPr="00F31789" w:rsidRDefault="000D505B" w:rsidP="00F31789">
      <w:pPr>
        <w:pStyle w:val="PargrafodaLista"/>
        <w:numPr>
          <w:ilvl w:val="0"/>
          <w:numId w:val="6"/>
        </w:numPr>
        <w:spacing w:after="120" w:line="240" w:lineRule="auto"/>
        <w:ind w:left="1440" w:hanging="72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  <w:u w:val="single"/>
        </w:rPr>
        <w:t xml:space="preserve">Implementação dos princípios </w:t>
      </w:r>
    </w:p>
    <w:p w14:paraId="1FC31B6B" w14:textId="77777777" w:rsidR="000D505B" w:rsidRPr="00F31789" w:rsidRDefault="000D505B" w:rsidP="00F31789">
      <w:pPr>
        <w:pStyle w:val="PargrafodaLista"/>
        <w:numPr>
          <w:ilvl w:val="0"/>
          <w:numId w:val="6"/>
        </w:numPr>
        <w:spacing w:after="120" w:line="240" w:lineRule="auto"/>
        <w:ind w:left="1440" w:hanging="72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  <w:u w:val="single"/>
        </w:rPr>
        <w:t>Princípios de cooperação global</w:t>
      </w:r>
    </w:p>
    <w:p w14:paraId="1AFF8A00" w14:textId="5D8AB038" w:rsidR="000D505B" w:rsidRPr="00F31789" w:rsidRDefault="000D505B" w:rsidP="00F31789">
      <w:pPr>
        <w:spacing w:after="120" w:line="240" w:lineRule="auto"/>
        <w:ind w:firstLine="708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Dessa forma, a</w:t>
      </w:r>
      <w:r w:rsidRPr="00F31789">
        <w:rPr>
          <w:rFonts w:cstheme="minorHAnsi"/>
          <w:sz w:val="23"/>
          <w:szCs w:val="23"/>
        </w:rPr>
        <w:t xml:space="preserve"> Recomendação </w:t>
      </w:r>
      <w:r w:rsidRPr="00F31789">
        <w:rPr>
          <w:rFonts w:cstheme="minorHAnsi"/>
          <w:sz w:val="23"/>
          <w:szCs w:val="23"/>
        </w:rPr>
        <w:t>detalha e consolida os princípios e normas contidos na Declaração Ministerial sobre a proteção do consumidor no comércio eletrônico.</w:t>
      </w:r>
    </w:p>
    <w:p w14:paraId="585DE955" w14:textId="77777777" w:rsidR="000D505B" w:rsidRPr="00F31789" w:rsidRDefault="000D505B" w:rsidP="00F31789">
      <w:pPr>
        <w:pStyle w:val="PargrafodaLista"/>
        <w:numPr>
          <w:ilvl w:val="0"/>
          <w:numId w:val="7"/>
        </w:numPr>
        <w:spacing w:after="120" w:line="240" w:lineRule="auto"/>
        <w:ind w:left="1428" w:hanging="72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 Princípios gerais </w:t>
      </w:r>
    </w:p>
    <w:p w14:paraId="18D74A7A" w14:textId="37E3A693" w:rsidR="000D505B" w:rsidRPr="00F31789" w:rsidRDefault="000D505B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ab/>
      </w:r>
      <w:r w:rsidRPr="00F31789">
        <w:rPr>
          <w:rFonts w:cstheme="minorHAnsi"/>
          <w:sz w:val="23"/>
          <w:szCs w:val="23"/>
        </w:rPr>
        <w:t>De acordo com os princípios gerais,</w:t>
      </w:r>
      <w:r w:rsidRPr="00F31789">
        <w:rPr>
          <w:rFonts w:cstheme="minorHAnsi"/>
          <w:sz w:val="23"/>
          <w:szCs w:val="23"/>
        </w:rPr>
        <w:t xml:space="preserve"> os consumidores no </w:t>
      </w:r>
      <w:r w:rsidRPr="00F31789">
        <w:rPr>
          <w:rFonts w:cstheme="minorHAnsi"/>
          <w:i/>
          <w:iCs/>
          <w:sz w:val="23"/>
          <w:szCs w:val="23"/>
        </w:rPr>
        <w:t xml:space="preserve">e-commerce </w:t>
      </w:r>
      <w:r w:rsidRPr="00F31789">
        <w:rPr>
          <w:rFonts w:cstheme="minorHAnsi"/>
          <w:sz w:val="23"/>
          <w:szCs w:val="23"/>
        </w:rPr>
        <w:t xml:space="preserve">devem receber proteção transparente e efetiva, assim como nas outras formas de comércio. Prevê também que o governo e </w:t>
      </w:r>
      <w:r w:rsidRPr="00F31789">
        <w:rPr>
          <w:rFonts w:cstheme="minorHAnsi"/>
          <w:i/>
          <w:iCs/>
          <w:sz w:val="23"/>
          <w:szCs w:val="23"/>
        </w:rPr>
        <w:t>stakeholders</w:t>
      </w:r>
      <w:r w:rsidRPr="00F31789">
        <w:rPr>
          <w:rFonts w:cstheme="minorHAnsi"/>
          <w:sz w:val="23"/>
          <w:szCs w:val="23"/>
        </w:rPr>
        <w:t xml:space="preserve"> devem trabalhar juntos para assegurar essa proteção e fazer mudanças necessárias para o acesso de, especialmente, crianças, pessoas vulneráveis ou deficientes. </w:t>
      </w:r>
    </w:p>
    <w:p w14:paraId="5CB01B43" w14:textId="77777777" w:rsidR="000D505B" w:rsidRPr="00F31789" w:rsidRDefault="000D505B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ab/>
        <w:t>Detalha os seguintes tópicos:</w:t>
      </w:r>
    </w:p>
    <w:p w14:paraId="4D05D8B0" w14:textId="001DCD47" w:rsidR="000D505B" w:rsidRPr="00F31789" w:rsidRDefault="000D505B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práticas justas de negócio, marketing e publicidade, </w:t>
      </w:r>
      <w:r w:rsidRPr="00F31789">
        <w:rPr>
          <w:rFonts w:cstheme="minorHAnsi"/>
          <w:sz w:val="23"/>
          <w:szCs w:val="23"/>
        </w:rPr>
        <w:t xml:space="preserve">para as empresas; </w:t>
      </w:r>
    </w:p>
    <w:p w14:paraId="68EA1396" w14:textId="77777777" w:rsidR="000D505B" w:rsidRPr="00F31789" w:rsidRDefault="000D505B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as empresas devem formular procedimentos </w:t>
      </w:r>
      <w:r w:rsidRPr="00F31789">
        <w:rPr>
          <w:rFonts w:cstheme="minorHAnsi"/>
          <w:sz w:val="23"/>
          <w:szCs w:val="23"/>
        </w:rPr>
        <w:t xml:space="preserve">e plataformas </w:t>
      </w:r>
      <w:r w:rsidRPr="00F31789">
        <w:rPr>
          <w:rFonts w:cstheme="minorHAnsi"/>
          <w:sz w:val="23"/>
          <w:szCs w:val="23"/>
        </w:rPr>
        <w:t>simples</w:t>
      </w:r>
      <w:r w:rsidRPr="00F31789">
        <w:rPr>
          <w:rFonts w:cstheme="minorHAnsi"/>
          <w:sz w:val="23"/>
          <w:szCs w:val="23"/>
        </w:rPr>
        <w:t xml:space="preserve"> e inclusivos</w:t>
      </w:r>
      <w:r w:rsidRPr="00F31789">
        <w:rPr>
          <w:rFonts w:cstheme="minorHAnsi"/>
          <w:sz w:val="23"/>
          <w:szCs w:val="23"/>
        </w:rPr>
        <w:t xml:space="preserve"> para que os consumidores</w:t>
      </w:r>
      <w:r w:rsidRPr="00F31789">
        <w:rPr>
          <w:rFonts w:cstheme="minorHAnsi"/>
          <w:sz w:val="23"/>
          <w:szCs w:val="23"/>
        </w:rPr>
        <w:t xml:space="preserve"> e pessoas com deficiência sejam protegidas;</w:t>
      </w:r>
    </w:p>
    <w:p w14:paraId="20F95C81" w14:textId="77777777" w:rsidR="00B01F04" w:rsidRPr="00F31789" w:rsidRDefault="000D505B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  </w:t>
      </w:r>
      <w:r w:rsidR="00B01F04" w:rsidRPr="00F31789">
        <w:rPr>
          <w:rFonts w:cstheme="minorHAnsi"/>
          <w:sz w:val="23"/>
          <w:szCs w:val="23"/>
        </w:rPr>
        <w:t xml:space="preserve">a </w:t>
      </w:r>
      <w:r w:rsidRPr="00F31789">
        <w:rPr>
          <w:rFonts w:cstheme="minorHAnsi"/>
          <w:sz w:val="23"/>
          <w:szCs w:val="23"/>
        </w:rPr>
        <w:t>divulgação de informações</w:t>
      </w:r>
      <w:r w:rsidR="00B01F04" w:rsidRPr="00F31789">
        <w:rPr>
          <w:rFonts w:cstheme="minorHAnsi"/>
          <w:sz w:val="23"/>
          <w:szCs w:val="23"/>
        </w:rPr>
        <w:t xml:space="preserve"> </w:t>
      </w:r>
      <w:r w:rsidRPr="00F31789">
        <w:rPr>
          <w:rFonts w:cstheme="minorHAnsi"/>
          <w:sz w:val="23"/>
          <w:szCs w:val="23"/>
        </w:rPr>
        <w:t xml:space="preserve">clara, precisa, de fácil acesso, visível, com linguagem clara e fácil para que os consumidores tomem decisões informadas no ato da compra, </w:t>
      </w:r>
      <w:r w:rsidR="00B01F04" w:rsidRPr="00F31789">
        <w:rPr>
          <w:rFonts w:cstheme="minorHAnsi"/>
          <w:sz w:val="23"/>
          <w:szCs w:val="23"/>
        </w:rPr>
        <w:t xml:space="preserve">dentre outros requisitos; </w:t>
      </w:r>
    </w:p>
    <w:p w14:paraId="7A943356" w14:textId="77777777" w:rsidR="00B01F04" w:rsidRPr="00F31789" w:rsidRDefault="00B01F04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Divulgação de informações sobre as</w:t>
      </w:r>
      <w:r w:rsidR="000D505B" w:rsidRPr="00F31789">
        <w:rPr>
          <w:rFonts w:cstheme="minorHAnsi"/>
          <w:sz w:val="23"/>
          <w:szCs w:val="23"/>
        </w:rPr>
        <w:t xml:space="preserve"> empresas nas plataformas</w:t>
      </w:r>
      <w:r w:rsidRPr="00F31789">
        <w:rPr>
          <w:rFonts w:cstheme="minorHAnsi"/>
          <w:sz w:val="23"/>
          <w:szCs w:val="23"/>
        </w:rPr>
        <w:t xml:space="preserve">, tais como </w:t>
      </w:r>
      <w:r w:rsidR="000D505B" w:rsidRPr="00F31789">
        <w:rPr>
          <w:rFonts w:cstheme="minorHAnsi"/>
          <w:sz w:val="23"/>
          <w:szCs w:val="23"/>
        </w:rPr>
        <w:t xml:space="preserve">o nome legal </w:t>
      </w:r>
      <w:r w:rsidRPr="00F31789">
        <w:rPr>
          <w:rFonts w:cstheme="minorHAnsi"/>
          <w:sz w:val="23"/>
          <w:szCs w:val="23"/>
        </w:rPr>
        <w:t xml:space="preserve">etc. </w:t>
      </w:r>
      <w:r w:rsidR="000D505B" w:rsidRPr="00F31789">
        <w:rPr>
          <w:rFonts w:cstheme="minorHAnsi"/>
          <w:sz w:val="23"/>
          <w:szCs w:val="23"/>
        </w:rPr>
        <w:t>Isso para que os consumidores</w:t>
      </w:r>
      <w:r w:rsidRPr="00F31789">
        <w:rPr>
          <w:rFonts w:cstheme="minorHAnsi"/>
          <w:sz w:val="23"/>
          <w:szCs w:val="23"/>
        </w:rPr>
        <w:t xml:space="preserve"> possam ter acesso a</w:t>
      </w:r>
      <w:r w:rsidR="000D505B" w:rsidRPr="00F31789">
        <w:rPr>
          <w:rFonts w:cstheme="minorHAnsi"/>
          <w:sz w:val="23"/>
          <w:szCs w:val="23"/>
        </w:rPr>
        <w:t xml:space="preserve">:  i) identificação </w:t>
      </w:r>
      <w:r w:rsidR="000D505B" w:rsidRPr="00F31789">
        <w:rPr>
          <w:rFonts w:cstheme="minorHAnsi"/>
          <w:sz w:val="23"/>
          <w:szCs w:val="23"/>
        </w:rPr>
        <w:lastRenderedPageBreak/>
        <w:t xml:space="preserve">do negócio; </w:t>
      </w:r>
      <w:proofErr w:type="spellStart"/>
      <w:r w:rsidR="000D505B" w:rsidRPr="00F31789">
        <w:rPr>
          <w:rFonts w:cstheme="minorHAnsi"/>
          <w:sz w:val="23"/>
          <w:szCs w:val="23"/>
        </w:rPr>
        <w:t>ii</w:t>
      </w:r>
      <w:proofErr w:type="spellEnd"/>
      <w:r w:rsidR="000D505B" w:rsidRPr="00F31789">
        <w:rPr>
          <w:rFonts w:cstheme="minorHAnsi"/>
          <w:sz w:val="23"/>
          <w:szCs w:val="23"/>
        </w:rPr>
        <w:t xml:space="preserve">) comunicação rápida, fácil e eficaz do consumidor com a empresa; </w:t>
      </w:r>
      <w:proofErr w:type="spellStart"/>
      <w:r w:rsidR="000D505B" w:rsidRPr="00F31789">
        <w:rPr>
          <w:rFonts w:cstheme="minorHAnsi"/>
          <w:sz w:val="23"/>
          <w:szCs w:val="23"/>
        </w:rPr>
        <w:t>iii</w:t>
      </w:r>
      <w:proofErr w:type="spellEnd"/>
      <w:r w:rsidR="000D505B" w:rsidRPr="00F31789">
        <w:rPr>
          <w:rFonts w:cstheme="minorHAnsi"/>
          <w:sz w:val="23"/>
          <w:szCs w:val="23"/>
        </w:rPr>
        <w:t xml:space="preserve">) resolução apropriada e eficaz de quaisquer disputas que possam surgir; </w:t>
      </w:r>
      <w:proofErr w:type="spellStart"/>
      <w:r w:rsidR="000D505B" w:rsidRPr="00F31789">
        <w:rPr>
          <w:rFonts w:cstheme="minorHAnsi"/>
          <w:sz w:val="23"/>
          <w:szCs w:val="23"/>
        </w:rPr>
        <w:t>iv</w:t>
      </w:r>
      <w:proofErr w:type="spellEnd"/>
      <w:r w:rsidR="000D505B" w:rsidRPr="00F31789">
        <w:rPr>
          <w:rFonts w:cstheme="minorHAnsi"/>
          <w:sz w:val="23"/>
          <w:szCs w:val="23"/>
        </w:rPr>
        <w:t>) atendimento de processos legais em disputas domésticas e transfronteiriças; e v) localização do negócio.</w:t>
      </w:r>
    </w:p>
    <w:p w14:paraId="3759CA81" w14:textId="7C915351" w:rsidR="000D505B" w:rsidRPr="00F31789" w:rsidRDefault="000D505B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informações sobre os produtos: i) Principais funcionalidades e recursos de interoperabilidade; </w:t>
      </w:r>
      <w:proofErr w:type="spellStart"/>
      <w:r w:rsidRPr="00F31789">
        <w:rPr>
          <w:rFonts w:cstheme="minorHAnsi"/>
          <w:sz w:val="23"/>
          <w:szCs w:val="23"/>
        </w:rPr>
        <w:t>ii</w:t>
      </w:r>
      <w:proofErr w:type="spellEnd"/>
      <w:r w:rsidRPr="00F31789">
        <w:rPr>
          <w:rFonts w:cstheme="minorHAnsi"/>
          <w:sz w:val="23"/>
          <w:szCs w:val="23"/>
        </w:rPr>
        <w:t xml:space="preserve">) Principais requisitos, limitações ou condições técnicas ou contratuais que possam afetar a capacidade do consumidor de adquirir, acessar ou usar o bem ou serviço; </w:t>
      </w:r>
      <w:proofErr w:type="spellStart"/>
      <w:r w:rsidRPr="00F31789">
        <w:rPr>
          <w:rFonts w:cstheme="minorHAnsi"/>
          <w:sz w:val="23"/>
          <w:szCs w:val="23"/>
        </w:rPr>
        <w:t>iii</w:t>
      </w:r>
      <w:proofErr w:type="spellEnd"/>
      <w:r w:rsidRPr="00F31789">
        <w:rPr>
          <w:rFonts w:cstheme="minorHAnsi"/>
          <w:sz w:val="23"/>
          <w:szCs w:val="23"/>
        </w:rPr>
        <w:t xml:space="preserve">) informações sobre segurança e cuidados de saúde; e </w:t>
      </w:r>
      <w:proofErr w:type="spellStart"/>
      <w:r w:rsidRPr="00F31789">
        <w:rPr>
          <w:rFonts w:cstheme="minorHAnsi"/>
          <w:sz w:val="23"/>
          <w:szCs w:val="23"/>
        </w:rPr>
        <w:t>iv</w:t>
      </w:r>
      <w:proofErr w:type="spellEnd"/>
      <w:r w:rsidRPr="00F31789">
        <w:rPr>
          <w:rFonts w:cstheme="minorHAnsi"/>
          <w:sz w:val="23"/>
          <w:szCs w:val="23"/>
        </w:rPr>
        <w:t xml:space="preserve">) Quaisquer restrições de idade. </w:t>
      </w:r>
    </w:p>
    <w:p w14:paraId="6681C1DD" w14:textId="77777777" w:rsidR="00B01F04" w:rsidRPr="00F31789" w:rsidRDefault="00B01F04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Informações sobre as transações;</w:t>
      </w:r>
    </w:p>
    <w:p w14:paraId="3CF657BD" w14:textId="77777777" w:rsidR="00B01F04" w:rsidRPr="00F31789" w:rsidRDefault="000D505B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processo de confirmação</w:t>
      </w:r>
      <w:r w:rsidR="00B01F04" w:rsidRPr="00F31789">
        <w:rPr>
          <w:rFonts w:cstheme="minorHAnsi"/>
          <w:sz w:val="23"/>
          <w:szCs w:val="23"/>
        </w:rPr>
        <w:t xml:space="preserve"> </w:t>
      </w:r>
      <w:r w:rsidRPr="00F31789">
        <w:rPr>
          <w:rFonts w:cstheme="minorHAnsi"/>
          <w:sz w:val="23"/>
          <w:szCs w:val="23"/>
        </w:rPr>
        <w:t>claro e inequívoco</w:t>
      </w:r>
      <w:r w:rsidR="00B01F04" w:rsidRPr="00F31789">
        <w:rPr>
          <w:rFonts w:cstheme="minorHAnsi"/>
          <w:sz w:val="23"/>
          <w:szCs w:val="23"/>
        </w:rPr>
        <w:t xml:space="preserve">, com possibilidade de </w:t>
      </w:r>
      <w:proofErr w:type="spellStart"/>
      <w:r w:rsidR="00B01F04" w:rsidRPr="00F31789">
        <w:rPr>
          <w:rFonts w:cstheme="minorHAnsi"/>
          <w:sz w:val="23"/>
          <w:szCs w:val="23"/>
        </w:rPr>
        <w:t>visuação</w:t>
      </w:r>
      <w:proofErr w:type="spellEnd"/>
      <w:r w:rsidR="00B01F04" w:rsidRPr="00F31789">
        <w:rPr>
          <w:rFonts w:cstheme="minorHAnsi"/>
          <w:sz w:val="23"/>
          <w:szCs w:val="23"/>
        </w:rPr>
        <w:t xml:space="preserve"> do </w:t>
      </w:r>
      <w:r w:rsidRPr="00F31789">
        <w:rPr>
          <w:rFonts w:cstheme="minorHAnsi"/>
          <w:sz w:val="23"/>
          <w:szCs w:val="23"/>
        </w:rPr>
        <w:t>resumo do pedido e todas as suas condições</w:t>
      </w:r>
      <w:r w:rsidR="00B01F04" w:rsidRPr="00F31789">
        <w:rPr>
          <w:rFonts w:cstheme="minorHAnsi"/>
          <w:sz w:val="23"/>
          <w:szCs w:val="23"/>
        </w:rPr>
        <w:t>;</w:t>
      </w:r>
    </w:p>
    <w:p w14:paraId="32016CA5" w14:textId="77777777" w:rsidR="00B01F04" w:rsidRPr="00F31789" w:rsidRDefault="000D505B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pagamento</w:t>
      </w:r>
      <w:r w:rsidR="00B01F04" w:rsidRPr="00F31789">
        <w:rPr>
          <w:rFonts w:cstheme="minorHAnsi"/>
          <w:sz w:val="23"/>
          <w:szCs w:val="23"/>
        </w:rPr>
        <w:t xml:space="preserve"> </w:t>
      </w:r>
      <w:r w:rsidRPr="00F31789">
        <w:rPr>
          <w:rFonts w:cstheme="minorHAnsi"/>
          <w:sz w:val="23"/>
          <w:szCs w:val="23"/>
        </w:rPr>
        <w:t xml:space="preserve">de forma segura, com mecanismos de fácil uso e </w:t>
      </w:r>
      <w:r w:rsidR="00B01F04" w:rsidRPr="00F31789">
        <w:rPr>
          <w:rFonts w:cstheme="minorHAnsi"/>
          <w:sz w:val="23"/>
          <w:szCs w:val="23"/>
        </w:rPr>
        <w:t xml:space="preserve">com </w:t>
      </w:r>
      <w:r w:rsidRPr="00F31789">
        <w:rPr>
          <w:rFonts w:cstheme="minorHAnsi"/>
          <w:sz w:val="23"/>
          <w:szCs w:val="23"/>
        </w:rPr>
        <w:t xml:space="preserve">medidas de segurança compatíveis com os riscos relacionados </w:t>
      </w:r>
    </w:p>
    <w:p w14:paraId="47EB640C" w14:textId="77777777" w:rsidR="00B01F04" w:rsidRPr="00F31789" w:rsidRDefault="000D505B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acesso dos consumidores a mecanismos justos, de fácil utilização e transparentes de resolução de disputa, que sejam capazes de resolver conflitos no âmbito doméstico e transfronteiriço em tempo hábil e obter reparação, sem que haja encargos desnecessários</w:t>
      </w:r>
      <w:r w:rsidR="00B01F04" w:rsidRPr="00F31789">
        <w:rPr>
          <w:rFonts w:cstheme="minorHAnsi"/>
          <w:sz w:val="23"/>
          <w:szCs w:val="23"/>
        </w:rPr>
        <w:t>;</w:t>
      </w:r>
    </w:p>
    <w:p w14:paraId="1F470E04" w14:textId="5E2304D8" w:rsidR="000D505B" w:rsidRPr="00F31789" w:rsidRDefault="000D505B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prote</w:t>
      </w:r>
      <w:r w:rsidR="00B01F04" w:rsidRPr="00F31789">
        <w:rPr>
          <w:rFonts w:cstheme="minorHAnsi"/>
          <w:sz w:val="23"/>
          <w:szCs w:val="23"/>
        </w:rPr>
        <w:t>ção d</w:t>
      </w:r>
      <w:r w:rsidRPr="00F31789">
        <w:rPr>
          <w:rFonts w:cstheme="minorHAnsi"/>
          <w:sz w:val="23"/>
          <w:szCs w:val="23"/>
        </w:rPr>
        <w:t>a privacidade do consumidor, com coleta de dados de forma lícita, transparente e justa, gerencia</w:t>
      </w:r>
      <w:r w:rsidR="00B01F04" w:rsidRPr="00F31789">
        <w:rPr>
          <w:rFonts w:cstheme="minorHAnsi"/>
          <w:sz w:val="23"/>
          <w:szCs w:val="23"/>
        </w:rPr>
        <w:t>mento dos</w:t>
      </w:r>
      <w:r w:rsidRPr="00F31789">
        <w:rPr>
          <w:rFonts w:cstheme="minorHAnsi"/>
          <w:sz w:val="23"/>
          <w:szCs w:val="23"/>
        </w:rPr>
        <w:t xml:space="preserve"> riscos de segurança digital e medidas de segurança para reduzir ou mitigar os riscos do e-commerce.</w:t>
      </w:r>
    </w:p>
    <w:p w14:paraId="03F17331" w14:textId="312C0257" w:rsidR="000D505B" w:rsidRPr="00F31789" w:rsidRDefault="000D505B" w:rsidP="00F31789">
      <w:pPr>
        <w:pStyle w:val="PargrafodaLista"/>
        <w:numPr>
          <w:ilvl w:val="0"/>
          <w:numId w:val="9"/>
        </w:num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educar os consumidores, funcionários do governo e empresas quanto às práticas de e-commerce</w:t>
      </w:r>
      <w:r w:rsidR="00B01F04" w:rsidRPr="00F31789">
        <w:rPr>
          <w:rFonts w:cstheme="minorHAnsi"/>
          <w:sz w:val="23"/>
          <w:szCs w:val="23"/>
        </w:rPr>
        <w:t>.</w:t>
      </w:r>
      <w:r w:rsidRPr="00F31789">
        <w:rPr>
          <w:rFonts w:cstheme="minorHAnsi"/>
          <w:sz w:val="23"/>
          <w:szCs w:val="23"/>
        </w:rPr>
        <w:t xml:space="preserve"> </w:t>
      </w:r>
    </w:p>
    <w:p w14:paraId="00628698" w14:textId="77777777" w:rsidR="00B01F04" w:rsidRPr="00F31789" w:rsidRDefault="00B01F04" w:rsidP="00F31789">
      <w:pPr>
        <w:pStyle w:val="PargrafodaLista"/>
        <w:spacing w:after="120" w:line="240" w:lineRule="auto"/>
        <w:ind w:left="1140"/>
        <w:jc w:val="both"/>
        <w:rPr>
          <w:rFonts w:cstheme="minorHAnsi"/>
          <w:sz w:val="23"/>
          <w:szCs w:val="23"/>
        </w:rPr>
      </w:pPr>
    </w:p>
    <w:p w14:paraId="60DCDA11" w14:textId="77777777" w:rsidR="000D505B" w:rsidRPr="00F31789" w:rsidRDefault="000D505B" w:rsidP="00F31789">
      <w:pPr>
        <w:pStyle w:val="PargrafodaLista"/>
        <w:numPr>
          <w:ilvl w:val="0"/>
          <w:numId w:val="8"/>
        </w:numPr>
        <w:spacing w:after="120" w:line="240" w:lineRule="auto"/>
        <w:ind w:left="1080" w:hanging="72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Implementação dos Princípios</w:t>
      </w:r>
    </w:p>
    <w:p w14:paraId="13A6B205" w14:textId="45FFDA2C" w:rsidR="000D505B" w:rsidRPr="00F31789" w:rsidRDefault="00B01F04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Para a implementação dos Princípios, a</w:t>
      </w:r>
      <w:r w:rsidR="000D505B" w:rsidRPr="00F31789">
        <w:rPr>
          <w:rFonts w:cstheme="minorHAnsi"/>
          <w:sz w:val="23"/>
          <w:szCs w:val="23"/>
        </w:rPr>
        <w:t xml:space="preserve"> recomendação prevê a cooperação entre governos e </w:t>
      </w:r>
      <w:r w:rsidR="000D505B" w:rsidRPr="00F31789">
        <w:rPr>
          <w:rFonts w:cstheme="minorHAnsi"/>
          <w:i/>
          <w:iCs/>
          <w:sz w:val="23"/>
          <w:szCs w:val="23"/>
        </w:rPr>
        <w:t xml:space="preserve">stakeholders </w:t>
      </w:r>
      <w:r w:rsidR="000D505B" w:rsidRPr="00F31789">
        <w:rPr>
          <w:rFonts w:cstheme="minorHAnsi"/>
          <w:sz w:val="23"/>
          <w:szCs w:val="23"/>
        </w:rPr>
        <w:t xml:space="preserve">para, de forma que estes devem melhorar a base de evidências para a formulação de políticas de comércio eletrônico através da coleta e análise de reclamações de consumidores, pesquisas e outros dados e de pesquisa empírica baseada nos </w:t>
      </w:r>
      <w:r w:rsidR="000D505B" w:rsidRPr="00F31789">
        <w:rPr>
          <w:rFonts w:cstheme="minorHAnsi"/>
          <w:i/>
          <w:iCs/>
          <w:sz w:val="23"/>
          <w:szCs w:val="23"/>
        </w:rPr>
        <w:t>insights</w:t>
      </w:r>
      <w:r w:rsidR="000D505B" w:rsidRPr="00F31789">
        <w:rPr>
          <w:rFonts w:cstheme="minorHAnsi"/>
          <w:sz w:val="23"/>
          <w:szCs w:val="23"/>
        </w:rPr>
        <w:t xml:space="preserve"> obtidos com a informação e a economia comportamental. </w:t>
      </w:r>
    </w:p>
    <w:p w14:paraId="7D08163F" w14:textId="77777777" w:rsidR="000D505B" w:rsidRPr="00F31789" w:rsidRDefault="000D505B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Devem também rever as leis de proteção do consumidor no </w:t>
      </w:r>
      <w:r w:rsidRPr="00F31789">
        <w:rPr>
          <w:rFonts w:cstheme="minorHAnsi"/>
          <w:i/>
          <w:sz w:val="23"/>
          <w:szCs w:val="23"/>
        </w:rPr>
        <w:t>e-commerce</w:t>
      </w:r>
      <w:r w:rsidRPr="00F31789">
        <w:rPr>
          <w:rFonts w:cstheme="minorHAnsi"/>
          <w:sz w:val="23"/>
          <w:szCs w:val="23"/>
        </w:rPr>
        <w:t xml:space="preserve">, levando em consideração o princípio de neutralidade da rede. É necessário manter o poder das autoridades de implementação da proteção do consumidor para investigarem e tomarem medidas contra práticas ilegais e empresas envolvidas nessas práticas. </w:t>
      </w:r>
    </w:p>
    <w:p w14:paraId="3A4A6413" w14:textId="77777777" w:rsidR="000D505B" w:rsidRPr="00F31789" w:rsidRDefault="000D505B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Além disso, é preciso incentivar o desenvolvimento de mecanismos de corregulação e autorregulação que ajudam a aumentar a confiança no comércio eletrônico, e da tecnologia como uma ferramenta para proteger e capacitar os consumidores. Por fim, deve facilitar a capacitação de consumidores para acessarem informações sobre e-commerce e sobre o registro de reclamações relacionadas a esse tipo de comércio. </w:t>
      </w:r>
    </w:p>
    <w:p w14:paraId="52EE0A0A" w14:textId="77777777" w:rsidR="000D505B" w:rsidRPr="00F31789" w:rsidRDefault="000D505B" w:rsidP="00F31789">
      <w:pPr>
        <w:pStyle w:val="PargrafodaLista"/>
        <w:numPr>
          <w:ilvl w:val="0"/>
          <w:numId w:val="8"/>
        </w:numPr>
        <w:spacing w:after="120" w:line="240" w:lineRule="auto"/>
        <w:ind w:left="1080" w:hanging="72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Princípios Globais de Cooperação</w:t>
      </w:r>
    </w:p>
    <w:p w14:paraId="78E2DE75" w14:textId="77777777" w:rsidR="00B01F04" w:rsidRPr="00F31789" w:rsidRDefault="000D505B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No contexto global, os governos devem facilitar a comunicação, cooperação e o desenvolvimento e execução de iniciativas internacionais, e aprimorar a capacidade das autoridades de implementação de proteção do consumidor por meio de notificação, compartilhamento de informações, assistência investigativa e ações conjuntas. </w:t>
      </w:r>
    </w:p>
    <w:p w14:paraId="1103F302" w14:textId="529D556B" w:rsidR="000D505B" w:rsidRPr="00F31789" w:rsidRDefault="000D505B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O governo deve, portanto, (i) requerer que as empresas disponibilizem informações prontamente disponíveis sobre si mesmas, (i) melhorar a capacidade das autoridades de compartilhar informações sujeitas a salvaguardas apropriadas para informações comerciais </w:t>
      </w:r>
      <w:r w:rsidRPr="00F31789">
        <w:rPr>
          <w:rFonts w:cstheme="minorHAnsi"/>
          <w:sz w:val="23"/>
          <w:szCs w:val="23"/>
        </w:rPr>
        <w:lastRenderedPageBreak/>
        <w:t>confidenciais ou dados pessoais e (</w:t>
      </w:r>
      <w:proofErr w:type="spellStart"/>
      <w:r w:rsidRPr="00F31789">
        <w:rPr>
          <w:rFonts w:cstheme="minorHAnsi"/>
          <w:sz w:val="23"/>
          <w:szCs w:val="23"/>
        </w:rPr>
        <w:t>iii</w:t>
      </w:r>
      <w:proofErr w:type="spellEnd"/>
      <w:r w:rsidRPr="00F31789">
        <w:rPr>
          <w:rFonts w:cstheme="minorHAnsi"/>
          <w:sz w:val="23"/>
          <w:szCs w:val="23"/>
        </w:rPr>
        <w:t xml:space="preserve">) simplificar a assistência e a cooperação, evitar a duplicação de esforços e envidar todos os esforços para resolver desacordos quanto à cooperação que possa surgir. </w:t>
      </w:r>
    </w:p>
    <w:p w14:paraId="5F8E513E" w14:textId="03619BA9" w:rsidR="000D505B" w:rsidRPr="00F31789" w:rsidRDefault="000D505B" w:rsidP="00F31789">
      <w:pPr>
        <w:spacing w:after="120" w:line="240" w:lineRule="auto"/>
        <w:ind w:firstLine="360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É necessário ainda fazer uso das redes internacionais e firmar acordos bilaterais ou multilaterais para garantir a cooperação entre países e acordos para o reconhecimento mútuo e execução de sentenças resultantes de disputas entre consumidores e empresas, e sentenças resultantes de ações policiais para combater condutas comerciais fraudulentas, enganosas ou injustas. </w:t>
      </w:r>
    </w:p>
    <w:p w14:paraId="4EAD2D5E" w14:textId="77777777" w:rsidR="000D505B" w:rsidRPr="00F31789" w:rsidRDefault="000D505B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0F3E2853" w14:textId="0CF12A40" w:rsidR="00A14A1B" w:rsidRPr="006C0087" w:rsidRDefault="006C0087" w:rsidP="00F31789">
      <w:pPr>
        <w:spacing w:after="120" w:line="240" w:lineRule="auto"/>
        <w:jc w:val="both"/>
        <w:rPr>
          <w:rFonts w:cstheme="minorHAnsi"/>
          <w:b/>
          <w:bCs/>
          <w:sz w:val="23"/>
          <w:szCs w:val="23"/>
          <w:lang w:val="en-US"/>
        </w:rPr>
      </w:pPr>
      <w:r w:rsidRPr="006C0087">
        <w:rPr>
          <w:rFonts w:cstheme="minorHAnsi"/>
          <w:b/>
          <w:bCs/>
          <w:sz w:val="23"/>
          <w:szCs w:val="23"/>
          <w:lang w:val="en-US"/>
        </w:rPr>
        <w:t>OECD/LEGAL/0459 – 2020 RECOMMENDATION ON CONSUMER PRODUCT SAFETY</w:t>
      </w:r>
    </w:p>
    <w:p w14:paraId="5E9DABDA" w14:textId="7248D3FD" w:rsidR="00A14A1B" w:rsidRPr="00F31789" w:rsidRDefault="00B01F04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Tema: Consolidação de todos os instrumentos legais sobre s</w:t>
      </w:r>
      <w:r w:rsidR="00A14A1B" w:rsidRPr="00F31789">
        <w:rPr>
          <w:rFonts w:cstheme="minorHAnsi"/>
          <w:sz w:val="23"/>
          <w:szCs w:val="23"/>
        </w:rPr>
        <w:t>egurança de produtos de consumo</w:t>
      </w:r>
      <w:r w:rsidR="00A14A1B" w:rsidRPr="00F31789">
        <w:rPr>
          <w:rFonts w:cstheme="minorHAnsi"/>
          <w:sz w:val="23"/>
          <w:szCs w:val="23"/>
        </w:rPr>
        <w:tab/>
      </w:r>
    </w:p>
    <w:p w14:paraId="2AD31EA0" w14:textId="48B07B34" w:rsidR="00C86AAD" w:rsidRDefault="006C0087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  <w:r w:rsidRPr="00344CC7">
        <w:rPr>
          <w:rFonts w:cstheme="minorHAnsi"/>
          <w:sz w:val="23"/>
          <w:szCs w:val="23"/>
        </w:rPr>
        <w:t xml:space="preserve">Link para acesso: </w:t>
      </w:r>
      <w:hyperlink r:id="rId20" w:history="1">
        <w:r w:rsidRPr="00344CC7">
          <w:rPr>
            <w:rStyle w:val="Hyperlink"/>
            <w:rFonts w:cstheme="minorHAnsi"/>
            <w:sz w:val="23"/>
            <w:szCs w:val="23"/>
          </w:rPr>
          <w:t>https://legalinstruments.oecd.org/en/instruments/OECD-LEGAL-0459</w:t>
        </w:r>
      </w:hyperlink>
      <w:r w:rsidRPr="00344CC7">
        <w:rPr>
          <w:rFonts w:cstheme="minorHAnsi"/>
          <w:sz w:val="23"/>
          <w:szCs w:val="23"/>
        </w:rPr>
        <w:t>.</w:t>
      </w:r>
    </w:p>
    <w:p w14:paraId="4F1D7046" w14:textId="77777777" w:rsidR="006C0087" w:rsidRPr="00F31789" w:rsidRDefault="006C0087" w:rsidP="00F31789">
      <w:pPr>
        <w:spacing w:after="120" w:line="240" w:lineRule="auto"/>
        <w:jc w:val="both"/>
        <w:rPr>
          <w:rFonts w:cstheme="minorHAnsi"/>
          <w:sz w:val="23"/>
          <w:szCs w:val="23"/>
        </w:rPr>
      </w:pPr>
    </w:p>
    <w:p w14:paraId="5D2112F7" w14:textId="77777777" w:rsidR="00A4205E" w:rsidRPr="00F31789" w:rsidRDefault="00B01F04" w:rsidP="00F31789">
      <w:pPr>
        <w:spacing w:after="120" w:line="240" w:lineRule="auto"/>
        <w:ind w:firstLine="708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A mais nova Recomendação da OCDE foi </w:t>
      </w:r>
      <w:r w:rsidRPr="00F31789">
        <w:rPr>
          <w:rFonts w:cstheme="minorHAnsi"/>
          <w:sz w:val="23"/>
          <w:szCs w:val="23"/>
        </w:rPr>
        <w:t>aprovada em 1</w:t>
      </w:r>
      <w:r w:rsidRPr="00F31789">
        <w:rPr>
          <w:rFonts w:cstheme="minorHAnsi"/>
          <w:sz w:val="23"/>
          <w:szCs w:val="23"/>
        </w:rPr>
        <w:t>7</w:t>
      </w:r>
      <w:r w:rsidRPr="00F31789">
        <w:rPr>
          <w:rFonts w:cstheme="minorHAnsi"/>
          <w:sz w:val="23"/>
          <w:szCs w:val="23"/>
        </w:rPr>
        <w:t xml:space="preserve"> de julho de 2020, </w:t>
      </w:r>
      <w:r w:rsidRPr="00F31789">
        <w:rPr>
          <w:rFonts w:cstheme="minorHAnsi"/>
          <w:sz w:val="23"/>
          <w:szCs w:val="23"/>
        </w:rPr>
        <w:t>com adesão simultânea</w:t>
      </w:r>
      <w:r w:rsidRPr="00F31789">
        <w:rPr>
          <w:rFonts w:cstheme="minorHAnsi"/>
          <w:sz w:val="23"/>
          <w:szCs w:val="23"/>
        </w:rPr>
        <w:t xml:space="preserve"> pelo Brasil como único país não-membro. </w:t>
      </w:r>
      <w:r w:rsidR="00A4205E" w:rsidRPr="00F31789">
        <w:rPr>
          <w:rFonts w:cstheme="minorHAnsi"/>
          <w:sz w:val="23"/>
          <w:szCs w:val="23"/>
        </w:rPr>
        <w:t xml:space="preserve">Também é o instrumento legal mais abrangente por </w:t>
      </w:r>
      <w:r w:rsidRPr="00F31789">
        <w:rPr>
          <w:rFonts w:cstheme="minorHAnsi"/>
          <w:sz w:val="23"/>
          <w:szCs w:val="23"/>
        </w:rPr>
        <w:t>consolida</w:t>
      </w:r>
      <w:r w:rsidR="00A4205E" w:rsidRPr="00F31789">
        <w:rPr>
          <w:rFonts w:cstheme="minorHAnsi"/>
          <w:sz w:val="23"/>
          <w:szCs w:val="23"/>
        </w:rPr>
        <w:t>r</w:t>
      </w:r>
      <w:r w:rsidRPr="00F31789">
        <w:rPr>
          <w:rFonts w:cstheme="minorHAnsi"/>
          <w:sz w:val="23"/>
          <w:szCs w:val="23"/>
        </w:rPr>
        <w:t xml:space="preserve"> todas as Recomendações anteriores sobre segurança de produtos. </w:t>
      </w:r>
    </w:p>
    <w:p w14:paraId="7F3F3CD0" w14:textId="0D036902" w:rsidR="00B01F04" w:rsidRPr="00F31789" w:rsidRDefault="00A4205E" w:rsidP="00F31789">
      <w:pPr>
        <w:spacing w:after="120" w:line="240" w:lineRule="auto"/>
        <w:ind w:firstLine="708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A Recomendação d</w:t>
      </w:r>
      <w:r w:rsidR="00B01F04" w:rsidRPr="00F31789">
        <w:rPr>
          <w:rFonts w:cstheme="minorHAnsi"/>
          <w:sz w:val="23"/>
          <w:szCs w:val="23"/>
        </w:rPr>
        <w:t xml:space="preserve">etermina a </w:t>
      </w:r>
      <w:r w:rsidR="00B01F04" w:rsidRPr="00F31789">
        <w:rPr>
          <w:rFonts w:cstheme="minorHAnsi"/>
          <w:sz w:val="23"/>
          <w:szCs w:val="23"/>
        </w:rPr>
        <w:t>adoção de medidas que assegurem que sejam colocados ne mercados produtos seguros, impedindo que empresas forneçam produtos inseguros ou que ofereçam riscos não-razoáveis aos consumidores, e que as empresas sejam responsáveis pela segurança de seus produtos ao longo de sua vida útil e tomem mediatas imediatas para corrigir e notificar casos de produtos inseguros colocados à disposição dos consumidores.</w:t>
      </w:r>
    </w:p>
    <w:p w14:paraId="4986168B" w14:textId="0A9549B9" w:rsidR="00B01F04" w:rsidRPr="00F31789" w:rsidRDefault="00A4205E" w:rsidP="00F31789">
      <w:pPr>
        <w:spacing w:after="120" w:line="240" w:lineRule="auto"/>
        <w:ind w:firstLine="708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Seguem abaixo os principais tópicos tratados pela Recomendação para a </w:t>
      </w:r>
      <w:r w:rsidR="00B01F04" w:rsidRPr="00F31789">
        <w:rPr>
          <w:rFonts w:cstheme="minorHAnsi"/>
          <w:sz w:val="23"/>
          <w:szCs w:val="23"/>
        </w:rPr>
        <w:t xml:space="preserve">proteção </w:t>
      </w:r>
      <w:proofErr w:type="gramStart"/>
      <w:r w:rsidRPr="00F31789">
        <w:rPr>
          <w:rFonts w:cstheme="minorHAnsi"/>
          <w:sz w:val="23"/>
          <w:szCs w:val="23"/>
        </w:rPr>
        <w:t>das segurança</w:t>
      </w:r>
      <w:proofErr w:type="gramEnd"/>
      <w:r w:rsidR="00B01F04" w:rsidRPr="00F31789">
        <w:rPr>
          <w:rFonts w:cstheme="minorHAnsi"/>
          <w:sz w:val="23"/>
          <w:szCs w:val="23"/>
        </w:rPr>
        <w:t xml:space="preserve"> d</w:t>
      </w:r>
      <w:r w:rsidRPr="00F31789">
        <w:rPr>
          <w:rFonts w:cstheme="minorHAnsi"/>
          <w:sz w:val="23"/>
          <w:szCs w:val="23"/>
        </w:rPr>
        <w:t>os</w:t>
      </w:r>
      <w:r w:rsidR="00B01F04" w:rsidRPr="00F31789">
        <w:rPr>
          <w:rFonts w:cstheme="minorHAnsi"/>
          <w:sz w:val="23"/>
          <w:szCs w:val="23"/>
        </w:rPr>
        <w:t xml:space="preserve"> consumidores</w:t>
      </w:r>
      <w:r w:rsidRPr="00F31789">
        <w:rPr>
          <w:rFonts w:cstheme="minorHAnsi"/>
          <w:sz w:val="23"/>
          <w:szCs w:val="23"/>
        </w:rPr>
        <w:t xml:space="preserve"> de produtos de consumo</w:t>
      </w:r>
      <w:r w:rsidR="00B01F04" w:rsidRPr="00F31789">
        <w:rPr>
          <w:rFonts w:cstheme="minorHAnsi"/>
          <w:sz w:val="23"/>
          <w:szCs w:val="23"/>
        </w:rPr>
        <w:t xml:space="preserve">: </w:t>
      </w:r>
    </w:p>
    <w:p w14:paraId="140FB676" w14:textId="77777777" w:rsidR="00A4205E" w:rsidRPr="00F31789" w:rsidRDefault="00B01F04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existência de entidade governamental com autoridade para investigar e adotar medidas em relação a produtos perigosos, como retirada de circulação, recall, para divulgar ao público decisões relacionadas à segurança de produtos, para manter sistema de alertas quanto a produtos perigosos, para promover a cooperação entre entes governamentais e empresas a respeito do tema. </w:t>
      </w:r>
    </w:p>
    <w:p w14:paraId="4A4ADB36" w14:textId="77777777" w:rsidR="00A4205E" w:rsidRPr="00F31789" w:rsidRDefault="00B01F04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Além disso, prevê especificamente o uso da tecnologia como ferramenta para promover a segurança de produtos.</w:t>
      </w:r>
    </w:p>
    <w:p w14:paraId="0A6240C6" w14:textId="77777777" w:rsidR="00A4205E" w:rsidRPr="00F31789" w:rsidRDefault="00B01F04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Outra seção da recomendação abrange a divulgação de informações, que compreende medidas variadas relacionadas a informação para consumidores: por exemplo, é recomendada a adoção de medidas para que as empresas informem adequadamente os consumidores e criem canais facilitados de contato para fornecer informações de maneira acessível aos consumidores. </w:t>
      </w:r>
    </w:p>
    <w:p w14:paraId="36AE2B8C" w14:textId="77777777" w:rsidR="00A4205E" w:rsidRPr="00F31789" w:rsidRDefault="00B01F04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Prevê ainda a adoção de padrões de etiquetas a respeito de segurança de produtos e o fornecimento de informações quanto ao uso, manutenção e descarte dos produtos. </w:t>
      </w:r>
    </w:p>
    <w:p w14:paraId="0F9462C3" w14:textId="77777777" w:rsidR="00A4205E" w:rsidRPr="00F31789" w:rsidRDefault="00B01F04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Prevê especificamente, quando apropriado, a utilização de símbolos de segurança já utilizados internacionalmente. </w:t>
      </w:r>
    </w:p>
    <w:p w14:paraId="62280C2E" w14:textId="77777777" w:rsidR="00A4205E" w:rsidRPr="00F31789" w:rsidRDefault="00A4205E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lastRenderedPageBreak/>
        <w:t xml:space="preserve">Abarca a </w:t>
      </w:r>
      <w:r w:rsidR="00B01F04" w:rsidRPr="00F31789">
        <w:rPr>
          <w:rFonts w:cstheme="minorHAnsi"/>
          <w:sz w:val="23"/>
          <w:szCs w:val="23"/>
        </w:rPr>
        <w:t xml:space="preserve">avaliação e gestão de riscos por empresas e por entes governamentais. Os aderentes à recomendação devem encorajar empresas a tomar a segurança de produtos como fator decisivo para o desenvolvimento, controle de qualidade, produção e fornecimento de produtos para os consumidores, o que deve incluir o mapeamento e gestão de riscos ao consumidor, com previsão de como agirá a empresa em caso de produtos verificados como inseguros após a colocação no mercado. </w:t>
      </w:r>
    </w:p>
    <w:p w14:paraId="41047316" w14:textId="77777777" w:rsidR="00A4205E" w:rsidRPr="00F31789" w:rsidRDefault="00B01F04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Em relação aos entes governamentais, estes devem adotar procedimentos sistemáticos para mapeamento de riscos para identificar riscos que exijam sua atuação, para entender os danos e riscos envolvidos, utilizando de abordagens de </w:t>
      </w:r>
      <w:proofErr w:type="gramStart"/>
      <w:r w:rsidRPr="00F31789">
        <w:rPr>
          <w:rFonts w:cstheme="minorHAnsi"/>
          <w:sz w:val="23"/>
          <w:szCs w:val="23"/>
        </w:rPr>
        <w:t>custo benefício</w:t>
      </w:r>
      <w:proofErr w:type="gramEnd"/>
      <w:r w:rsidRPr="00F31789">
        <w:rPr>
          <w:rFonts w:cstheme="minorHAnsi"/>
          <w:sz w:val="23"/>
          <w:szCs w:val="23"/>
        </w:rPr>
        <w:t xml:space="preserve"> e informações internacionais. Devem ainda divulgar as metodologias de avaliação de riscos para que os processos decisórios sejam transparentes e estejam disponíveis nacional e internacionalmente. Por fim, prevê também a adoção de programas para gestão de riscos, coleta de dados e análises a respeito de danos causados por produtos perigosos nacionalmente.</w:t>
      </w:r>
    </w:p>
    <w:p w14:paraId="79186B99" w14:textId="77777777" w:rsidR="00A4205E" w:rsidRPr="00F31789" w:rsidRDefault="00B01F04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A respeito de recalls e outras medidas corretivas, a recomendação prevê a adoção de medidas que forcem empresas: a emitir avisos, a retirar de circulação, a modificar ou reparar e devolver aos consumidores e prevenir seu uso; a comunicação efetiva aos consumidores a respeito de recalls, com a coordenação de entidades governamentais; a fornecer compensação eficaz a consumidores; implementar mecanismos que identifiquem e entrem em contato de imediato com consumidores afetados por recalls; a implementar mecanismos identificadores de produtos para rastreio. </w:t>
      </w:r>
    </w:p>
    <w:p w14:paraId="20BA4247" w14:textId="77777777" w:rsidR="00A4205E" w:rsidRPr="00F31789" w:rsidRDefault="00B01F04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>É recomendado ainda que o governo, entidades civis e empresas criem padrões para o planejamento, lançamento e condução de campanhas de recall; que todos os atores envolvidos sejam alertados sobre a existência de campanhas de recall e, por fim, que as empresas tenham sistemas e registros de controle de qualidade, acessíveis ao governo, quando necessário.</w:t>
      </w:r>
    </w:p>
    <w:p w14:paraId="3D4474C1" w14:textId="61787BEE" w:rsidR="00B01F04" w:rsidRPr="00F31789" w:rsidRDefault="00B01F04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A respeito da conscientização de consumidores quanto à segurança de produtos, a recomendação prevê que os aderentes trabalhem em conjunto com empresas e outros atores para fornecer informações aos consumidores, levando em conta suas vulnerabilidades quando aplicável, sobre como comprar produtos seguros. </w:t>
      </w:r>
    </w:p>
    <w:p w14:paraId="063FDFC4" w14:textId="77777777" w:rsidR="00B01F04" w:rsidRPr="00F31789" w:rsidRDefault="00B01F04" w:rsidP="00F31789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cstheme="minorHAnsi"/>
          <w:sz w:val="23"/>
          <w:szCs w:val="23"/>
        </w:rPr>
      </w:pPr>
      <w:r w:rsidRPr="00F31789">
        <w:rPr>
          <w:rFonts w:cstheme="minorHAnsi"/>
          <w:sz w:val="23"/>
          <w:szCs w:val="23"/>
        </w:rPr>
        <w:t xml:space="preserve">Por fim, há tópicos específico a respeito de cooperação internacional. Nesse sentido, a cooperação internacional é tida como essencial para que os governos possam adotar medidas necessárias em suas jurisdições a partir de informações relevantes de outras jurisdições. Os aderentes à recomendação, devem, portanto, desenvolver iniciativas de compartilhamento de informações, compreendendo legislação, medidas corretivas específicas adotadas, projetos de pesquisa e de análises de dados relativos a danos causados por produtos perigosos, práticas e metodologias de gestão de riscos e novos riscos relacionados a produtos. Os países devem ainda compatibilizar seus sistemas de segurança de produtos e os padrões de segurança, se possível, com o de outras jurisdições. Devem ainda: participar da elaboração de parâmetros internacionais, com a participação de empresas e outros atores; utilizar redes internacionais de alertas, como o </w:t>
      </w:r>
      <w:r w:rsidRPr="00F31789">
        <w:rPr>
          <w:rFonts w:cstheme="minorHAnsi"/>
          <w:i/>
          <w:iCs/>
          <w:sz w:val="23"/>
          <w:szCs w:val="23"/>
        </w:rPr>
        <w:t>OECD Global Recalls</w:t>
      </w:r>
      <w:r w:rsidRPr="00F31789">
        <w:rPr>
          <w:rFonts w:cstheme="minorHAnsi"/>
          <w:sz w:val="23"/>
          <w:szCs w:val="23"/>
        </w:rPr>
        <w:t>; e participar de iniciativas de conscientização global.</w:t>
      </w:r>
    </w:p>
    <w:p w14:paraId="7D9DF66F" w14:textId="29602053" w:rsidR="00B01F04" w:rsidRDefault="00B01F04" w:rsidP="00F31789">
      <w:pPr>
        <w:spacing w:after="120"/>
      </w:pPr>
    </w:p>
    <w:sectPr w:rsidR="00B01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540BC" w14:textId="77777777" w:rsidR="00215752" w:rsidRDefault="00215752" w:rsidP="002F1313">
      <w:pPr>
        <w:spacing w:after="0" w:line="240" w:lineRule="auto"/>
      </w:pPr>
      <w:r>
        <w:separator/>
      </w:r>
    </w:p>
  </w:endnote>
  <w:endnote w:type="continuationSeparator" w:id="0">
    <w:p w14:paraId="14E1B586" w14:textId="77777777" w:rsidR="00215752" w:rsidRDefault="00215752" w:rsidP="002F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5F989" w14:textId="77777777" w:rsidR="00215752" w:rsidRDefault="00215752" w:rsidP="002F1313">
      <w:pPr>
        <w:spacing w:after="0" w:line="240" w:lineRule="auto"/>
      </w:pPr>
      <w:r>
        <w:separator/>
      </w:r>
    </w:p>
  </w:footnote>
  <w:footnote w:type="continuationSeparator" w:id="0">
    <w:p w14:paraId="38162210" w14:textId="77777777" w:rsidR="00215752" w:rsidRDefault="00215752" w:rsidP="002F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F324C"/>
    <w:multiLevelType w:val="hybridMultilevel"/>
    <w:tmpl w:val="7AACA10A"/>
    <w:name w:val="Lista numerada 24"/>
    <w:lvl w:ilvl="0" w:tplc="8E024B14">
      <w:start w:val="2"/>
      <w:numFmt w:val="upperRoman"/>
      <w:lvlText w:val="(%1)"/>
      <w:lvlJc w:val="left"/>
      <w:pPr>
        <w:ind w:left="360" w:firstLine="0"/>
      </w:pPr>
    </w:lvl>
    <w:lvl w:ilvl="1" w:tplc="9EE07E62">
      <w:start w:val="1"/>
      <w:numFmt w:val="lowerLetter"/>
      <w:lvlText w:val="%2."/>
      <w:lvlJc w:val="left"/>
      <w:pPr>
        <w:ind w:left="1080" w:firstLine="0"/>
      </w:pPr>
    </w:lvl>
    <w:lvl w:ilvl="2" w:tplc="0DB088A8">
      <w:start w:val="1"/>
      <w:numFmt w:val="lowerRoman"/>
      <w:lvlText w:val="%3."/>
      <w:lvlJc w:val="left"/>
      <w:pPr>
        <w:ind w:left="1980" w:firstLine="0"/>
      </w:pPr>
    </w:lvl>
    <w:lvl w:ilvl="3" w:tplc="2BACD340">
      <w:start w:val="1"/>
      <w:numFmt w:val="decimal"/>
      <w:lvlText w:val="%4."/>
      <w:lvlJc w:val="left"/>
      <w:pPr>
        <w:ind w:left="2520" w:firstLine="0"/>
      </w:pPr>
    </w:lvl>
    <w:lvl w:ilvl="4" w:tplc="DCCAF152">
      <w:start w:val="1"/>
      <w:numFmt w:val="lowerLetter"/>
      <w:lvlText w:val="%5."/>
      <w:lvlJc w:val="left"/>
      <w:pPr>
        <w:ind w:left="3240" w:firstLine="0"/>
      </w:pPr>
    </w:lvl>
    <w:lvl w:ilvl="5" w:tplc="6F382086">
      <w:start w:val="1"/>
      <w:numFmt w:val="lowerRoman"/>
      <w:lvlText w:val="%6."/>
      <w:lvlJc w:val="left"/>
      <w:pPr>
        <w:ind w:left="4140" w:firstLine="0"/>
      </w:pPr>
    </w:lvl>
    <w:lvl w:ilvl="6" w:tplc="17D00CA2">
      <w:start w:val="1"/>
      <w:numFmt w:val="decimal"/>
      <w:lvlText w:val="%7."/>
      <w:lvlJc w:val="left"/>
      <w:pPr>
        <w:ind w:left="4680" w:firstLine="0"/>
      </w:pPr>
    </w:lvl>
    <w:lvl w:ilvl="7" w:tplc="167864B2">
      <w:start w:val="1"/>
      <w:numFmt w:val="lowerLetter"/>
      <w:lvlText w:val="%8."/>
      <w:lvlJc w:val="left"/>
      <w:pPr>
        <w:ind w:left="5400" w:firstLine="0"/>
      </w:pPr>
    </w:lvl>
    <w:lvl w:ilvl="8" w:tplc="9B242014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B8926F1"/>
    <w:multiLevelType w:val="hybridMultilevel"/>
    <w:tmpl w:val="33C67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1603"/>
    <w:multiLevelType w:val="hybridMultilevel"/>
    <w:tmpl w:val="48E606BC"/>
    <w:name w:val="Lista numerada 12"/>
    <w:lvl w:ilvl="0" w:tplc="CB1434D2">
      <w:start w:val="1"/>
      <w:numFmt w:val="upperRoman"/>
      <w:lvlText w:val="%1-"/>
      <w:lvlJc w:val="left"/>
      <w:pPr>
        <w:ind w:left="720" w:firstLine="0"/>
      </w:pPr>
    </w:lvl>
    <w:lvl w:ilvl="1" w:tplc="E5C8C19C">
      <w:start w:val="1"/>
      <w:numFmt w:val="lowerLetter"/>
      <w:lvlText w:val="%2."/>
      <w:lvlJc w:val="left"/>
      <w:pPr>
        <w:ind w:left="1440" w:firstLine="0"/>
      </w:pPr>
    </w:lvl>
    <w:lvl w:ilvl="2" w:tplc="EE4672DA">
      <w:start w:val="1"/>
      <w:numFmt w:val="lowerRoman"/>
      <w:lvlText w:val="%3."/>
      <w:lvlJc w:val="left"/>
      <w:pPr>
        <w:ind w:left="2340" w:firstLine="0"/>
      </w:pPr>
    </w:lvl>
    <w:lvl w:ilvl="3" w:tplc="94FAD994">
      <w:start w:val="1"/>
      <w:numFmt w:val="decimal"/>
      <w:lvlText w:val="%4."/>
      <w:lvlJc w:val="left"/>
      <w:pPr>
        <w:ind w:left="2880" w:firstLine="0"/>
      </w:pPr>
    </w:lvl>
    <w:lvl w:ilvl="4" w:tplc="A40281CC">
      <w:start w:val="1"/>
      <w:numFmt w:val="lowerLetter"/>
      <w:lvlText w:val="%5."/>
      <w:lvlJc w:val="left"/>
      <w:pPr>
        <w:ind w:left="3600" w:firstLine="0"/>
      </w:pPr>
    </w:lvl>
    <w:lvl w:ilvl="5" w:tplc="D79C1D44">
      <w:start w:val="1"/>
      <w:numFmt w:val="lowerRoman"/>
      <w:lvlText w:val="%6."/>
      <w:lvlJc w:val="left"/>
      <w:pPr>
        <w:ind w:left="4500" w:firstLine="0"/>
      </w:pPr>
    </w:lvl>
    <w:lvl w:ilvl="6" w:tplc="23828D30">
      <w:start w:val="1"/>
      <w:numFmt w:val="decimal"/>
      <w:lvlText w:val="%7."/>
      <w:lvlJc w:val="left"/>
      <w:pPr>
        <w:ind w:left="5040" w:firstLine="0"/>
      </w:pPr>
    </w:lvl>
    <w:lvl w:ilvl="7" w:tplc="D2244EBE">
      <w:start w:val="1"/>
      <w:numFmt w:val="lowerLetter"/>
      <w:lvlText w:val="%8."/>
      <w:lvlJc w:val="left"/>
      <w:pPr>
        <w:ind w:left="5760" w:firstLine="0"/>
      </w:pPr>
    </w:lvl>
    <w:lvl w:ilvl="8" w:tplc="5CE075D8">
      <w:start w:val="1"/>
      <w:numFmt w:val="lowerRoman"/>
      <w:lvlText w:val="%9."/>
      <w:lvlJc w:val="left"/>
      <w:pPr>
        <w:ind w:left="6660" w:firstLine="0"/>
      </w:pPr>
    </w:lvl>
  </w:abstractNum>
  <w:abstractNum w:abstractNumId="3" w15:restartNumberingAfterBreak="0">
    <w:nsid w:val="393850B9"/>
    <w:multiLevelType w:val="hybridMultilevel"/>
    <w:tmpl w:val="FF920D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9A2FE5"/>
    <w:multiLevelType w:val="hybridMultilevel"/>
    <w:tmpl w:val="6504AA6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B850FB"/>
    <w:multiLevelType w:val="hybridMultilevel"/>
    <w:tmpl w:val="DA78AC8A"/>
    <w:name w:val="Lista numerada 14"/>
    <w:lvl w:ilvl="0" w:tplc="C7861AD8">
      <w:start w:val="1"/>
      <w:numFmt w:val="upperRoman"/>
      <w:lvlText w:val="(%1)"/>
      <w:lvlJc w:val="left"/>
      <w:pPr>
        <w:ind w:left="708" w:firstLine="0"/>
      </w:pPr>
    </w:lvl>
    <w:lvl w:ilvl="1" w:tplc="3EFEE4A4">
      <w:start w:val="1"/>
      <w:numFmt w:val="lowerLetter"/>
      <w:lvlText w:val="%2."/>
      <w:lvlJc w:val="left"/>
      <w:pPr>
        <w:ind w:left="1428" w:firstLine="0"/>
      </w:pPr>
    </w:lvl>
    <w:lvl w:ilvl="2" w:tplc="F81AA78E">
      <w:start w:val="1"/>
      <w:numFmt w:val="lowerRoman"/>
      <w:lvlText w:val="%3."/>
      <w:lvlJc w:val="left"/>
      <w:pPr>
        <w:ind w:left="2328" w:firstLine="0"/>
      </w:pPr>
    </w:lvl>
    <w:lvl w:ilvl="3" w:tplc="8EFE5000">
      <w:start w:val="1"/>
      <w:numFmt w:val="decimal"/>
      <w:lvlText w:val="%4."/>
      <w:lvlJc w:val="left"/>
      <w:pPr>
        <w:ind w:left="2868" w:firstLine="0"/>
      </w:pPr>
    </w:lvl>
    <w:lvl w:ilvl="4" w:tplc="9AB835F8">
      <w:start w:val="1"/>
      <w:numFmt w:val="lowerLetter"/>
      <w:lvlText w:val="%5."/>
      <w:lvlJc w:val="left"/>
      <w:pPr>
        <w:ind w:left="3588" w:firstLine="0"/>
      </w:pPr>
    </w:lvl>
    <w:lvl w:ilvl="5" w:tplc="BB4847B0">
      <w:start w:val="1"/>
      <w:numFmt w:val="lowerRoman"/>
      <w:lvlText w:val="%6."/>
      <w:lvlJc w:val="left"/>
      <w:pPr>
        <w:ind w:left="4488" w:firstLine="0"/>
      </w:pPr>
    </w:lvl>
    <w:lvl w:ilvl="6" w:tplc="AFAE49D8">
      <w:start w:val="1"/>
      <w:numFmt w:val="decimal"/>
      <w:lvlText w:val="%7."/>
      <w:lvlJc w:val="left"/>
      <w:pPr>
        <w:ind w:left="5028" w:firstLine="0"/>
      </w:pPr>
    </w:lvl>
    <w:lvl w:ilvl="7" w:tplc="423A3702">
      <w:start w:val="1"/>
      <w:numFmt w:val="lowerLetter"/>
      <w:lvlText w:val="%8."/>
      <w:lvlJc w:val="left"/>
      <w:pPr>
        <w:ind w:left="5748" w:firstLine="0"/>
      </w:pPr>
    </w:lvl>
    <w:lvl w:ilvl="8" w:tplc="AC0819C8">
      <w:start w:val="1"/>
      <w:numFmt w:val="lowerRoman"/>
      <w:lvlText w:val="%9."/>
      <w:lvlJc w:val="left"/>
      <w:pPr>
        <w:ind w:left="6648" w:firstLine="0"/>
      </w:pPr>
    </w:lvl>
  </w:abstractNum>
  <w:abstractNum w:abstractNumId="6" w15:restartNumberingAfterBreak="0">
    <w:nsid w:val="64C81B36"/>
    <w:multiLevelType w:val="hybridMultilevel"/>
    <w:tmpl w:val="28A81D00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B11491F"/>
    <w:multiLevelType w:val="hybridMultilevel"/>
    <w:tmpl w:val="D0BE9E4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53724C"/>
    <w:multiLevelType w:val="hybridMultilevel"/>
    <w:tmpl w:val="4A2A99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702C45"/>
    <w:multiLevelType w:val="hybridMultilevel"/>
    <w:tmpl w:val="1E7037AE"/>
    <w:name w:val="Lista numerada 21"/>
    <w:lvl w:ilvl="0" w:tplc="773CD13E">
      <w:start w:val="1"/>
      <w:numFmt w:val="upperRoman"/>
      <w:lvlText w:val="(%1)"/>
      <w:lvlJc w:val="left"/>
      <w:pPr>
        <w:ind w:left="360" w:firstLine="0"/>
      </w:pPr>
    </w:lvl>
    <w:lvl w:ilvl="1" w:tplc="C302B8CC">
      <w:start w:val="1"/>
      <w:numFmt w:val="lowerLetter"/>
      <w:lvlText w:val="%2."/>
      <w:lvlJc w:val="left"/>
      <w:pPr>
        <w:ind w:left="1080" w:firstLine="0"/>
      </w:pPr>
    </w:lvl>
    <w:lvl w:ilvl="2" w:tplc="18EED7B4">
      <w:start w:val="1"/>
      <w:numFmt w:val="lowerRoman"/>
      <w:lvlText w:val="%3."/>
      <w:lvlJc w:val="left"/>
      <w:pPr>
        <w:ind w:left="1980" w:firstLine="0"/>
      </w:pPr>
    </w:lvl>
    <w:lvl w:ilvl="3" w:tplc="B308EDF8">
      <w:start w:val="1"/>
      <w:numFmt w:val="decimal"/>
      <w:lvlText w:val="%4."/>
      <w:lvlJc w:val="left"/>
      <w:pPr>
        <w:ind w:left="2520" w:firstLine="0"/>
      </w:pPr>
    </w:lvl>
    <w:lvl w:ilvl="4" w:tplc="D8061B14">
      <w:start w:val="1"/>
      <w:numFmt w:val="lowerLetter"/>
      <w:lvlText w:val="%5."/>
      <w:lvlJc w:val="left"/>
      <w:pPr>
        <w:ind w:left="3240" w:firstLine="0"/>
      </w:pPr>
    </w:lvl>
    <w:lvl w:ilvl="5" w:tplc="307A0542">
      <w:start w:val="1"/>
      <w:numFmt w:val="lowerRoman"/>
      <w:lvlText w:val="%6."/>
      <w:lvlJc w:val="left"/>
      <w:pPr>
        <w:ind w:left="4140" w:firstLine="0"/>
      </w:pPr>
    </w:lvl>
    <w:lvl w:ilvl="6" w:tplc="1B60937A">
      <w:start w:val="1"/>
      <w:numFmt w:val="decimal"/>
      <w:lvlText w:val="%7."/>
      <w:lvlJc w:val="left"/>
      <w:pPr>
        <w:ind w:left="4680" w:firstLine="0"/>
      </w:pPr>
    </w:lvl>
    <w:lvl w:ilvl="7" w:tplc="215AF3E2">
      <w:start w:val="1"/>
      <w:numFmt w:val="lowerLetter"/>
      <w:lvlText w:val="%8."/>
      <w:lvlJc w:val="left"/>
      <w:pPr>
        <w:ind w:left="5400" w:firstLine="0"/>
      </w:pPr>
    </w:lvl>
    <w:lvl w:ilvl="8" w:tplc="D5A4A24C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75423512"/>
    <w:multiLevelType w:val="hybridMultilevel"/>
    <w:tmpl w:val="375AE0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A10AC"/>
    <w:multiLevelType w:val="hybridMultilevel"/>
    <w:tmpl w:val="CEB0DD62"/>
    <w:lvl w:ilvl="0" w:tplc="799CD15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1B"/>
    <w:rsid w:val="000D505B"/>
    <w:rsid w:val="00215752"/>
    <w:rsid w:val="002A5246"/>
    <w:rsid w:val="002F1313"/>
    <w:rsid w:val="002F54FF"/>
    <w:rsid w:val="003131E4"/>
    <w:rsid w:val="00344CC7"/>
    <w:rsid w:val="00662019"/>
    <w:rsid w:val="006C0087"/>
    <w:rsid w:val="00740016"/>
    <w:rsid w:val="00765585"/>
    <w:rsid w:val="008869F3"/>
    <w:rsid w:val="009F6935"/>
    <w:rsid w:val="00A14A1B"/>
    <w:rsid w:val="00A4205E"/>
    <w:rsid w:val="00B01F04"/>
    <w:rsid w:val="00C86AAD"/>
    <w:rsid w:val="00D005CC"/>
    <w:rsid w:val="00ED0633"/>
    <w:rsid w:val="00F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963E"/>
  <w15:chartTrackingRefBased/>
  <w15:docId w15:val="{5E28A235-0A6C-445B-81A0-B38F5301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662019"/>
    <w:pPr>
      <w:spacing w:after="0" w:line="240" w:lineRule="auto"/>
      <w:jc w:val="both"/>
      <w:outlineLvl w:val="1"/>
    </w:pPr>
    <w:rPr>
      <w:rFonts w:ascii="Garamond" w:eastAsia="Calibri" w:hAnsi="Garamond" w:cs="Calibri"/>
      <w:b/>
      <w:color w:val="000000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662019"/>
    <w:pPr>
      <w:spacing w:line="240" w:lineRule="auto"/>
      <w:jc w:val="both"/>
      <w:outlineLvl w:val="2"/>
    </w:pPr>
    <w:rPr>
      <w:rFonts w:ascii="Garamond" w:eastAsia="Calibri" w:hAnsi="Garamond" w:cs="Calibri"/>
      <w:b/>
      <w:color w:val="000000"/>
      <w:sz w:val="24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558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5585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662019"/>
    <w:rPr>
      <w:rFonts w:ascii="Garamond" w:eastAsia="Calibri" w:hAnsi="Garamond" w:cs="Calibri"/>
      <w:b/>
      <w:color w:val="000000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662019"/>
    <w:rPr>
      <w:rFonts w:ascii="Garamond" w:eastAsia="Calibri" w:hAnsi="Garamond" w:cs="Calibri"/>
      <w:b/>
      <w:color w:val="000000"/>
      <w:sz w:val="24"/>
      <w:szCs w:val="24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662019"/>
    <w:rPr>
      <w:color w:val="954F72" w:themeColor="followedHyperlink"/>
      <w:u w:val="single"/>
    </w:rPr>
  </w:style>
  <w:style w:type="paragraph" w:styleId="PargrafodaLista">
    <w:name w:val="List Paragraph"/>
    <w:basedOn w:val="Normal"/>
    <w:qFormat/>
    <w:rsid w:val="0066201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qFormat/>
    <w:rsid w:val="002F13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2F1313"/>
    <w:rPr>
      <w:rFonts w:ascii="Calibri" w:eastAsia="Calibri" w:hAnsi="Calibri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rsid w:val="002F1313"/>
    <w:rPr>
      <w:vertAlign w:val="superscript"/>
    </w:rPr>
  </w:style>
  <w:style w:type="character" w:customStyle="1" w:styleId="Refdecomentrio1">
    <w:name w:val="Ref. de comentário1"/>
    <w:basedOn w:val="Fontepargpadro"/>
    <w:rsid w:val="003131E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instruments.oecd.org/en/instruments/OECD-LEGAL-0422" TargetMode="External"/><Relationship Id="rId13" Type="http://schemas.openxmlformats.org/officeDocument/2006/relationships/hyperlink" Target="https://legalinstruments.oecd.org/en/instruments/OECD-LEGAL-0299" TargetMode="External"/><Relationship Id="rId18" Type="http://schemas.openxmlformats.org/officeDocument/2006/relationships/hyperlink" Target="https://legalinstruments.oecd.org/en/instruments/OECD-LEGAL-040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galinstruments.oecd.org/en/instruments/OECD-LEGAL-0344" TargetMode="External"/><Relationship Id="rId12" Type="http://schemas.openxmlformats.org/officeDocument/2006/relationships/hyperlink" Target="https://legalinstruments.oecd.org/en/instruments/OECD-LEGAL-0403" TargetMode="External"/><Relationship Id="rId17" Type="http://schemas.openxmlformats.org/officeDocument/2006/relationships/hyperlink" Target="https://legalinstruments.oecd.org/en/instruments/OECD-LEGAL-04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alinstruments.oecd.org/en/instruments/OECD-LEGAL-0344" TargetMode="External"/><Relationship Id="rId20" Type="http://schemas.openxmlformats.org/officeDocument/2006/relationships/hyperlink" Target="https://legalinstruments.oecd.org/en/instruments/OECD-LEGAL-045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instruments.oecd.org/en/instruments/OECD-LEGAL-04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alinstruments.oecd.org/en/instruments/OECD-LEGAL-0317" TargetMode="External"/><Relationship Id="rId10" Type="http://schemas.openxmlformats.org/officeDocument/2006/relationships/hyperlink" Target="https://legalinstruments.oecd.org/en/instruments/OECD-LEGAL-0317" TargetMode="External"/><Relationship Id="rId19" Type="http://schemas.openxmlformats.org/officeDocument/2006/relationships/hyperlink" Target="https://legalinstruments.oecd.org/en/instruments/OECD-LEGAL-0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instruments.oecd.org/en/instruments/OECD-LEGAL-0459" TargetMode="External"/><Relationship Id="rId14" Type="http://schemas.openxmlformats.org/officeDocument/2006/relationships/hyperlink" Target="https://legalinstruments.oecd.org/en/instruments/OECD-LEGAL-029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4228</Words>
  <Characters>22836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Carneiro Pereira</dc:creator>
  <cp:keywords/>
  <dc:description/>
  <cp:lastModifiedBy>Alexandre Carneiro Pereira</cp:lastModifiedBy>
  <cp:revision>12</cp:revision>
  <dcterms:created xsi:type="dcterms:W3CDTF">2020-12-23T13:29:00Z</dcterms:created>
  <dcterms:modified xsi:type="dcterms:W3CDTF">2020-12-23T19:52:00Z</dcterms:modified>
</cp:coreProperties>
</file>