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1281" w14:textId="77777777" w:rsidR="00C31FA8" w:rsidRPr="002D02F6" w:rsidRDefault="00C31FA8" w:rsidP="00C31FA8">
      <w:pPr>
        <w:spacing w:before="120"/>
        <w:ind w:right="-24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ANEXO V</w:t>
      </w:r>
    </w:p>
    <w:p w14:paraId="6A9FE0DD" w14:textId="77777777" w:rsidR="00C31FA8" w:rsidRPr="002D02F6" w:rsidRDefault="00C31FA8" w:rsidP="00C31FA8">
      <w:pPr>
        <w:spacing w:after="165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b/>
          <w:bCs/>
          <w:color w:val="000000"/>
          <w:kern w:val="0"/>
          <w:lang w:eastAsia="pt-BR"/>
          <w14:ligatures w14:val="none"/>
        </w:rPr>
        <w:t>ROTEIRO PARA ELABORAÇÃO DA PROPOSTA</w:t>
      </w:r>
    </w:p>
    <w:p w14:paraId="12825DD2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560B78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A elaboração da proposta pela Organização da Sociedade Civil (OSC) deverá observar as orientações deste roteiro, que servirá como base para o preenchimento da Proposta de Plano de Trabalho (Anexo IV) e para a avaliação da Comissão de Seleção conforme os critérios estabelecidos no Edital.</w:t>
      </w:r>
    </w:p>
    <w:p w14:paraId="3602CDB1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Considerando que o instrumento jurídico adotado é o Termo de Fomento, a Administração Pública reconhece que a concepção do projeto pertence à OSC, cabendo a esta detalhar a metodologia, as técnicas e as inovações que julgar mais adequadas para o alcance dos resultados, desde que respeitados o objeto e o teto orçamentário previstos. A proposta deve ser estruturada de modo a demonstrar clareza, coerência e viabilidade técnica, permitindo uma análise objetiva de seu mérito e de sua capacidade de gerar impacto social.</w:t>
      </w:r>
    </w:p>
    <w:p w14:paraId="2499C3A3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O ponto de partida para a construção da proposta deve ser a descrição detalhada da realidade objeto da parceria, na qual a entidade deverá demonstrar um diagnóstico robusto do território e do contexto socioeconômico onde o projeto será executado. É fundamental que a OSC evidencie o nexo causal entre o problema público identificado – seja ele a informalidade, a baixa produtividade, a falta de acesso a crédito ou a vulnerabilidade social – e a solução proposta, diferenciando claramente as causas das consequências. Nesse diagnóstico, deve-se caracterizar o público-alvo com precisão, distinguindo a população potencial daquela que será efetivamente atendida e priorizada, com ênfase na inclusão de grupos historicamente </w:t>
      </w:r>
      <w:proofErr w:type="spellStart"/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minorizados</w:t>
      </w:r>
      <w:proofErr w:type="spellEnd"/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, como mulheres, negros, indígenas, quilombolas e beneficiários de programas de transferência de renda, em alinhamento com as diretrizes da </w:t>
      </w:r>
      <w:hyperlink r:id="rId4" w:tgtFrame="_blank" w:history="1">
        <w:r w:rsidRPr="002D02F6">
          <w:rPr>
            <w:rFonts w:eastAsia="Times New Roman" w:cs="Calibri"/>
            <w:color w:val="0000FF"/>
            <w:kern w:val="0"/>
            <w:u w:val="single"/>
            <w:lang w:eastAsia="pt-BR"/>
            <w14:ligatures w14:val="none"/>
          </w:rPr>
          <w:t>Portaria MEMP nº 153/2025</w:t>
        </w:r>
      </w:hyperlink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 e os critérios de pontuação que valorizam a redução de desigualdades.</w:t>
      </w:r>
    </w:p>
    <w:p w14:paraId="39F310DE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Na sequência, a proposta deve explicitar a aderência aos objetivos da política pública, conectando as ações do projeto às diretrizes do </w:t>
      </w:r>
      <w:hyperlink r:id="rId5" w:tgtFrame="_blank" w:history="1">
        <w:r w:rsidRPr="002D02F6">
          <w:rPr>
            <w:rFonts w:eastAsia="Times New Roman" w:cs="Calibri"/>
            <w:color w:val="0000FF"/>
            <w:kern w:val="0"/>
            <w:u w:val="single"/>
            <w:lang w:eastAsia="pt-BR"/>
            <w14:ligatures w14:val="none"/>
          </w:rPr>
          <w:t>Programa 2802</w:t>
        </w:r>
      </w:hyperlink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 do Plano Plurianual (PPA) 2024-2027 e ao Planejamento Estratégico Institucional – </w:t>
      </w:r>
      <w:hyperlink r:id="rId6" w:tgtFrame="_blank" w:history="1">
        <w:r w:rsidRPr="002D02F6">
          <w:rPr>
            <w:rFonts w:eastAsia="Times New Roman" w:cs="Calibri"/>
            <w:color w:val="0000FF"/>
            <w:kern w:val="0"/>
            <w:u w:val="single"/>
            <w:lang w:eastAsia="pt-BR"/>
            <w14:ligatures w14:val="none"/>
          </w:rPr>
          <w:t>PEI MEMP 2024-2027</w:t>
        </w:r>
      </w:hyperlink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. A entidade deve demonstrar como sua iniciativa contribui diretamente para a inclusão socioprodutiva, o apoio ao microempreendedorismo ou o fomento ao associativismo e cooperativismo. Essa seção é crucial para comprovar que o projeto não é isolado, mas sim parte integrante de uma estratégia maior de desenvolvimento nacional, justificando o apoio estatal por meio do Termo de Fomento.</w:t>
      </w:r>
    </w:p>
    <w:p w14:paraId="3CDAE785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A metodologia de execução constitui o núcleo técnico da proposta e deve detalhar como as ações serão realizadas, evidenciando a qualidade, a relevância e a inovação do projeto. A OSC deve descrever as tecnologias sociais que serão empregadas ou desenvolvidas, a abordagem pedagógica nas ações de capacitação e as estratégias de mobilização do público-alvo. Espera-se que a proposta apresente diferenciais que potencializem os resultados, preenchendo lacunas de atuação estatal e oferecendo soluções criativas para os desafios enfrentados pelos empreendedores na ponta, o que será avaliado sob a ótica da capacidade de inovação e consistência conceitual da proposta.</w:t>
      </w:r>
    </w:p>
    <w:p w14:paraId="34F0AF1C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 xml:space="preserve">Como parte integrante da metodologia, a proposta deve apresentar, obrigatoriamente, parâmetros claros sobre as medidas de acessibilidade que serão </w:t>
      </w: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lastRenderedPageBreak/>
        <w:t>adotadas para pessoas com deficiência, pessoas com mobilidade reduzida e pessoas idosas, em cumprimento ao art. 9º, inciso VIII, do Decreto nº 8.726/2016. A OSC deve descrever como assegurará a acessibilidade nas diversas dimensões aplicáveis, tais como: (a) garantia de que os locais de realização das atividades (cursos, feiras, atendimentos) não possuam barreiras físicas, priorizando espaços com rampas, banheiros adaptados, sinalização tátil e rotas acessíveis; (b) previsão de recursos de tecnologia assistiva conforme a necessidade do público-alvo e o formato da ação (intérpretes de Libras, audiodescrição, legendagem em vídeos e materiais didáticos ou de divulgação em formatos acessíveis); e (c) estratégias para acolhimento adequado por parte da equipe técnica. </w:t>
      </w:r>
    </w:p>
    <w:p w14:paraId="107A9E31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Para garantir a viabilidade operacional, a proposta deve apresentar um plano de ação estruturado, contendo metas quantitativas e mensuráveis, indicadores de desempenho claros e um cronograma de execução exequível. As informações sobre as ações a serem executadas devem ser precisas, indicando os prazos para o cumprimento de cada etapa e os meios de verificação que serão utilizados para aferir o sucesso do projeto. A coerência entre o volume de atividades propostas, o tempo disponível para sua realização e os recursos humanos e materiais alocados é determinante para a pontuação da proposta, devendo a OSC evitar cronogramas irreais ou metas inalcançáveis que comprometam a efetividade da parceria.</w:t>
      </w:r>
    </w:p>
    <w:p w14:paraId="4B13692F" w14:textId="77777777" w:rsidR="00C31FA8" w:rsidRPr="002D02F6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Adicionalmente, a entidade proponente deve descrever sua capacidade técnico-operacional, relatando experiências prévias na gestão de atividades ou projetos de natureza semelhante ao objeto da parceria. É necessário informar o portfólio de realizações, destacando parcerias anteriores, resultados alcançados e o tempo de atuação na temática, o que servirá de base para avaliar a aptidão da organização para gerir os recursos públicos e entregar os resultados prometidos. Embora a comprovação documental ocorra na fase de celebração, a descrição minuciosa dessas experiências na fase de proposta é obrigatória e essencial para a classificação no processo seletivo.</w:t>
      </w:r>
    </w:p>
    <w:p w14:paraId="1FA9BDD8" w14:textId="19F1CB8E" w:rsidR="00C31FA8" w:rsidRPr="00C31FA8" w:rsidRDefault="00C31FA8" w:rsidP="00C31FA8">
      <w:pPr>
        <w:spacing w:after="60"/>
        <w:ind w:firstLine="708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2D02F6">
        <w:rPr>
          <w:rFonts w:eastAsia="Times New Roman" w:cs="Calibri"/>
          <w:color w:val="000000"/>
          <w:kern w:val="0"/>
          <w:lang w:eastAsia="pt-BR"/>
          <w14:ligatures w14:val="none"/>
        </w:rPr>
        <w:t>Por fim, a proposta deve apresentar o valor global do projeto, observado que o teto de R$ 32.000.000,00 (trinta e dois milhões de reais) corresponde apenas ao valor máximo admitido para um Termo de Fomento específico, não constituindo parâmetro a ser necessariamente atingido. Assim, o orçamento proposto deve refletir exclusivamente os custos indispensáveis à execução do Plano de Trabalho, com previsão de receitas e estimativa de despesas compatíveis com os preços praticados no mercado e justificadas pela complexidade, abrangência e resultados esperados. A OSC deve zelar para que os custos indicados sejam necessários, adequados e proporcionais à complexidade e dimensão das ações propostas, sob pena de a proposta ser avaliada negativamente caso haja superdimensionamento, itens não essenciais ou ausência de justificativas, lembrando que a relação custo-benefício e a economicidade também são vetores de análise para a seleção da melhor proposta para a administração pública.</w:t>
      </w:r>
    </w:p>
    <w:sectPr w:rsidR="00C31FA8" w:rsidRPr="00C31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A8"/>
    <w:rsid w:val="00083987"/>
    <w:rsid w:val="0020363B"/>
    <w:rsid w:val="007E33B7"/>
    <w:rsid w:val="00C31FA8"/>
    <w:rsid w:val="00C35C83"/>
    <w:rsid w:val="00D4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90AD"/>
  <w15:chartTrackingRefBased/>
  <w15:docId w15:val="{1ACE00C5-591F-45F7-80B5-645A0EBA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FA8"/>
    <w:pPr>
      <w:spacing w:after="120"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C31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1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1F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1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1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1F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1F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1F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1F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1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1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1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1F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1F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1F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1F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1F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1F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1F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1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1F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1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1F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1FA8"/>
    <w:rPr>
      <w:rFonts w:ascii="Calibri" w:hAnsi="Calibri"/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1F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1F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1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1FA8"/>
    <w:rPr>
      <w:rFonts w:ascii="Calibri" w:hAnsi="Calibr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1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memp/pt-br/acesso-a-informacao/governanca/planejamento-estrategico" TargetMode="External"/><Relationship Id="rId5" Type="http://schemas.openxmlformats.org/officeDocument/2006/relationships/hyperlink" Target="https://www.gov.br/memp/pt-br/acesso-a-informacao/acoes-e-programas/neoindustrializacao-ambiente-de-negocio-e-participacao-economica-internacional" TargetMode="External"/><Relationship Id="rId4" Type="http://schemas.openxmlformats.org/officeDocument/2006/relationships/hyperlink" Target="https://www.in.gov.br/web/dou/-/portaria-memp-n-153-de-8-de-agosto-de-2025-64800387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1062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Maciel Costa Oliveira</dc:creator>
  <cp:keywords/>
  <dc:description/>
  <cp:lastModifiedBy>Thiago Maciel Costa Oliveira</cp:lastModifiedBy>
  <cp:revision>1</cp:revision>
  <dcterms:created xsi:type="dcterms:W3CDTF">2026-02-20T18:32:00Z</dcterms:created>
  <dcterms:modified xsi:type="dcterms:W3CDTF">2026-02-20T18:34:00Z</dcterms:modified>
</cp:coreProperties>
</file>