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DAF7" w14:textId="77777777" w:rsidR="006C1FB7" w:rsidRDefault="006C1FB7" w:rsidP="006C1FB7">
      <w:pPr>
        <w:pStyle w:val="NormalWeb"/>
        <w:spacing w:before="120" w:beforeAutospacing="0" w:after="120" w:afterAutospacing="0"/>
        <w:ind w:right="-240"/>
        <w:jc w:val="center"/>
        <w:rPr>
          <w:color w:val="000000"/>
          <w:sz w:val="27"/>
          <w:szCs w:val="27"/>
        </w:rPr>
      </w:pPr>
      <w:r>
        <w:rPr>
          <w:rFonts w:ascii="Calibri" w:hAnsi="Calibri" w:cs="Calibri"/>
          <w:b/>
          <w:bCs/>
          <w:color w:val="000000"/>
        </w:rPr>
        <w:t>ANEXO VIII</w:t>
      </w:r>
    </w:p>
    <w:p w14:paraId="67502273" w14:textId="77777777" w:rsidR="006C1FB7" w:rsidRDefault="006C1FB7" w:rsidP="006C1FB7">
      <w:pPr>
        <w:pStyle w:val="NormalWeb"/>
        <w:spacing w:before="0" w:beforeAutospacing="0" w:after="165" w:afterAutospacing="0"/>
        <w:jc w:val="center"/>
        <w:rPr>
          <w:color w:val="000000"/>
          <w:sz w:val="27"/>
          <w:szCs w:val="27"/>
        </w:rPr>
      </w:pPr>
      <w:r>
        <w:rPr>
          <w:rFonts w:ascii="Calibri" w:hAnsi="Calibri" w:cs="Calibri"/>
          <w:b/>
          <w:bCs/>
          <w:color w:val="000000"/>
        </w:rPr>
        <w:t>MINUTA DE TERMO DE FOMENTO</w:t>
      </w:r>
    </w:p>
    <w:p w14:paraId="146DCCF5" w14:textId="725C565D" w:rsidR="006C1FB7" w:rsidRDefault="006C1FB7" w:rsidP="006C1FB7">
      <w:pPr>
        <w:pStyle w:val="NormalWeb"/>
        <w:spacing w:before="0" w:beforeAutospacing="0" w:after="165" w:afterAutospacing="0"/>
        <w:jc w:val="center"/>
        <w:rPr>
          <w:color w:val="000000"/>
          <w:sz w:val="27"/>
          <w:szCs w:val="27"/>
        </w:rPr>
      </w:pPr>
    </w:p>
    <w:p w14:paraId="535C8C8C" w14:textId="77777777" w:rsidR="006C1FB7" w:rsidRDefault="006C1FB7" w:rsidP="006C1FB7">
      <w:pPr>
        <w:pStyle w:val="NormalWeb"/>
        <w:spacing w:before="0" w:beforeAutospacing="0" w:after="60" w:afterAutospacing="0"/>
        <w:jc w:val="center"/>
        <w:rPr>
          <w:color w:val="000000"/>
          <w:sz w:val="27"/>
          <w:szCs w:val="27"/>
        </w:rPr>
      </w:pPr>
      <w:r>
        <w:rPr>
          <w:rFonts w:ascii="Calibri" w:hAnsi="Calibri" w:cs="Calibri"/>
          <w:b/>
          <w:bCs/>
          <w:color w:val="000000"/>
          <w:sz w:val="22"/>
          <w:szCs w:val="22"/>
        </w:rPr>
        <w:t>Termo de Fomento MEMP</w:t>
      </w:r>
      <w:r>
        <w:rPr>
          <w:rFonts w:ascii="Calibri" w:hAnsi="Calibri" w:cs="Calibri"/>
          <w:b/>
          <w:bCs/>
          <w:i/>
          <w:iCs/>
          <w:color w:val="000000"/>
          <w:sz w:val="22"/>
          <w:szCs w:val="22"/>
        </w:rPr>
        <w:t> </w:t>
      </w:r>
      <w:r>
        <w:rPr>
          <w:rFonts w:ascii="Calibri" w:hAnsi="Calibri" w:cs="Calibri"/>
          <w:b/>
          <w:bCs/>
          <w:color w:val="000000"/>
          <w:sz w:val="22"/>
          <w:szCs w:val="22"/>
        </w:rPr>
        <w:t>nº</w:t>
      </w:r>
      <w:r>
        <w:rPr>
          <w:rFonts w:ascii="Calibri" w:hAnsi="Calibri" w:cs="Calibri"/>
          <w:b/>
          <w:bCs/>
          <w:i/>
          <w:iCs/>
          <w:color w:val="000000"/>
          <w:sz w:val="22"/>
          <w:szCs w:val="22"/>
        </w:rPr>
        <w:t> XX</w:t>
      </w:r>
      <w:r>
        <w:rPr>
          <w:rFonts w:ascii="Calibri" w:hAnsi="Calibri" w:cs="Calibri"/>
          <w:b/>
          <w:bCs/>
          <w:color w:val="000000"/>
          <w:sz w:val="22"/>
          <w:szCs w:val="22"/>
        </w:rPr>
        <w:t>/20</w:t>
      </w:r>
      <w:r>
        <w:rPr>
          <w:rFonts w:ascii="Calibri" w:hAnsi="Calibri" w:cs="Calibri"/>
          <w:b/>
          <w:bCs/>
          <w:i/>
          <w:iCs/>
          <w:color w:val="000000"/>
          <w:sz w:val="22"/>
          <w:szCs w:val="22"/>
        </w:rPr>
        <w:t>XX</w:t>
      </w:r>
    </w:p>
    <w:p w14:paraId="2088C3E2" w14:textId="77777777" w:rsidR="006C1FB7" w:rsidRDefault="006C1FB7" w:rsidP="006C1FB7">
      <w:pPr>
        <w:pStyle w:val="NormalWeb"/>
        <w:spacing w:before="0" w:beforeAutospacing="0" w:after="60" w:afterAutospacing="0"/>
        <w:jc w:val="center"/>
        <w:rPr>
          <w:color w:val="000000"/>
          <w:sz w:val="27"/>
          <w:szCs w:val="27"/>
        </w:rPr>
      </w:pPr>
      <w:r>
        <w:rPr>
          <w:rFonts w:ascii="Calibri" w:hAnsi="Calibri" w:cs="Calibri"/>
          <w:b/>
          <w:bCs/>
          <w:color w:val="000000"/>
          <w:sz w:val="22"/>
          <w:szCs w:val="22"/>
        </w:rPr>
        <w:t>Transferegov.br nº</w:t>
      </w:r>
      <w:r>
        <w:rPr>
          <w:rFonts w:ascii="Calibri" w:hAnsi="Calibri" w:cs="Calibri"/>
          <w:b/>
          <w:bCs/>
          <w:i/>
          <w:iCs/>
          <w:color w:val="000000"/>
          <w:sz w:val="22"/>
          <w:szCs w:val="22"/>
        </w:rPr>
        <w:t> XXXX/XXXX</w:t>
      </w:r>
    </w:p>
    <w:p w14:paraId="39CF7398" w14:textId="77777777" w:rsidR="006C1FB7" w:rsidRDefault="006C1FB7" w:rsidP="006C1FB7">
      <w:pPr>
        <w:pStyle w:val="NormalWeb"/>
        <w:spacing w:before="0" w:beforeAutospacing="0" w:after="165" w:afterAutospacing="0"/>
        <w:ind w:right="630"/>
        <w:jc w:val="both"/>
        <w:rPr>
          <w:color w:val="000000"/>
          <w:sz w:val="27"/>
          <w:szCs w:val="27"/>
        </w:rPr>
      </w:pPr>
      <w:r>
        <w:rPr>
          <w:color w:val="000000"/>
          <w:sz w:val="27"/>
          <w:szCs w:val="27"/>
        </w:rPr>
        <w:t> </w:t>
      </w:r>
    </w:p>
    <w:p w14:paraId="6692546D" w14:textId="77777777" w:rsidR="006C1FB7" w:rsidRDefault="006C1FB7" w:rsidP="006C1FB7">
      <w:pPr>
        <w:pStyle w:val="NormalWeb"/>
        <w:spacing w:before="0" w:beforeAutospacing="0" w:after="150" w:afterAutospacing="0"/>
        <w:ind w:left="4110"/>
        <w:jc w:val="both"/>
        <w:rPr>
          <w:color w:val="000000"/>
          <w:sz w:val="27"/>
          <w:szCs w:val="27"/>
        </w:rPr>
      </w:pPr>
      <w:r>
        <w:rPr>
          <w:rFonts w:ascii="Calibri" w:hAnsi="Calibri" w:cs="Calibri"/>
          <w:b/>
          <w:bCs/>
          <w:color w:val="000000"/>
        </w:rPr>
        <w:t>TERMO DE FOMENTO Nº XXXX QUE ENTRE SI CELEBRAM A UNIÃO, por intermédio do </w:t>
      </w:r>
      <w:r>
        <w:rPr>
          <w:rFonts w:ascii="Calibri" w:hAnsi="Calibri" w:cs="Calibri"/>
          <w:b/>
          <w:bCs/>
          <w:caps/>
          <w:color w:val="000000"/>
        </w:rPr>
        <w:t>Ministério do Empreendedorismo, da Microempresa e da Empresa de Pequeno Porte</w:t>
      </w:r>
      <w:r>
        <w:rPr>
          <w:rFonts w:ascii="Calibri" w:hAnsi="Calibri" w:cs="Calibri"/>
          <w:b/>
          <w:bCs/>
          <w:color w:val="000000"/>
        </w:rPr>
        <w:t> E A [nome da OSC], PARA OS FINS QUE ESPECIFICA.</w:t>
      </w:r>
    </w:p>
    <w:p w14:paraId="16BDBB02" w14:textId="77777777" w:rsidR="006C1FB7" w:rsidRDefault="006C1FB7" w:rsidP="006C1FB7">
      <w:pPr>
        <w:pStyle w:val="NormalWeb"/>
        <w:spacing w:before="0" w:beforeAutospacing="0" w:after="150" w:afterAutospacing="0"/>
        <w:ind w:right="645" w:hanging="10"/>
        <w:jc w:val="both"/>
        <w:rPr>
          <w:color w:val="000000"/>
          <w:sz w:val="27"/>
          <w:szCs w:val="27"/>
        </w:rPr>
      </w:pPr>
      <w:r>
        <w:rPr>
          <w:color w:val="000000"/>
          <w:sz w:val="27"/>
          <w:szCs w:val="27"/>
        </w:rPr>
        <w:t> </w:t>
      </w:r>
    </w:p>
    <w:p w14:paraId="07BBF44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A UNIÃO, por intermédio do Ministério do Empreendedorismo, da Microempresa e da Empresa de Pequeno Porte</w:t>
      </w:r>
      <w:r>
        <w:rPr>
          <w:rFonts w:ascii="Calibri" w:hAnsi="Calibri" w:cs="Calibri"/>
          <w:color w:val="000000"/>
        </w:rPr>
        <w:t>, inscrito no CNPJ/MF sob o nº 52.224.046/0004-30, com sede na Esplanada dos Ministério, Bloco J, Brasília-DF, doravante denominado </w:t>
      </w:r>
      <w:r>
        <w:rPr>
          <w:rFonts w:ascii="Calibri" w:hAnsi="Calibri" w:cs="Calibri"/>
          <w:b/>
          <w:bCs/>
          <w:color w:val="000000"/>
        </w:rPr>
        <w:t>Administração Pública</w:t>
      </w:r>
      <w:r>
        <w:rPr>
          <w:rFonts w:ascii="Calibri" w:hAnsi="Calibri" w:cs="Calibri"/>
          <w:color w:val="000000"/>
        </w:rPr>
        <w:t>, neste ato representado pelo Ministro(a) de Estado do Empreendedorismo, da Microempresa e da Empresa de Pequeno Porte, o(a) Senhor(a) ................................, nomeado(a) pelo Decreto nº ............., de __/__/____, publicado no D.O.U. de __/__/____, portador(a) da matrícula funcional nº _____; e</w:t>
      </w:r>
    </w:p>
    <w:p w14:paraId="5097E6C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O(A) ................................ (Nome da OSC), organização da sociedade civil, inscrito(a) no CNPJ/MF sob o nº ........................., com sede ............................., doravante denominado(a) </w:t>
      </w:r>
      <w:r>
        <w:rPr>
          <w:rFonts w:ascii="Calibri" w:hAnsi="Calibri" w:cs="Calibri"/>
          <w:b/>
          <w:bCs/>
          <w:color w:val="000000"/>
        </w:rPr>
        <w:t>OSC</w:t>
      </w:r>
      <w:r>
        <w:rPr>
          <w:rFonts w:ascii="Calibri" w:hAnsi="Calibri" w:cs="Calibri"/>
          <w:color w:val="000000"/>
        </w:rPr>
        <w:t>, representada pelo(a) seu (sua) Presidente, o Sr. (a) ........................, conforme atos constitutivos da entidade OU procuração apresentada nos autos,</w:t>
      </w:r>
    </w:p>
    <w:p w14:paraId="6E7CE144"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47DAD567" w14:textId="77777777" w:rsidR="006C1FB7" w:rsidRDefault="006C1FB7" w:rsidP="006C1FB7">
      <w:pPr>
        <w:pStyle w:val="NormalWeb"/>
        <w:spacing w:before="0" w:beforeAutospacing="0" w:after="180" w:afterAutospacing="0"/>
        <w:jc w:val="both"/>
        <w:rPr>
          <w:color w:val="000000"/>
          <w:sz w:val="27"/>
          <w:szCs w:val="27"/>
        </w:rPr>
      </w:pPr>
      <w:r>
        <w:rPr>
          <w:rFonts w:ascii="Calibri" w:hAnsi="Calibri" w:cs="Calibri"/>
          <w:color w:val="000000"/>
        </w:rPr>
        <w:t>RESOLVEM celebrar o presente </w:t>
      </w:r>
      <w:r>
        <w:rPr>
          <w:rFonts w:ascii="Calibri" w:hAnsi="Calibri" w:cs="Calibri"/>
          <w:b/>
          <w:bCs/>
          <w:smallCaps/>
          <w:color w:val="000000"/>
        </w:rPr>
        <w:t>Termo de Fomento</w:t>
      </w:r>
      <w:r>
        <w:rPr>
          <w:rFonts w:ascii="Calibri" w:hAnsi="Calibri" w:cs="Calibri"/>
          <w:color w:val="000000"/>
        </w:rPr>
        <w:t>, decorrente do Edital de Chamamento Público nº ......, de ......, tendo em vista o que consta do Processo Administrativo nº 16100.000394/2026-55 e em observância às disposições da Lei nº 13.019, de 31 de julho de 2014, do Decreto nº 8.726, de 27 de abril de 2016, da Lei nº 14.802, de 10 de janeiro de 2024 (institui o Plano Plurianual da União para o período de 2024 a 2027) e sujeitando-se, no que couber, à Lei nº 15.321, de 31 de dezembro de 2025 (LDO/2026), mediante as cláusulas e condições a seguir enunciadas:</w:t>
      </w:r>
    </w:p>
    <w:p w14:paraId="3139B93E" w14:textId="77777777" w:rsidR="006C1FB7" w:rsidRDefault="006C1FB7" w:rsidP="006C1FB7">
      <w:pPr>
        <w:pStyle w:val="NormalWeb"/>
        <w:spacing w:before="0" w:beforeAutospacing="0" w:after="180" w:afterAutospacing="0"/>
        <w:jc w:val="both"/>
        <w:rPr>
          <w:color w:val="000000"/>
          <w:sz w:val="27"/>
          <w:szCs w:val="27"/>
        </w:rPr>
      </w:pPr>
      <w:r>
        <w:rPr>
          <w:color w:val="000000"/>
          <w:sz w:val="27"/>
          <w:szCs w:val="27"/>
        </w:rPr>
        <w:t> </w:t>
      </w:r>
    </w:p>
    <w:p w14:paraId="0E845DC9" w14:textId="77777777" w:rsidR="006C1FB7" w:rsidRDefault="006C1FB7" w:rsidP="006C1FB7">
      <w:pPr>
        <w:pStyle w:val="NormalWeb"/>
        <w:spacing w:before="0" w:beforeAutospacing="0" w:after="165" w:afterAutospacing="0"/>
        <w:jc w:val="both"/>
        <w:rPr>
          <w:color w:val="000000"/>
          <w:sz w:val="27"/>
          <w:szCs w:val="27"/>
        </w:rPr>
      </w:pPr>
      <w:bookmarkStart w:id="0" w:name="_Hlk141981150"/>
      <w:r>
        <w:rPr>
          <w:rFonts w:ascii="Calibri" w:hAnsi="Calibri" w:cs="Calibri"/>
          <w:b/>
          <w:bCs/>
          <w:color w:val="000000"/>
          <w:shd w:val="clear" w:color="auto" w:fill="DBDBDB"/>
        </w:rPr>
        <w:t>CLÁUSULA PRIMEIRA – DO OBJETO</w:t>
      </w:r>
      <w:bookmarkEnd w:id="0"/>
    </w:p>
    <w:p w14:paraId="070EAED5" w14:textId="77777777" w:rsidR="006C1FB7" w:rsidRDefault="006C1FB7" w:rsidP="006C1FB7">
      <w:pPr>
        <w:pStyle w:val="NormalWeb"/>
        <w:spacing w:before="0" w:beforeAutospacing="0" w:after="375" w:afterAutospacing="0"/>
        <w:ind w:left="15" w:hanging="10"/>
        <w:jc w:val="both"/>
        <w:rPr>
          <w:color w:val="000000"/>
          <w:sz w:val="27"/>
          <w:szCs w:val="27"/>
        </w:rPr>
      </w:pPr>
      <w:r>
        <w:rPr>
          <w:rFonts w:ascii="Calibri" w:hAnsi="Calibri" w:cs="Calibri"/>
          <w:color w:val="000000"/>
        </w:rPr>
        <w:t>O objeto do presente Termo de Fomento é a execução de projetos de modernização, desburocratização do ambiente de negócios, fomento à inovação empresarial, fortalecimento das Microempresas (MEs) e Empresas de Pequeno Porte (EPPs), fomento ao empreendedorismo inclusivo e ao empreendedorismo social, desenvolvidos por organizações da sociedade civil</w:t>
      </w:r>
      <w:r>
        <w:rPr>
          <w:color w:val="000000"/>
          <w:sz w:val="27"/>
          <w:szCs w:val="27"/>
        </w:rPr>
        <w:t>,</w:t>
      </w:r>
      <w:r>
        <w:rPr>
          <w:rFonts w:ascii="Calibri" w:hAnsi="Calibri" w:cs="Calibri"/>
          <w:color w:val="000000"/>
        </w:rPr>
        <w:t> visando à consecução de finalidade de interesse público e recíproco, conforme especificações estabelecidas no plano de trabalho.</w:t>
      </w:r>
    </w:p>
    <w:p w14:paraId="5955C771" w14:textId="77777777" w:rsidR="006C1FB7" w:rsidRDefault="006C1FB7" w:rsidP="006C1FB7">
      <w:pPr>
        <w:pStyle w:val="NormalWeb"/>
        <w:spacing w:before="0" w:beforeAutospacing="0" w:after="165" w:afterAutospacing="0"/>
        <w:rPr>
          <w:color w:val="000000"/>
          <w:sz w:val="27"/>
          <w:szCs w:val="27"/>
        </w:rPr>
      </w:pPr>
      <w:bookmarkStart w:id="1" w:name="_Hlk141981295"/>
      <w:r>
        <w:rPr>
          <w:rFonts w:ascii="Calibri" w:hAnsi="Calibri" w:cs="Calibri"/>
          <w:b/>
          <w:bCs/>
          <w:color w:val="000000"/>
          <w:shd w:val="clear" w:color="auto" w:fill="DBDBDB"/>
        </w:rPr>
        <w:lastRenderedPageBreak/>
        <w:t>CLÁUSULA SEGUNDA – DO PLANO DE TRABALHO</w:t>
      </w:r>
      <w:bookmarkEnd w:id="1"/>
    </w:p>
    <w:p w14:paraId="4AD11E6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Para o alcance do objeto pactuado, os partícipes obrigam-se a cumprir o plano de trabalho que, independentemente de transcrição, é parte integrante e indissociável do presente Termo de Fomento, bem como toda documentação técnica que dele resulte, cujos dados neles contidos acatam os partícipes.</w:t>
      </w:r>
    </w:p>
    <w:p w14:paraId="5387516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única</w:t>
      </w:r>
      <w:r>
        <w:rPr>
          <w:rFonts w:ascii="Calibri" w:hAnsi="Calibri" w:cs="Calibri"/>
          <w:color w:val="000000"/>
        </w:rPr>
        <w:t>. Os ajustes no plano de trabalho serão formalizados por certidão de apostilamento, exceto quando coincidirem com alguma hipótese de termo aditivo prevista no inciso I do caput, do art. 43, do Decreto nº 8.726, de 2016, caso em que deverão ser formalizados por aditamento ao termo de fomento, sendo vedada a alteração do objeto da parceria.</w:t>
      </w:r>
    </w:p>
    <w:p w14:paraId="094A6796" w14:textId="77777777" w:rsidR="006C1FB7" w:rsidRDefault="006C1FB7" w:rsidP="006C1FB7">
      <w:pPr>
        <w:pStyle w:val="NormalWeb"/>
        <w:spacing w:before="0" w:beforeAutospacing="0" w:after="165" w:afterAutospacing="0"/>
        <w:rPr>
          <w:color w:val="000000"/>
          <w:sz w:val="27"/>
          <w:szCs w:val="27"/>
        </w:rPr>
      </w:pPr>
      <w:r>
        <w:rPr>
          <w:color w:val="000000"/>
          <w:sz w:val="27"/>
          <w:szCs w:val="27"/>
        </w:rPr>
        <w:t> </w:t>
      </w:r>
    </w:p>
    <w:p w14:paraId="06749B7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TERCEIRA – DO PRAZO DE VIGÊNCIA</w:t>
      </w:r>
    </w:p>
    <w:p w14:paraId="427C0F7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O prazo de vigência deste Termo de Fomento será de ............. meses/anos a partir da data de sua assinatura, podendo ser prorrogado nos seguintes casos e condições:</w:t>
      </w:r>
    </w:p>
    <w:p w14:paraId="2C6B65F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mediante termo aditivo, por solicitação da OSC devidamente fundamentada, formulada, no mínimo, 30 (trinta) dias antes do seu término, desde que autorizada pela Administração Pública e</w:t>
      </w:r>
    </w:p>
    <w:p w14:paraId="2F344F2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de ofício, por iniciativa da Administração Pública, quando esta der causa a atraso na liberação de recursos financeiros, limitada ao exato período do atraso verificado.</w:t>
      </w:r>
    </w:p>
    <w:p w14:paraId="04CCBC59"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3D62528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QUARTA – DOS RECURSOS FINANCEIROS</w:t>
      </w:r>
    </w:p>
    <w:p w14:paraId="00043D9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Para a execução do(s) projeto(s) previsto(s) neste Termo de Fomento, serão disponibilizados recursos pelo Ministério do Empreendedorismo, da Microempresa e da Empresa de Pequeno Porte no valor total de R$ xxxxxxxx (xxxx reais), à conta da ação orçamentária xxxxxx, PTRES xxxxxx , Elemento de Despesa: xxxxxxxxx Unidade Gestora: xxxxxx - Nota de Empenho nº xxxxxxxxxxx , Fonte xxxx, conforme cronograma de desembolso constante do plano de trabalho.</w:t>
      </w:r>
    </w:p>
    <w:p w14:paraId="3DBA8C36"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38A1D7B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QUINTA – DA LIBERAÇÃO DOS RECURSOS FINANCEIROS</w:t>
      </w:r>
    </w:p>
    <w:p w14:paraId="33DDAF5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A liberação do recurso financeiro se dará em parcela única ou em x parcelas, em estrita conformidade com o Cronograma de Desembolso, o qual guardará consonância com as metas da parceria, ficando a liberação condicionada, ainda, ao cumprimento dos requisitos previstos no art. 48 da Lei nº 13.019, de 2014, e no art. 33 do Decreto nº 8.726, de 2016.</w:t>
      </w:r>
    </w:p>
    <w:p w14:paraId="5A9BB1D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As parcelas dos recursos ficarão retidas até o saneamento das impropriedades ou irregularidades detectadas nos seguintes casos:</w:t>
      </w:r>
    </w:p>
    <w:p w14:paraId="2202187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quando houver evidências de irregularidade na aplicação de parcela anteriormente recebida;</w:t>
      </w:r>
    </w:p>
    <w:p w14:paraId="45705548"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lastRenderedPageBreak/>
        <w:t>II - quando constatado desvio de finalidade na aplicação dos recursos ou o inadimplemento da OSC em relação a obrigações estabelecidas neste Termo de Fomento; ou</w:t>
      </w:r>
    </w:p>
    <w:p w14:paraId="018487C6"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III - quando a OSC deixar de adotar sem justificativa suficiente as medidas saneadoras apontadas pela administração pública ou pelos órgãos de controle interno ou externo.</w:t>
      </w:r>
    </w:p>
    <w:p w14:paraId="54595786"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A verificação das hipóteses de retenção previstas na Subcláusula primeira ocorrerá por meio de ações de monitoramento e avaliação, incluindo:</w:t>
      </w:r>
    </w:p>
    <w:p w14:paraId="027F8A0C"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a verificação da existência de denúncias aceitas;</w:t>
      </w:r>
    </w:p>
    <w:p w14:paraId="71DFAF8B"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a análise das prestações de contas anuais;</w:t>
      </w:r>
    </w:p>
    <w:p w14:paraId="2D5E68C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III - as medidas adotadas para atender a eventuais recomendações existentes dos órgãos de controle interno e externo; e</w:t>
      </w:r>
    </w:p>
    <w:p w14:paraId="19E564E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IV - a consulta aos cadastros e sistemas federais que permitam aferir a regularidade da parceria.</w:t>
      </w:r>
    </w:p>
    <w:p w14:paraId="105C623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O atraso na liberação das parcelas pactuadas no plano de trabalho configura inadimplemento de obrigação e se este perdurar:</w:t>
      </w:r>
    </w:p>
    <w:p w14:paraId="432F795E"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por mais de 30 (trinta) dias, a OSC poderá suspender as atividades até a regularização do desembolso; ou</w:t>
      </w:r>
    </w:p>
    <w:p w14:paraId="0F4FF241"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por mais de 60 (sessenta) dias, a OSC poderá rescindir a parceria firmada, garantindo-se acerto final com liberação de recursos proporcional a eventual alocação de recursos próprios da entidade.</w:t>
      </w:r>
    </w:p>
    <w:p w14:paraId="090D58B2" w14:textId="77777777" w:rsidR="006C1FB7" w:rsidRDefault="006C1FB7" w:rsidP="006C1FB7">
      <w:pPr>
        <w:pStyle w:val="NormalWeb"/>
        <w:spacing w:before="0" w:beforeAutospacing="0" w:after="120" w:afterAutospacing="0"/>
        <w:jc w:val="both"/>
        <w:rPr>
          <w:color w:val="000000"/>
          <w:sz w:val="27"/>
          <w:szCs w:val="27"/>
        </w:rPr>
      </w:pPr>
      <w:r>
        <w:rPr>
          <w:color w:val="000000"/>
          <w:sz w:val="27"/>
          <w:szCs w:val="27"/>
        </w:rPr>
        <w:t> </w:t>
      </w:r>
    </w:p>
    <w:p w14:paraId="6010572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SEXTA – DA MOVIMENTAÇÃO DOS RECURSOS FINANCEIROS</w:t>
      </w:r>
    </w:p>
    <w:p w14:paraId="6DECD06E"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Os recursos referentes ao presente Termo de Fomento, desembolsados pelo [órgão ou entidade pública federal], serão mantidos na conta corrente ..., Agência xxxxx, Banco xxxxx.</w:t>
      </w:r>
    </w:p>
    <w:p w14:paraId="3104F49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Os recursos depositados na conta bancária específica do Termo de Fomento serão aplicados em cadernetas de poupança, fundo de aplicação financeira de curto prazo ou operação de mercado aberto lastreada em títulos da dívida pública, mediante avaliação do investimento mais vantajoso, enquanto não empregados na sua finalidade.</w:t>
      </w:r>
    </w:p>
    <w:p w14:paraId="262701AB"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4177D04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A conta referida no caput desta Cláusula será em instituição financeira pública determinada pela Administração Pública e isenta da cobrança de tarifas bancárias.</w:t>
      </w:r>
    </w:p>
    <w:p w14:paraId="2C7E988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xml:space="preserve">. Os recursos da parceria geridos pela OSC estão vinculados ao Plano de Trabalho e não caracterizam receita própria e nem pagamento por prestação de </w:t>
      </w:r>
      <w:r>
        <w:rPr>
          <w:rFonts w:ascii="Calibri" w:hAnsi="Calibri" w:cs="Calibri"/>
          <w:color w:val="000000"/>
        </w:rPr>
        <w:lastRenderedPageBreak/>
        <w:t>serviços e devem ser alocados nos seus registros contábeis conforme as Normas Brasileiras de Contabilidade.</w:t>
      </w:r>
    </w:p>
    <w:p w14:paraId="0FAF21C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A movimentação dos recursos será realizada mediante transferência eletrônica sujeita à identificação do beneficiário final, na plataforma Transferegov.br, por meio da funcionalidade “Ordem de Pagamento de Parceria - OPP” ou por outros meios de pagamento disponibilizados na referida plataforma, podendo o crédito dos valores ser realizado em conta corrente de titularidade da própria OSC, na forma do art. 38, § 2º, do Decreto nº 8.726, de 2016.</w:t>
      </w:r>
    </w:p>
    <w:p w14:paraId="4CAEBC5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sexta</w:t>
      </w:r>
      <w:r>
        <w:rPr>
          <w:rFonts w:ascii="Calibri" w:hAnsi="Calibri" w:cs="Calibri"/>
          <w:color w:val="000000"/>
        </w:rPr>
        <w:t>. Caso os recursos depositados em conta corrente específica não sejam utilizados no prazo de 365 (trezentos e sessenta e cinco) dias, contado a partir da efetivação do depósito, o Termo será rescindido unilateralmente pela Administração Pública, salvo quando houver execução parcial do objeto, desde que previamente justificado pelo gestor da parceria e autorizado pelo Ministro de Estado.</w:t>
      </w:r>
    </w:p>
    <w:p w14:paraId="667CE7B1"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60D15C1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SÉTIMA – DAS OBRIGAÇÕES DA ADMINISTRAÇÃO PÚBLICA E DA OSC</w:t>
      </w:r>
    </w:p>
    <w:p w14:paraId="5AC6188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O presente Termo de Fomento deverá ser executado fielmente pelos partícipes, de acordo com as cláusulas pactuadas e as normas aplicáveis, respondendo cada uma pelas consequências de sua inexecução ou execução parcial, sendo vedado à OSC utilizar recursos para finalidade alheia ao objeto da parceria.</w:t>
      </w:r>
    </w:p>
    <w:p w14:paraId="7CA79B6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Além das obrigações constantes na legislação e dos demais compromissos assumidos neste instrumento, cabe à Administração Pública cumprir as seguintes atribuições, responsabilidades e obrigações:</w:t>
      </w:r>
    </w:p>
    <w:p w14:paraId="4502A12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promover o repasse dos recursos financeiros obedecendo ao Cronograma de Desembolso constante do plano de trabalho;</w:t>
      </w:r>
    </w:p>
    <w:p w14:paraId="10EC44A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prestar o apoio necessário e indispensável à OSC para que seja alcançado o objeto do Termo de Fomento em toda a sua extensão e no tempo devido;</w:t>
      </w:r>
    </w:p>
    <w:p w14:paraId="5311C5E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monitorar e avaliar a execução do objeto deste Termo de Fomento, por meio de análise das informações acerca do processamento da parceria constantes do Transferegov.br, diligências e visitas </w:t>
      </w:r>
      <w:r>
        <w:rPr>
          <w:rFonts w:ascii="Calibri" w:hAnsi="Calibri" w:cs="Calibri"/>
          <w:b/>
          <w:bCs/>
          <w:color w:val="000000"/>
        </w:rPr>
        <w:t>in loco</w:t>
      </w:r>
      <w:r>
        <w:rPr>
          <w:rFonts w:ascii="Calibri" w:hAnsi="Calibri" w:cs="Calibri"/>
          <w:color w:val="000000"/>
        </w:rPr>
        <w:t>, quando necessário, zelando pelo alcance dos resultados pactuados e pela correta aplicação dos recursos repassados, observando o prescrito na Cláusula Décima;</w:t>
      </w:r>
    </w:p>
    <w:p w14:paraId="6BE3157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comunicar à OSC quaisquer irregularidades decorrentes do uso dos recursos públicos ou outras impropriedades de ordem técnica ou legal, fixando o prazo previsto na legislação para saneamento ou apresentação de esclarecimentos e informações;</w:t>
      </w:r>
    </w:p>
    <w:p w14:paraId="01BABC64"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 - analisar os relatórios de execução do objeto;</w:t>
      </w:r>
    </w:p>
    <w:p w14:paraId="73D9F31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 - analisar os relatórios de execução financeira, nas hipóteses previstas no art. 56, caput, do Decreto nº 8.726, de 2016;</w:t>
      </w:r>
    </w:p>
    <w:p w14:paraId="0B506E84"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VII - receber, propor, analisar e, se for o caso, aprovar as propostas de alteração do Termo de Fomento, nos termos do art. 43 do Decreto nº 8.726, de 2016;</w:t>
      </w:r>
    </w:p>
    <w:p w14:paraId="27AC736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lastRenderedPageBreak/>
        <w:t>VIII - instituir Comissão de Monitoramento e Avaliação - CMA, nos termos dos arts. 49 e 50 do Decreto nº 8.726, de 2016;</w:t>
      </w:r>
    </w:p>
    <w:p w14:paraId="1DD3174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IX - designar o gestor da parceria, que ficará responsável pelas obrigações previstas no art. 61 da Lei nº 13.019, de 2014, e no art. 51-A, §§ 1º a 5º do Decreto nº 8.726, de 2016;</w:t>
      </w:r>
    </w:p>
    <w:p w14:paraId="4630936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 - 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5093880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XI - 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46D60B1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XII - 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w:t>
      </w:r>
    </w:p>
    <w:p w14:paraId="1C748B69"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XIII - prorrogar de “ofício” a vigência do Termo de Fomento, antes do seu término, quando der causa a atraso na liberação dos recursos, limitada a prorrogação ao exato período do atraso verificado, nos termos do art. 55, parágrafo único, da Lei nº 13.019, de 2014, e § 1º, inciso I, do art. 43 do Decreto nº 8.726, de 2016;</w:t>
      </w:r>
    </w:p>
    <w:p w14:paraId="3E150001"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XIV - publicar, no Diário Oficial da União, extrato do Termo de Fomento;</w:t>
      </w:r>
    </w:p>
    <w:p w14:paraId="46ADFD6E"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 - divulgar informações referentes à parceria celebrada em dados abertos e acessíveis e manter, no seu sítio eletrônico oficial e no Transferegov.br, o instrumento da parceria celebrada e seu respectivo plano de trabalho, nos termos do art. 10 da Lei nº 13.019, de 2014;</w:t>
      </w:r>
    </w:p>
    <w:p w14:paraId="1BE0415A"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XVI - exercer atividade normativa, de controle e fiscalização sobre a execução da parceria, inclusive, se for o caso, reorientando as ações, de modo a evitar a descontinuidade das ações pactuadas;</w:t>
      </w:r>
    </w:p>
    <w:p w14:paraId="0537CBC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XVII - informar à OSC os atos normativos e orientações da Administração Pública que interessem à execução do presente Termo de Fomento;</w:t>
      </w:r>
    </w:p>
    <w:p w14:paraId="4890451D"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XVIII - analisar e decidir sobre a prestação de contas dos recursos aplicados na consecução do objeto do presente Termo de Fomento; e</w:t>
      </w:r>
    </w:p>
    <w:p w14:paraId="61B8447F"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XIX - aplicar as sanções previstas na legislação, proceder às ações administrativas necessárias à exigência da restituição dos recursos transferidos e instaurar Tomada de Contas Especial, quando for o caso.</w:t>
      </w:r>
    </w:p>
    <w:p w14:paraId="7528A99B"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lastRenderedPageBreak/>
        <w:t>Subcláusula segunda.</w:t>
      </w:r>
      <w:r>
        <w:rPr>
          <w:rFonts w:ascii="Calibri" w:hAnsi="Calibri" w:cs="Calibri"/>
          <w:color w:val="000000"/>
        </w:rPr>
        <w:t> Além das obrigações constantes na legislação que rege o presente Termo e dos demais compromissos assumidos neste instrumento, cabe à OSC cumprir as seguintes atribuições, responsabilidades e obrigações:</w:t>
      </w:r>
    </w:p>
    <w:p w14:paraId="33FF879C"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executar fielmente o objeto pactuado, de acordo com as cláusulas deste Termo, a legislação pertinente e o plano de trabalho aprovado pela Administração Pública, adotando todas as medidas necessárias à correta execução deste Termo de Fomento, observado o disposto na Lei nº 13.019, de 2014, e no Decreto nº 8.726, de 2016;</w:t>
      </w:r>
    </w:p>
    <w:p w14:paraId="6D023F8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zelar pela boa qualidade das ações e serviços prestados, buscando alcançar eficiência, eficácia, efetividade social e qualidade em suas atividades;</w:t>
      </w:r>
    </w:p>
    <w:p w14:paraId="0A4B8E9D"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III - garantir o cumprimento da contrapartida em bens e serviços conforme estabelecida no plano de trabalho, se for o caso;</w:t>
      </w:r>
    </w:p>
    <w:p w14:paraId="0FAAC0A1"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IV - manter e movimentar os recursos financeiros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24AC9EA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 - não utilizar os recursos recebidos nas despesas vedadas pelo art. 45 da Lei nº 13.019, de 2014;</w:t>
      </w:r>
    </w:p>
    <w:p w14:paraId="0D5049E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 - apresentar Relatório de Execução do Objeto na plataforma Transferegov.br, de acordo com o estabelecido nos art. 63 a 72 da Lei nº 13.019, de 2014, e art. 55 do Decreto nº 8.726, de 2016;</w:t>
      </w:r>
    </w:p>
    <w:p w14:paraId="5C303B2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VII - executar o plano de trabalho aprovado, bem como aplicar os recursos públicos e gerir os bens públicos com observância aos princípios da legalidade, da legitimidade, da impessoalidade, da moralidade, da publicidade, da economicidade, da eficiência e da eficácia;</w:t>
      </w:r>
    </w:p>
    <w:p w14:paraId="415AE46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VIII - prestar contas à Administração Pública, ao término de cada exercício e no encerramento da vigência do Termo de Fomento, nos termos do capítulo IV da Lei nº 13.019, de 2014, e do capítulo VII, do Decreto nº 8.726, de 2016;</w:t>
      </w:r>
    </w:p>
    <w:p w14:paraId="56F9CA1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IX - 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p>
    <w:p w14:paraId="47CBB44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 - permitir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Fomento, bem como aos locais de execução do projeto, permitindo o acompanhamento </w:t>
      </w:r>
      <w:r>
        <w:rPr>
          <w:rFonts w:ascii="Calibri" w:hAnsi="Calibri" w:cs="Calibri"/>
          <w:b/>
          <w:bCs/>
          <w:color w:val="000000"/>
        </w:rPr>
        <w:t>in loco</w:t>
      </w:r>
      <w:r>
        <w:rPr>
          <w:rFonts w:ascii="Calibri" w:hAnsi="Calibri" w:cs="Calibri"/>
          <w:color w:val="000000"/>
        </w:rPr>
        <w:t> e prestando todas e quaisquer informações solicitadas;</w:t>
      </w:r>
    </w:p>
    <w:p w14:paraId="6CD08174"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XI - quanto aos bens materiais e/ou equipamentos adquiridos com os recursos deste Termo de Fomento:</w:t>
      </w:r>
    </w:p>
    <w:p w14:paraId="160321AD" w14:textId="77777777" w:rsidR="006C1FB7" w:rsidRDefault="006C1FB7" w:rsidP="006C1FB7">
      <w:pPr>
        <w:pStyle w:val="NormalWeb"/>
        <w:spacing w:before="0" w:beforeAutospacing="0" w:after="120" w:afterAutospacing="0"/>
        <w:ind w:left="720" w:hanging="357"/>
        <w:jc w:val="both"/>
        <w:rPr>
          <w:color w:val="000000"/>
          <w:sz w:val="27"/>
          <w:szCs w:val="27"/>
        </w:rPr>
      </w:pPr>
      <w:r>
        <w:rPr>
          <w:rFonts w:ascii="Calibri" w:hAnsi="Calibri" w:cs="Calibri"/>
          <w:color w:val="000000"/>
        </w:rPr>
        <w:lastRenderedPageBreak/>
        <w:t>a) utilizar os bens materiais e/ou equipamentos em conformidade com o objeto pactuado;</w:t>
      </w:r>
    </w:p>
    <w:p w14:paraId="112F97EF" w14:textId="77777777" w:rsidR="006C1FB7" w:rsidRDefault="006C1FB7" w:rsidP="006C1FB7">
      <w:pPr>
        <w:pStyle w:val="NormalWeb"/>
        <w:spacing w:before="0" w:beforeAutospacing="0" w:after="120" w:afterAutospacing="0"/>
        <w:ind w:left="720" w:hanging="357"/>
        <w:jc w:val="both"/>
        <w:rPr>
          <w:color w:val="000000"/>
          <w:sz w:val="27"/>
          <w:szCs w:val="27"/>
        </w:rPr>
      </w:pPr>
      <w:r>
        <w:rPr>
          <w:rFonts w:ascii="Calibri" w:hAnsi="Calibri" w:cs="Calibri"/>
          <w:color w:val="000000"/>
        </w:rPr>
        <w:t>b) garantir sua guarda e manutenção;</w:t>
      </w:r>
    </w:p>
    <w:p w14:paraId="69E45422" w14:textId="77777777" w:rsidR="006C1FB7" w:rsidRDefault="006C1FB7" w:rsidP="006C1FB7">
      <w:pPr>
        <w:pStyle w:val="NormalWeb"/>
        <w:spacing w:before="0" w:beforeAutospacing="0" w:after="120" w:afterAutospacing="0"/>
        <w:ind w:left="720" w:hanging="357"/>
        <w:jc w:val="both"/>
        <w:rPr>
          <w:color w:val="000000"/>
          <w:sz w:val="27"/>
          <w:szCs w:val="27"/>
        </w:rPr>
      </w:pPr>
      <w:r>
        <w:rPr>
          <w:rFonts w:ascii="Calibri" w:hAnsi="Calibri" w:cs="Calibri"/>
          <w:color w:val="000000"/>
        </w:rPr>
        <w:t>c) comunicar imediatamente à Administração Pública qualquer dano que os bens vierem a sofrer;</w:t>
      </w:r>
    </w:p>
    <w:p w14:paraId="777C91E9" w14:textId="77777777" w:rsidR="006C1FB7" w:rsidRDefault="006C1FB7" w:rsidP="006C1FB7">
      <w:pPr>
        <w:pStyle w:val="NormalWeb"/>
        <w:spacing w:before="0" w:beforeAutospacing="0" w:after="120" w:afterAutospacing="0"/>
        <w:ind w:left="720" w:hanging="357"/>
        <w:jc w:val="both"/>
        <w:rPr>
          <w:color w:val="000000"/>
          <w:sz w:val="27"/>
          <w:szCs w:val="27"/>
        </w:rPr>
      </w:pPr>
      <w:r>
        <w:rPr>
          <w:rFonts w:ascii="Calibri" w:hAnsi="Calibri" w:cs="Calibri"/>
          <w:color w:val="000000"/>
        </w:rPr>
        <w:t>d) arcar com todas as despesas referentes a transportes, guarda, conservação, manutenção e recuperação dos bens;</w:t>
      </w:r>
    </w:p>
    <w:p w14:paraId="00F697A0" w14:textId="77777777" w:rsidR="006C1FB7" w:rsidRDefault="006C1FB7" w:rsidP="006C1FB7">
      <w:pPr>
        <w:pStyle w:val="NormalWeb"/>
        <w:spacing w:before="0" w:beforeAutospacing="0" w:after="120" w:afterAutospacing="0"/>
        <w:ind w:left="720" w:hanging="357"/>
        <w:jc w:val="both"/>
        <w:rPr>
          <w:color w:val="000000"/>
          <w:sz w:val="27"/>
          <w:szCs w:val="27"/>
        </w:rPr>
      </w:pPr>
      <w:r>
        <w:rPr>
          <w:rFonts w:ascii="Calibri" w:hAnsi="Calibri" w:cs="Calibri"/>
          <w:color w:val="000000"/>
        </w:rPr>
        <w:t>e) em caso de furto ou de roubo, levar o fato, por escrito, mediante protocolo, ao conhecimento da autoridade policial competente, enviando cópia da ocorrência à Administração Pública, além da proposta para reposição do bem, de competência da OSC; e</w:t>
      </w:r>
    </w:p>
    <w:p w14:paraId="0F2391E5" w14:textId="77777777" w:rsidR="006C1FB7" w:rsidRDefault="006C1FB7" w:rsidP="006C1FB7">
      <w:pPr>
        <w:pStyle w:val="NormalWeb"/>
        <w:spacing w:before="0" w:beforeAutospacing="0" w:after="120" w:afterAutospacing="0"/>
        <w:ind w:left="720" w:hanging="357"/>
        <w:jc w:val="both"/>
        <w:rPr>
          <w:color w:val="000000"/>
          <w:sz w:val="27"/>
          <w:szCs w:val="27"/>
        </w:rPr>
      </w:pPr>
      <w:r>
        <w:rPr>
          <w:rFonts w:ascii="Calibri" w:hAnsi="Calibri" w:cs="Calibri"/>
          <w:color w:val="000000"/>
        </w:rPr>
        <w:t>f) durante a vigência do Termo de Fomento, somente movimentar os bens para fora da área inicialmente destinada à sua instalação ou utilização mediante expressa autorização da Administração Pública e prévio procedimento de controle patrimonial.</w:t>
      </w:r>
    </w:p>
    <w:p w14:paraId="62A0BD9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XII - por ocasião da conclusão, denúncia, rescisão ou extinção deste Termo de Fomento, restituir à Administração Pública os saldos financeiros remanescentes, inclusive os provenientes das receitas obtidas das aplicações financeiras realizadas, no prazo improrrogável de 30 (trinta) dias, conforme art. 52 da Lei nº 13.019, de 2014;</w:t>
      </w:r>
    </w:p>
    <w:p w14:paraId="4B95D5BB"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XIII - manter, durante a execução da parceria, as mesmas condições exigidas nos art. 33 e 34 da Lei nº 13.019, de 2014;</w:t>
      </w:r>
    </w:p>
    <w:p w14:paraId="4E354BF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XIV - manter registros, arquivos e controles contábeis específicos para os dispêndios relativos a este Termo de Fomento, pelo prazo de 10 (dez) anos após a prestação de contas, conforme previsto no parágrafo único do art. 68 da Lei nº 13.019, de 2014;</w:t>
      </w:r>
    </w:p>
    <w:p w14:paraId="6DAF0A5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 - garantir a manutenção da equipe técnica em quantidade e qualidade adequadas ao bom desempenho das atividades;</w:t>
      </w:r>
    </w:p>
    <w:p w14:paraId="6F2C380B"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XVI - observar, nas compras e contratações de bens e serviços e na realização de despesas e pagamentos com recursos transferidos pela Administração Pública, os procedimentos estabelecidos nos arts. 36 a 42 do Decreto nº 8.726, de 2016;</w:t>
      </w:r>
    </w:p>
    <w:p w14:paraId="0E6EDDD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XVII - incluir regularmente no Transferegov.br as informações e os documentos exigidos pela Lei nº 13.019, de 2014, mantendo-o atualizado, e prestar contas dos recursos recebidos no mesmo sistema;</w:t>
      </w:r>
    </w:p>
    <w:p w14:paraId="4E40F42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XVIII - observar o disposto no art. 48 da Lei nº 13.019, de 2014, para o recebimento de cada parcela dos recursos financeiros;</w:t>
      </w:r>
    </w:p>
    <w:p w14:paraId="2CE2F906"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XIX - manter seus dados cadastrais atualizados no Transferegov.br, nos termos do art. 26, §5º, do Decreto nº 8.726, de 2016;</w:t>
      </w:r>
    </w:p>
    <w:p w14:paraId="1A781CE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XX - divulgar na internet e em locais visíveis da sede social da OSC e dos estabelecimentos em que exerça suas ações todas as informações detalhadas no art. 11, incisos I a VI, da Lei nº 13.019, de 2014;</w:t>
      </w:r>
    </w:p>
    <w:p w14:paraId="0CF93C22"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lastRenderedPageBreak/>
        <w:t>XXI - submeter previamente à Administração Pública qualquer proposta de alteração do plano de trabalho, na forma definida neste instrumento, observadas as vedações relativas à execução das despesas;</w:t>
      </w:r>
    </w:p>
    <w:p w14:paraId="5084AE01"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XXII - responsabilizar-se exclusivamente pelo gerenciamento administrativo e financeiro dos recursos recebidos, inclusive no que disser respeito às despesas de custeio, de investimento e de pessoal, nos termos do art. 42, inciso XIX, da Lei nº 13.019, de 2014;</w:t>
      </w:r>
    </w:p>
    <w:p w14:paraId="0D144B69"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XXIII - responsabilizar-se exclusivamente pelo pagamento dos encargos trabalhistas, previdenciários, fiscais e comerciais e das taxas de importação, de câmbio, aduaneiras e similares, relacionados à execução do objeto previsto neste Termo de Fomento,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nº 13.019, de 2014; e</w:t>
      </w:r>
    </w:p>
    <w:p w14:paraId="5E9DB5F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XXIV - quando for o caso, providenciar licenças e aprovações de projetos emitidos pelo órgão ambiental competente, da esfera municipal, estadual, do Distrito Federal ou federal e concessionárias de serviços públicos, conforme o caso, e nos termos da legislação aplicável.;</w:t>
      </w:r>
    </w:p>
    <w:p w14:paraId="635A8EC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XXV – na atuação em rede, por duas ou mais organizações da OSC, será mantida a integral responsabilidade da OSC celebrante do presente Termo de Fomento;</w:t>
      </w:r>
    </w:p>
    <w:p w14:paraId="2423940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XXVI - competirá a OSC a celebração de termo de atuação em rede para repasse de recursos à(s) não celebrante(s), ficando obrigada, no ato de celebração a:</w:t>
      </w:r>
    </w:p>
    <w:p w14:paraId="03F19095" w14:textId="77777777" w:rsidR="006C1FB7" w:rsidRDefault="006C1FB7" w:rsidP="006C1FB7">
      <w:pPr>
        <w:pStyle w:val="NormalWeb"/>
        <w:spacing w:before="0" w:beforeAutospacing="0" w:after="0" w:afterAutospacing="0"/>
        <w:ind w:left="720" w:hanging="360"/>
        <w:jc w:val="both"/>
        <w:rPr>
          <w:color w:val="000000"/>
          <w:sz w:val="27"/>
          <w:szCs w:val="27"/>
        </w:rPr>
      </w:pPr>
      <w:r>
        <w:rPr>
          <w:rFonts w:ascii="Calibri" w:hAnsi="Calibri" w:cs="Calibri"/>
          <w:color w:val="000000"/>
        </w:rPr>
        <w:t>a) verificar a regularidade jurídica e fiscal da organização executante e não celebrante do Termo de Fomento; e</w:t>
      </w:r>
    </w:p>
    <w:p w14:paraId="654449AB" w14:textId="77777777" w:rsidR="006C1FB7" w:rsidRDefault="006C1FB7" w:rsidP="006C1FB7">
      <w:pPr>
        <w:pStyle w:val="NormalWeb"/>
        <w:spacing w:before="0" w:beforeAutospacing="0" w:after="165" w:afterAutospacing="0"/>
        <w:ind w:left="720" w:hanging="360"/>
        <w:jc w:val="both"/>
        <w:rPr>
          <w:color w:val="000000"/>
          <w:sz w:val="27"/>
          <w:szCs w:val="27"/>
        </w:rPr>
      </w:pPr>
      <w:r>
        <w:rPr>
          <w:rFonts w:ascii="Calibri" w:hAnsi="Calibri" w:cs="Calibri"/>
          <w:color w:val="000000"/>
        </w:rPr>
        <w:t>b) comunicar à Administração Pública a assinatura do termo de atuação em rede, no prazo de até 60 (sessenta) dias contado da data de sua assinatura.</w:t>
      </w:r>
    </w:p>
    <w:p w14:paraId="07CAFF0A"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11A6D4EA" w14:textId="77777777" w:rsidR="006C1FB7" w:rsidRDefault="006C1FB7" w:rsidP="006C1FB7">
      <w:pPr>
        <w:pStyle w:val="NormalWeb"/>
        <w:spacing w:before="0" w:beforeAutospacing="0" w:after="165" w:afterAutospacing="0"/>
        <w:rPr>
          <w:color w:val="000000"/>
          <w:sz w:val="27"/>
          <w:szCs w:val="27"/>
        </w:rPr>
      </w:pPr>
      <w:r>
        <w:rPr>
          <w:rFonts w:ascii="Calibri" w:hAnsi="Calibri" w:cs="Calibri"/>
          <w:b/>
          <w:bCs/>
          <w:color w:val="000000"/>
          <w:shd w:val="clear" w:color="auto" w:fill="D5DCE4"/>
        </w:rPr>
        <w:t>CLÁUSULA OITAVA – DA PROTEÇÃO DE DADOS PESSOAIS</w:t>
      </w:r>
    </w:p>
    <w:p w14:paraId="4842C3E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Para fins de execução deste Termo de Fomento, Administração Pública e OSC obrigam-se a cumprir e manterem-se de acordo com as disposições e os princípios da Lei Geral de Proteção de Dados - Lei nº 13.709, de 2018 (LGPD), especialmente no que se refere à legalidade no tratamento dos dados pessoais a que tiverem acesso em razão deste instrumento.</w:t>
      </w:r>
    </w:p>
    <w:p w14:paraId="4462B69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Em relação à LGPD, cada Partícipe será responsável isoladamente pelos atos a que derem causa, respondendo, inclusive, pelos atos praticados por seus prepostos e/ou empregados que estiverem em desconformidade com os preceitos normativos aplicáveis.</w:t>
      </w:r>
    </w:p>
    <w:p w14:paraId="1A0446E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xml:space="preserve"> Na ocorrência de qualquer incidente (perda, destruição e/ou exposição indesejada e/ou não autorizada) que envolva os dados pessoais tratados em razão do presente instrumento, deverá o Partícipe responsável pelo incidente comunicar imediatamente ao outro Partícipe, apresentando, no mínimo, as seguintes informações: (i) a descrição dos dados pessoais envolvidos; (ii) a quantidade de dados </w:t>
      </w:r>
      <w:r>
        <w:rPr>
          <w:rFonts w:ascii="Calibri" w:hAnsi="Calibri" w:cs="Calibri"/>
          <w:color w:val="000000"/>
        </w:rPr>
        <w:lastRenderedPageBreak/>
        <w:t>pessoais envolvidos (volumetria do evento); e (iii) quem são os titulares dos dados pessoais afetados pelo evento.</w:t>
      </w:r>
    </w:p>
    <w:p w14:paraId="3120E9A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Caso um dos Partícipes seja destinatário de ordem judicial ou notificação/requisição de qualquer órgão, agência, autoridade ou outra entidade oficial, relativa ao tratamento de dados pessoais que tenham sido compartilhados em decorrência do presente instrumento, o Partícipe notificado deverá, imediatamente, comunicar ao outro Partícipe.</w:t>
      </w:r>
    </w:p>
    <w:p w14:paraId="56B08E6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Administração Pública e OSC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dados pessoais necessários para o cumprimento de obrigação legal ou regulatória e/ou para o uso exclusivo do Partícipe, mediante a anonimização dos dados.</w:t>
      </w:r>
    </w:p>
    <w:p w14:paraId="4E54AE82"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21B792E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NONA – DA ATUAÇÃO EM REDE</w:t>
      </w:r>
    </w:p>
    <w:p w14:paraId="1A8CAF4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A execução do presente Termo de Fomento pode se dar por atuação em rede de duas ou mais organizações da sociedade civil, a ser formalizada mediante assinatura de termo de atuação em rede.</w:t>
      </w:r>
    </w:p>
    <w:p w14:paraId="222CB8BE"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A rede deve ser composta por:</w:t>
      </w:r>
    </w:p>
    <w:p w14:paraId="28B82039"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a OSC celebrante da parceria com a Administração Pública, que ficará responsável pela rede e atuará como sua supervisora, mobilizadora e orientadora, podendo participar diretamente ou não da execução do objeto; e</w:t>
      </w:r>
    </w:p>
    <w:p w14:paraId="3AB90452"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uma ou mais organizações da sociedade civil executantes e não celebrantes da parceria com a Administração Pública, que deverão executar ações relacionadas ao objeto da parceria definidas em comum acordo com a OSC celebrante.</w:t>
      </w:r>
    </w:p>
    <w:p w14:paraId="66E7A0EB"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A atuação em rede não caracteriza subcontratação de serviços e nem descaracteriza a capacidade técnica e operacional da OSC celebrante.</w:t>
      </w:r>
    </w:p>
    <w:p w14:paraId="5F153D1F"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A atuação em rede será formalizada entre a OSC celebrante e cada uma das organizações da sociedade civil executantes e não celebrantes por meio de termo de atuação em rede.</w:t>
      </w:r>
    </w:p>
    <w:p w14:paraId="4CD6C1BA"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o termo de atuação em rede especificará direitos e obrigações recíprocas, e estabelecerá, no mínimo, as ações, as metas e os prazos que serão desenvolvidos pela organização da sociedade civil executante e não celebrante e, quando for o caso, o valor a ser repassado pela OSC celebrante;</w:t>
      </w:r>
    </w:p>
    <w:p w14:paraId="65D2D2E3"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a OSC celebrante deverá comunicar à Administração Pública a assinatura do termo de atuação em rede no prazo de até 60 (sessenta) dias, contado da data de sua assinatura;</w:t>
      </w:r>
    </w:p>
    <w:p w14:paraId="63F131E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lastRenderedPageBreak/>
        <w:t>III - na hipótese de o termo de atuação em rede ser rescindido, a OSC celebrante deverá comunicar o fato à Administração Pública no prazo de 15 (quinze) dias, contado da data da rescisão.</w:t>
      </w:r>
    </w:p>
    <w:p w14:paraId="3713F97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quarta. </w:t>
      </w:r>
      <w:r>
        <w:rPr>
          <w:rFonts w:ascii="Calibri" w:hAnsi="Calibri" w:cs="Calibri"/>
          <w:color w:val="000000"/>
        </w:rPr>
        <w:t>A OSC celebrante deverá assegurar, no momento da assinatura do termo de atuação em rede, a regularidade jurídica e fiscal da(s) organização(ões) da sociedade civil executante(s) e não celebrante(s), que será verificada por meio da apresentação dos seguintes documentos:</w:t>
      </w:r>
    </w:p>
    <w:p w14:paraId="1455BA2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comprovante de inscrição no CNPJ, emitido no sítio eletrônico oficial da Secretaria da Receita Federal do Brasil;</w:t>
      </w:r>
    </w:p>
    <w:p w14:paraId="37D20F14"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cópia do estatuto e eventuais alterações registradas;</w:t>
      </w:r>
    </w:p>
    <w:p w14:paraId="1099479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certidão de Débitos Relativos a Créditos Tributários Federais e à Dívida Ativa da União, Certificado de Regularidade do Fundo de Garantia do Tempo de Serviço - CRF/FGTS e Certidão Negativa de Débitos Trabalhistas - CNDT; e</w:t>
      </w:r>
    </w:p>
    <w:p w14:paraId="635D013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declaração do representante legal da organização da sociedade civil executante e não celebrante de que não possui impedimento no CEPIM, no CEIS, no CAUC e, nos termos do art. 6º, inciso III, da Lei nº 10.522, de 2002, no CADIN.</w:t>
      </w:r>
    </w:p>
    <w:p w14:paraId="02056BA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 </w:t>
      </w:r>
      <w:r>
        <w:rPr>
          <w:rFonts w:ascii="Calibri" w:hAnsi="Calibri" w:cs="Calibri"/>
          <w:color w:val="000000"/>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24FF03F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sexta. </w:t>
      </w:r>
      <w:r>
        <w:rPr>
          <w:rFonts w:ascii="Calibri" w:hAnsi="Calibri" w:cs="Calibri"/>
          <w:color w:val="000000"/>
        </w:rPr>
        <w:t>A OSC celebrante deverá comprovar à administração pública federal o cumprimento dos requisitos previstos no art. 35-A da Lei nº 13.019, de 2014, a serem verificados por meio da apresentação dos seguintes documentos:</w:t>
      </w:r>
    </w:p>
    <w:p w14:paraId="6647D39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comprovante de inscrição no CNPJ, emitido no sítio eletrônico oficial da Secretaria da Receita Federal do Brasil, para demonstrar que a OSC celebrante existe há, no mínimo, cinco anos com cadastro ativo; e</w:t>
      </w:r>
    </w:p>
    <w:p w14:paraId="6C8DA69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comprovantes de capacidade técnica e operacional para supervisionar e orientar a rede, sendo admitidos:</w:t>
      </w:r>
    </w:p>
    <w:p w14:paraId="113DD5EA" w14:textId="77777777" w:rsidR="006C1FB7" w:rsidRDefault="006C1FB7" w:rsidP="006C1FB7">
      <w:pPr>
        <w:pStyle w:val="NormalWeb"/>
        <w:spacing w:before="0" w:beforeAutospacing="0" w:after="165" w:afterAutospacing="0"/>
        <w:ind w:left="285"/>
        <w:jc w:val="both"/>
        <w:rPr>
          <w:color w:val="000000"/>
          <w:sz w:val="27"/>
          <w:szCs w:val="27"/>
        </w:rPr>
      </w:pPr>
      <w:r>
        <w:rPr>
          <w:rFonts w:ascii="Calibri" w:hAnsi="Calibri" w:cs="Calibri"/>
          <w:color w:val="000000"/>
        </w:rPr>
        <w:t>a) declarações de organizações da sociedade civil que componham a rede de que a celebrante participe ou tenha participado;</w:t>
      </w:r>
    </w:p>
    <w:p w14:paraId="0C4435AC" w14:textId="77777777" w:rsidR="006C1FB7" w:rsidRDefault="006C1FB7" w:rsidP="006C1FB7">
      <w:pPr>
        <w:pStyle w:val="NormalWeb"/>
        <w:spacing w:before="0" w:beforeAutospacing="0" w:after="165" w:afterAutospacing="0"/>
        <w:ind w:left="285"/>
        <w:jc w:val="both"/>
        <w:rPr>
          <w:color w:val="000000"/>
          <w:sz w:val="27"/>
          <w:szCs w:val="27"/>
        </w:rPr>
      </w:pPr>
      <w:r>
        <w:rPr>
          <w:rFonts w:ascii="Calibri" w:hAnsi="Calibri" w:cs="Calibri"/>
          <w:color w:val="000000"/>
        </w:rPr>
        <w:t>b) cartas de princípios, registros de reuniões ou eventos e outros documentos públicos de redes de que a celebrante participe ou tenha participado; ou</w:t>
      </w:r>
    </w:p>
    <w:p w14:paraId="2FCBBBC9" w14:textId="77777777" w:rsidR="006C1FB7" w:rsidRDefault="006C1FB7" w:rsidP="006C1FB7">
      <w:pPr>
        <w:pStyle w:val="NormalWeb"/>
        <w:spacing w:before="0" w:beforeAutospacing="0" w:after="165" w:afterAutospacing="0"/>
        <w:ind w:left="285"/>
        <w:jc w:val="both"/>
        <w:rPr>
          <w:color w:val="000000"/>
          <w:sz w:val="27"/>
          <w:szCs w:val="27"/>
        </w:rPr>
      </w:pPr>
      <w:r>
        <w:rPr>
          <w:rFonts w:ascii="Calibri" w:hAnsi="Calibri" w:cs="Calibri"/>
          <w:color w:val="000000"/>
        </w:rPr>
        <w:t>c) relatórios de atividades com comprovação das ações desenvolvidas em rede de que a celebrante participe ou tenha participado.</w:t>
      </w:r>
    </w:p>
    <w:p w14:paraId="35EFDF9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sétima. </w:t>
      </w:r>
      <w:r>
        <w:rPr>
          <w:rFonts w:ascii="Calibri" w:hAnsi="Calibri" w:cs="Calibri"/>
          <w:color w:val="000000"/>
        </w:rPr>
        <w:t>A Administração Pública verificará se a OSC celebrante cumpre os requisitos previstos na Subcláusula sexta no momento da celebração da parceria.</w:t>
      </w:r>
    </w:p>
    <w:p w14:paraId="4E6282D2" w14:textId="77777777" w:rsidR="006C1FB7" w:rsidRDefault="006C1FB7" w:rsidP="006C1FB7">
      <w:pPr>
        <w:pStyle w:val="NormalWeb"/>
        <w:spacing w:before="0" w:beforeAutospacing="0" w:after="195" w:afterAutospacing="0"/>
        <w:jc w:val="both"/>
        <w:rPr>
          <w:color w:val="000000"/>
          <w:sz w:val="27"/>
          <w:szCs w:val="27"/>
        </w:rPr>
      </w:pPr>
      <w:r>
        <w:rPr>
          <w:rFonts w:ascii="Calibri" w:hAnsi="Calibri" w:cs="Calibri"/>
          <w:b/>
          <w:bCs/>
          <w:color w:val="000000"/>
        </w:rPr>
        <w:t>Subcláusula oitava. </w:t>
      </w:r>
      <w:r>
        <w:rPr>
          <w:rFonts w:ascii="Calibri" w:hAnsi="Calibri" w:cs="Calibri"/>
          <w:color w:val="000000"/>
        </w:rPr>
        <w:t>A OSC celebrante da parceria é responsável pelos atos realizados pela rede.</w:t>
      </w:r>
    </w:p>
    <w:p w14:paraId="344184A3" w14:textId="77777777" w:rsidR="006C1FB7" w:rsidRDefault="006C1FB7" w:rsidP="006C1FB7">
      <w:pPr>
        <w:pStyle w:val="NormalWeb"/>
        <w:spacing w:before="0" w:beforeAutospacing="0" w:after="240" w:afterAutospacing="0"/>
        <w:jc w:val="both"/>
        <w:rPr>
          <w:color w:val="000000"/>
          <w:sz w:val="27"/>
          <w:szCs w:val="27"/>
        </w:rPr>
      </w:pPr>
      <w:r>
        <w:rPr>
          <w:rFonts w:ascii="Calibri" w:hAnsi="Calibri" w:cs="Calibri"/>
          <w:b/>
          <w:bCs/>
          <w:color w:val="000000"/>
        </w:rPr>
        <w:lastRenderedPageBreak/>
        <w:t>Subcláusula nona. </w:t>
      </w:r>
      <w:r>
        <w:rPr>
          <w:rFonts w:ascii="Calibri" w:hAnsi="Calibri" w:cs="Calibri"/>
          <w:color w:val="000000"/>
        </w:rPr>
        <w:t>Para fins do disposto nesta Cláusula Nona, os direitos e as obrigações da OSC celebrante perante a Administração Pública não poderão ser sub-rogados à organização da sociedade civil executante e não celebrante.</w:t>
      </w:r>
    </w:p>
    <w:p w14:paraId="508A2C98" w14:textId="77777777" w:rsidR="006C1FB7" w:rsidRDefault="006C1FB7" w:rsidP="006C1FB7">
      <w:pPr>
        <w:pStyle w:val="NormalWeb"/>
        <w:spacing w:before="0" w:beforeAutospacing="0" w:after="240" w:afterAutospacing="0"/>
        <w:jc w:val="both"/>
        <w:rPr>
          <w:color w:val="000000"/>
          <w:sz w:val="27"/>
          <w:szCs w:val="27"/>
        </w:rPr>
      </w:pPr>
      <w:r>
        <w:rPr>
          <w:rFonts w:ascii="Calibri" w:hAnsi="Calibri" w:cs="Calibri"/>
          <w:b/>
          <w:bCs/>
          <w:color w:val="000000"/>
        </w:rPr>
        <w:t>Subcláusula décima. </w:t>
      </w:r>
      <w:r>
        <w:rPr>
          <w:rFonts w:ascii="Calibri" w:hAnsi="Calibri" w:cs="Calibri"/>
          <w:color w:val="000000"/>
        </w:rPr>
        <w:t>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14:paraId="5FDD92B7" w14:textId="77777777" w:rsidR="006C1FB7" w:rsidRDefault="006C1FB7" w:rsidP="006C1FB7">
      <w:pPr>
        <w:pStyle w:val="NormalWeb"/>
        <w:spacing w:before="0" w:beforeAutospacing="0" w:after="240" w:afterAutospacing="0"/>
        <w:jc w:val="both"/>
        <w:rPr>
          <w:color w:val="000000"/>
          <w:sz w:val="27"/>
          <w:szCs w:val="27"/>
        </w:rPr>
      </w:pPr>
      <w:r>
        <w:rPr>
          <w:rFonts w:ascii="Calibri" w:hAnsi="Calibri" w:cs="Calibri"/>
          <w:b/>
          <w:bCs/>
          <w:color w:val="000000"/>
        </w:rPr>
        <w:t>Subcláusula décima primeira. </w:t>
      </w:r>
      <w:r>
        <w:rPr>
          <w:rFonts w:ascii="Calibri" w:hAnsi="Calibri" w:cs="Calibri"/>
          <w:color w:val="000000"/>
        </w:rPr>
        <w:t>A Administração Pública avaliará e monitorará a OSC celebrante, que prestará informações sobre prazos, metas e ações executadas pelas organizações da sociedade civil executantes e não celebrantes.</w:t>
      </w:r>
    </w:p>
    <w:p w14:paraId="52526BF8" w14:textId="77777777" w:rsidR="006C1FB7" w:rsidRDefault="006C1FB7" w:rsidP="006C1FB7">
      <w:pPr>
        <w:pStyle w:val="NormalWeb"/>
        <w:spacing w:before="0" w:beforeAutospacing="0" w:after="240" w:afterAutospacing="0"/>
        <w:jc w:val="both"/>
        <w:rPr>
          <w:color w:val="000000"/>
          <w:sz w:val="27"/>
          <w:szCs w:val="27"/>
        </w:rPr>
      </w:pPr>
      <w:r>
        <w:rPr>
          <w:rFonts w:ascii="Calibri" w:hAnsi="Calibri" w:cs="Calibri"/>
          <w:b/>
          <w:bCs/>
          <w:color w:val="000000"/>
        </w:rPr>
        <w:t>Subcláusula décima segunda. </w:t>
      </w:r>
      <w:r>
        <w:rPr>
          <w:rFonts w:ascii="Calibri" w:hAnsi="Calibri" w:cs="Calibri"/>
          <w:color w:val="000000"/>
        </w:rPr>
        <w:t>As organizações da sociedade civil executantes e não celebrantes deverão apresentar informações sobre a execução das ações, dos prazos e das metas e documentos e comprovantes de despesas, inclusive com o pessoal contratado, necessários à prestação de contas pela OSC celebrante da parceria, conforme descrito no termo de atuação em rede e no inciso I do parágrafo único do art. 35-A da Lei nº 13.019, de 2014.</w:t>
      </w:r>
    </w:p>
    <w:p w14:paraId="3F04DBBD" w14:textId="77777777" w:rsidR="006C1FB7" w:rsidRDefault="006C1FB7" w:rsidP="006C1FB7">
      <w:pPr>
        <w:pStyle w:val="NormalWeb"/>
        <w:spacing w:before="0" w:beforeAutospacing="0" w:after="240" w:afterAutospacing="0"/>
        <w:jc w:val="both"/>
        <w:rPr>
          <w:color w:val="000000"/>
          <w:sz w:val="27"/>
          <w:szCs w:val="27"/>
        </w:rPr>
      </w:pPr>
      <w:r>
        <w:rPr>
          <w:rFonts w:ascii="Calibri" w:hAnsi="Calibri" w:cs="Calibri"/>
          <w:b/>
          <w:bCs/>
          <w:color w:val="000000"/>
        </w:rPr>
        <w:t>Subcláusula décima terceira. </w:t>
      </w:r>
      <w:r>
        <w:rPr>
          <w:rFonts w:ascii="Calibri" w:hAnsi="Calibri" w:cs="Calibri"/>
          <w:color w:val="000000"/>
        </w:rPr>
        <w:t>O ressarcimento ao erário realizado pela OSC celebrante não afasta o seu direito de regresso contra as organizações da sociedade civil executantes e não celebrantes.</w:t>
      </w:r>
    </w:p>
    <w:p w14:paraId="386EC8EA" w14:textId="77777777" w:rsidR="006C1FB7" w:rsidRDefault="006C1FB7" w:rsidP="006C1FB7">
      <w:pPr>
        <w:pStyle w:val="NormalWeb"/>
        <w:spacing w:before="0" w:beforeAutospacing="0" w:after="165" w:afterAutospacing="0"/>
        <w:rPr>
          <w:color w:val="000000"/>
          <w:sz w:val="27"/>
          <w:szCs w:val="27"/>
        </w:rPr>
      </w:pPr>
      <w:r>
        <w:rPr>
          <w:color w:val="000000"/>
          <w:sz w:val="27"/>
          <w:szCs w:val="27"/>
        </w:rPr>
        <w:t> </w:t>
      </w:r>
    </w:p>
    <w:p w14:paraId="0D1E780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 DA ALTERAÇÃO</w:t>
      </w:r>
    </w:p>
    <w:p w14:paraId="64EF4EC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Este Termo de Fomento, bem como o plano de trabalho, poderão ser modificados, em suas cláusulas e condições, exceto quanto ao seu objeto, com as devidas justificativas, mediante termo aditivo ou por certidão de apostilamento, da seguinte forma:</w:t>
      </w:r>
    </w:p>
    <w:p w14:paraId="4BAEF96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por termo aditivo à parceria para:</w:t>
      </w:r>
    </w:p>
    <w:p w14:paraId="12A27940" w14:textId="77777777" w:rsidR="006C1FB7" w:rsidRDefault="006C1FB7" w:rsidP="006C1FB7">
      <w:pPr>
        <w:pStyle w:val="NormalWeb"/>
        <w:spacing w:before="0" w:beforeAutospacing="0" w:after="0" w:afterAutospacing="0"/>
        <w:ind w:left="720" w:hanging="360"/>
        <w:jc w:val="both"/>
        <w:rPr>
          <w:color w:val="000000"/>
          <w:sz w:val="27"/>
          <w:szCs w:val="27"/>
        </w:rPr>
      </w:pPr>
      <w:r>
        <w:rPr>
          <w:rFonts w:ascii="Calibri" w:hAnsi="Calibri" w:cs="Calibri"/>
          <w:color w:val="000000"/>
        </w:rPr>
        <w:t>a) ampliação de até 50% (cinquenta por cento) do valor global;</w:t>
      </w:r>
    </w:p>
    <w:p w14:paraId="7E1252C1" w14:textId="77777777" w:rsidR="006C1FB7" w:rsidRDefault="006C1FB7" w:rsidP="006C1FB7">
      <w:pPr>
        <w:pStyle w:val="NormalWeb"/>
        <w:spacing w:before="0" w:beforeAutospacing="0" w:after="0" w:afterAutospacing="0"/>
        <w:ind w:left="720" w:hanging="360"/>
        <w:jc w:val="both"/>
        <w:rPr>
          <w:color w:val="000000"/>
          <w:sz w:val="27"/>
          <w:szCs w:val="27"/>
        </w:rPr>
      </w:pPr>
      <w:r>
        <w:rPr>
          <w:rFonts w:ascii="Calibri" w:hAnsi="Calibri" w:cs="Calibri"/>
          <w:color w:val="000000"/>
        </w:rPr>
        <w:t>b) redução do valor global, sem limitação de montante;</w:t>
      </w:r>
    </w:p>
    <w:p w14:paraId="1FFDB365" w14:textId="77777777" w:rsidR="006C1FB7" w:rsidRDefault="006C1FB7" w:rsidP="006C1FB7">
      <w:pPr>
        <w:pStyle w:val="NormalWeb"/>
        <w:spacing w:before="0" w:beforeAutospacing="0" w:after="0" w:afterAutospacing="0"/>
        <w:ind w:left="720" w:hanging="360"/>
        <w:jc w:val="both"/>
        <w:rPr>
          <w:color w:val="000000"/>
          <w:sz w:val="27"/>
          <w:szCs w:val="27"/>
        </w:rPr>
      </w:pPr>
      <w:r>
        <w:rPr>
          <w:rFonts w:ascii="Calibri" w:hAnsi="Calibri" w:cs="Calibri"/>
          <w:color w:val="000000"/>
        </w:rPr>
        <w:t>c) prorrogação da vigência, observados os limites do art. 21 do Decreto nº 8.726, de 2016; ou</w:t>
      </w:r>
    </w:p>
    <w:p w14:paraId="62D7F824" w14:textId="77777777" w:rsidR="006C1FB7" w:rsidRDefault="006C1FB7" w:rsidP="006C1FB7">
      <w:pPr>
        <w:pStyle w:val="NormalWeb"/>
        <w:spacing w:before="0" w:beforeAutospacing="0" w:after="0" w:afterAutospacing="0"/>
        <w:ind w:left="720" w:hanging="360"/>
        <w:jc w:val="both"/>
        <w:rPr>
          <w:color w:val="000000"/>
          <w:sz w:val="27"/>
          <w:szCs w:val="27"/>
        </w:rPr>
      </w:pPr>
      <w:r>
        <w:rPr>
          <w:rFonts w:ascii="Calibri" w:hAnsi="Calibri" w:cs="Calibri"/>
          <w:color w:val="000000"/>
        </w:rPr>
        <w:t>d) alteração da destinação dos bens remanescentes.</w:t>
      </w:r>
    </w:p>
    <w:p w14:paraId="12575DBD" w14:textId="77777777" w:rsidR="006C1FB7" w:rsidRDefault="006C1FB7" w:rsidP="006C1FB7">
      <w:pPr>
        <w:pStyle w:val="NormalWeb"/>
        <w:spacing w:before="0" w:beforeAutospacing="0" w:after="0" w:afterAutospacing="0"/>
        <w:ind w:left="720" w:hanging="360"/>
        <w:jc w:val="both"/>
        <w:rPr>
          <w:color w:val="000000"/>
          <w:sz w:val="27"/>
          <w:szCs w:val="27"/>
        </w:rPr>
      </w:pPr>
      <w:r>
        <w:rPr>
          <w:color w:val="000000"/>
          <w:sz w:val="27"/>
          <w:szCs w:val="27"/>
        </w:rPr>
        <w:t> </w:t>
      </w:r>
    </w:p>
    <w:p w14:paraId="3CB3DB4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por certidão de apostilamento, nas demais hipóteses de alteração, tais como:</w:t>
      </w:r>
    </w:p>
    <w:p w14:paraId="5AEFEE6F" w14:textId="77777777" w:rsidR="006C1FB7" w:rsidRDefault="006C1FB7" w:rsidP="006C1FB7">
      <w:pPr>
        <w:pStyle w:val="NormalWeb"/>
        <w:spacing w:before="0" w:beforeAutospacing="0" w:after="0" w:afterAutospacing="0"/>
        <w:ind w:left="720" w:hanging="360"/>
        <w:jc w:val="both"/>
        <w:rPr>
          <w:color w:val="000000"/>
          <w:sz w:val="27"/>
          <w:szCs w:val="27"/>
        </w:rPr>
      </w:pPr>
      <w:r>
        <w:rPr>
          <w:rFonts w:ascii="Calibri" w:hAnsi="Calibri" w:cs="Calibri"/>
          <w:color w:val="000000"/>
        </w:rPr>
        <w:t>a) utilização de rendimentos de aplicações financeiras ou de saldos porventura existentes antes do término da execução da parceria;</w:t>
      </w:r>
    </w:p>
    <w:p w14:paraId="419B08A4" w14:textId="77777777" w:rsidR="006C1FB7" w:rsidRDefault="006C1FB7" w:rsidP="006C1FB7">
      <w:pPr>
        <w:pStyle w:val="NormalWeb"/>
        <w:spacing w:before="0" w:beforeAutospacing="0" w:after="0" w:afterAutospacing="0"/>
        <w:ind w:left="720" w:hanging="360"/>
        <w:jc w:val="both"/>
        <w:rPr>
          <w:color w:val="000000"/>
          <w:sz w:val="27"/>
          <w:szCs w:val="27"/>
        </w:rPr>
      </w:pPr>
      <w:r>
        <w:rPr>
          <w:rFonts w:ascii="Calibri" w:hAnsi="Calibri" w:cs="Calibri"/>
          <w:color w:val="000000"/>
        </w:rPr>
        <w:t>b) ajustes da execução do objeto da parceria no plano de trabalho; ou</w:t>
      </w:r>
    </w:p>
    <w:p w14:paraId="73A76021" w14:textId="77777777" w:rsidR="006C1FB7" w:rsidRDefault="006C1FB7" w:rsidP="006C1FB7">
      <w:pPr>
        <w:pStyle w:val="NormalWeb"/>
        <w:spacing w:before="0" w:beforeAutospacing="0" w:after="165" w:afterAutospacing="0"/>
        <w:ind w:left="720" w:hanging="360"/>
        <w:jc w:val="both"/>
        <w:rPr>
          <w:color w:val="000000"/>
          <w:sz w:val="27"/>
          <w:szCs w:val="27"/>
        </w:rPr>
      </w:pPr>
      <w:r>
        <w:rPr>
          <w:rFonts w:ascii="Calibri" w:hAnsi="Calibri" w:cs="Calibri"/>
          <w:color w:val="000000"/>
        </w:rPr>
        <w:t>c) remanejamento de recursos sem a alteração do valor global.</w:t>
      </w:r>
    </w:p>
    <w:p w14:paraId="771FC90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A parceria deverá ser alterada por certidão de apostilamento, independentemente de anuência da OSC, para:</w:t>
      </w:r>
    </w:p>
    <w:p w14:paraId="1970C354"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lastRenderedPageBreak/>
        <w:t>I - prorrogação da vigência, antes de seu término, quando a Administração Pública tiver dado causa ao atraso na liberação de recursos financeiros, ficando a prorrogação limitada ao exato período do atraso verificado; ou</w:t>
      </w:r>
    </w:p>
    <w:p w14:paraId="16022BA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indicação dos créditos orçamentários de exercícios futuros.</w:t>
      </w:r>
    </w:p>
    <w:p w14:paraId="6C50AF9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A Administração Pública possui o prazo de 30 (trinta) dias, contado da data de sua apresentação, para se manifestar sobre a solicitação de alteração, ficando este prazo suspenso quando forem solicitados esclarecimentos à OSC.</w:t>
      </w:r>
    </w:p>
    <w:p w14:paraId="6E6CB6C6"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No caso de término da execução da parceria antes da manifestação sobre a solicitação de alteração da destinação dos bens remanescentes, a custódia dos bens permanecerá sob a responsabilidade da OSC até a decisão do pedido.</w:t>
      </w:r>
    </w:p>
    <w:p w14:paraId="5BACCD6D"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É dispensada a autorização prévia nas hipóteses de alteração do plano de trabalho para o remanejamento de recursos de que trata a alínea “c” do inciso II da Cláusula Oitava, em percentual de até 10% (dez por cento) do valor global da parceria.</w:t>
      </w:r>
    </w:p>
    <w:p w14:paraId="0F51C669" w14:textId="77777777" w:rsidR="006C1FB7" w:rsidRDefault="006C1FB7" w:rsidP="006C1FB7">
      <w:pPr>
        <w:pStyle w:val="NormalWeb"/>
        <w:spacing w:before="0" w:beforeAutospacing="0" w:after="240"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Para fins do disposto na Subcláusula quarta, caberá à OSC encaminhar comunicação posterior à Administração Pública para a realização de apostilamento.</w:t>
      </w:r>
    </w:p>
    <w:p w14:paraId="4F356EA1"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4FE1F11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PRIMEIRA – DAS COMPRAS E CONTRATAÇÕES</w:t>
      </w:r>
    </w:p>
    <w:p w14:paraId="29EA56E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A OSC adotará métodos usualmente utilizados pelo setor privado para a realização de compras e contratações de bens e serviços com recursos transferidos pela Administração Pública.</w:t>
      </w:r>
    </w:p>
    <w:p w14:paraId="1E1465B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observado o disposto no § 4º do art. 43 do mesmo Decreto.</w:t>
      </w:r>
    </w:p>
    <w:p w14:paraId="0F8FAF4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10 (dez) anos, contado do dia útil subsequente ao da apresentação da prestação de contas ou do decurso do prazo para a apresentação da prestação de contas.</w:t>
      </w:r>
    </w:p>
    <w:p w14:paraId="1643B8F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xml:space="preserve">. A OSC deverá efetuar os pagamentos das despesas na plataforma Transferegov.br, sendo dispensada a inserção de notas, comprovantes fiscais ou recibos referentes às despesas, mas deverá manter a guarda dos documentos originais relativos à execução das parcerias pelo prazo de 10 (dez) anos, contado do dia útil subsequente </w:t>
      </w:r>
      <w:r>
        <w:rPr>
          <w:rFonts w:ascii="Calibri" w:hAnsi="Calibri" w:cs="Calibri"/>
          <w:color w:val="000000"/>
        </w:rPr>
        <w:lastRenderedPageBreak/>
        <w:t>ao da apresentação da prestação de contas ou do decurso do prazo para a apresentação da prestação de contas.</w:t>
      </w:r>
    </w:p>
    <w:p w14:paraId="3F1BBFD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O crédito de valores poderá ser realizado em conta corrente de titularidade da própria OSC, mediante justificativa, nas hipóteses dos incisos I ao III do § 2º do art. 38 do Decreto 8.726, de 2016.</w:t>
      </w:r>
    </w:p>
    <w:p w14:paraId="269B41F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Na gestão financeira, a OSC poderá:</w:t>
      </w:r>
    </w:p>
    <w:p w14:paraId="2D3F918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pagar despesa em data posterior ao término da execução do termo de fomento, mas somente quando o fato gerador da despesa tiver ocorrido durante sua vigência;</w:t>
      </w:r>
    </w:p>
    <w:p w14:paraId="7ABEC33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incluir, dentre a Equipe de Trabalho contratada, pessoas pertencentes ao quadro da OSC, inclusive os dirigentes, desde que exerçam ação prevista no plano de trabalho aprovado, nos termos da legislação cível e trabalhista; ou</w:t>
      </w:r>
    </w:p>
    <w:p w14:paraId="03548A7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realizar quaisquer despesas necessárias à execução do objeto previstas no plano de trabalho, inclusas aquelas dos incisos I ao V do caput do art. 39 do Decreto nº 8.726, de 2016.</w:t>
      </w:r>
    </w:p>
    <w:p w14:paraId="5D50135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sexta</w:t>
      </w:r>
      <w:r>
        <w:rPr>
          <w:rFonts w:ascii="Calibri" w:hAnsi="Calibri" w:cs="Calibri"/>
          <w:color w:val="000000"/>
        </w:rPr>
        <w:t>. É vedado à OSC:  </w:t>
      </w:r>
    </w:p>
    <w:p w14:paraId="640338A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pagar, a qualquer título, servidor ou empregado público com recursos vinculados à parceria, salvo nas hipóteses previstas em lei específica e na Lei de Diretrizes Orçamentárias;</w:t>
      </w:r>
    </w:p>
    <w:p w14:paraId="6AA1C1D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contratar, para prestação de serviços, servidor ou empregado público, inclusive aquele que exerça cargo em comissão ou função de confiança, do Ministério do Empreendedorismo, da Microempresa e da Empresa de Pequeno Porte, ou seu cônjuge, companheiro ou parente em linha reta, colateral ou por afinidade, até o segundo grau, ressalvadas as hipóteses previstas em lei específica e na lei de diretrizes orçamentárias;</w:t>
      </w:r>
    </w:p>
    <w:p w14:paraId="5A9697D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pagar despesa cujo fato gerador tenha ocorrido em data anterior à entrada em vigor deste instrumento, exceto na hipótese prevista no inciso V do caput do art. 39 do Decreto nº 8.276, de 2016; e</w:t>
      </w:r>
    </w:p>
    <w:p w14:paraId="5E4C168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deixar de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 do Decreto nº 8.276, de 2016.</w:t>
      </w:r>
    </w:p>
    <w:p w14:paraId="280929D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sétima</w:t>
      </w:r>
      <w:r>
        <w:rPr>
          <w:rFonts w:ascii="Calibri" w:hAnsi="Calibri" w:cs="Calibri"/>
          <w:color w:val="000000"/>
        </w:rPr>
        <w:t>. É vedado à Administração Pública praticar atos de ingerência na seleção e na contratação de pessoal pela OSC ou que direcionem o recrutamento de pessoas para trabalhar ou prestar serviços na referida organização.</w:t>
      </w:r>
    </w:p>
    <w:p w14:paraId="0295D234"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48ADCCD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SEGUNDA – DO MONITORAMENTO E DA AVALIAÇÃO</w:t>
      </w:r>
    </w:p>
    <w:p w14:paraId="4E99081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A execução do objeto da parceria será acompanhada pela Administração Pública por meio de ações de monitoramento e avaliação, que terão caráter preventivo e saneador, objetivando a gestão adequada e regular da parceria, e deverão ser registradas no Transferegov.br.</w:t>
      </w:r>
    </w:p>
    <w:p w14:paraId="5FD72D1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lastRenderedPageBreak/>
        <w:t>Subcláusula primeira</w:t>
      </w:r>
      <w:r>
        <w:rPr>
          <w:rFonts w:ascii="Calibri" w:hAnsi="Calibri" w:cs="Calibri"/>
          <w:color w:val="000000"/>
        </w:rPr>
        <w:t>. As ações de monitoramento e avaliação contemplarão a análise das informações acerca do processamento da parceria constantes do Transferegov.br, incluída a possibilidade de consulta às movimentações da conta bancária específica da parceria, além da verificação, análise e manifestação sobre eventuais denúncias existentes relacionadas à parceria.</w:t>
      </w:r>
    </w:p>
    <w:p w14:paraId="5CEAD9E6"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No exercício das ações de monitoramento e avaliação do cumprimento do objeto da parceria, a Administração Pública:</w:t>
      </w:r>
    </w:p>
    <w:p w14:paraId="38B62C0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designará o gestor da parceria, agente público responsável pela gestão da parceria, por ato publicado em meio oficial de comunicação, com poderes de controle e fiscalização;</w:t>
      </w:r>
    </w:p>
    <w:p w14:paraId="3FC358AA"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designará a comissão de monitoramento e avaliação, órgão colegiado destinado a monitorar e avaliar a parceria, constituído por ato específico publicado em meio oficial de comunicação;</w:t>
      </w:r>
    </w:p>
    <w:p w14:paraId="442D48F9"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III - 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w:t>
      </w:r>
    </w:p>
    <w:p w14:paraId="185562C8"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IV - realizará visita técnica </w:t>
      </w:r>
      <w:r>
        <w:rPr>
          <w:rFonts w:ascii="Calibri" w:hAnsi="Calibri" w:cs="Calibri"/>
          <w:b/>
          <w:bCs/>
          <w:color w:val="000000"/>
        </w:rPr>
        <w:t>in loco</w:t>
      </w:r>
      <w:r>
        <w:rPr>
          <w:rFonts w:ascii="Calibri" w:hAnsi="Calibri" w:cs="Calibri"/>
          <w:color w:val="000000"/>
        </w:rPr>
        <w:t> para subsidiar o monitoramento da parceria, nas hipóteses em que esta for essencial para verificação do cumprimento do objeto da parceria e do alcance das metas;</w:t>
      </w:r>
    </w:p>
    <w:p w14:paraId="1EBB62D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V - 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w:t>
      </w:r>
    </w:p>
    <w:p w14:paraId="15CB467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 - examinará o(s) relatório(s) de execução do objeto e, quando for o caso, o(s) relatório(s) de execução financeira apresentado(s) pela OSC, na forma e prazos previstos na legislação regente e neste instrumento;</w:t>
      </w:r>
    </w:p>
    <w:p w14:paraId="325C23B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VII - poderá valer-se do apoio técnico de terceiros;</w:t>
      </w:r>
    </w:p>
    <w:p w14:paraId="13D227E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VIII - poderá delegar competência ou firmar parcerias com órgãos ou entidades que se situem próximos ao local de aplicação dos recursos; e</w:t>
      </w:r>
    </w:p>
    <w:p w14:paraId="005274C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IX - poderá utilizar ferramentas tecnológicas de verificação do alcance de resultados, incluídas as redes sociais na internet, aplicativos e outros mecanismos de tecnologia da informação.</w:t>
      </w:r>
    </w:p>
    <w:p w14:paraId="7656F3A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 </w:t>
      </w:r>
      <w:r>
        <w:rPr>
          <w:rFonts w:ascii="Calibri" w:hAnsi="Calibri" w:cs="Calibri"/>
          <w:color w:val="000000"/>
        </w:rPr>
        <w:t>O relatório técnico de monitoramento e avaliação, de que trata o inciso III da Subcláusula segunda desta Cláusula, deverá conter os elementos dispostos no §1º do art. 59 da Lei nº 13.019, de 2014, e será submetido à comissão de monitoramento e avaliação, que detém a competência para avaliá-lo e homologá-lo.</w:t>
      </w:r>
    </w:p>
    <w:p w14:paraId="00CDFCB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 </w:t>
      </w:r>
      <w:r>
        <w:rPr>
          <w:rFonts w:ascii="Calibri" w:hAnsi="Calibri" w:cs="Calibri"/>
          <w:color w:val="000000"/>
        </w:rPr>
        <w:t>A visita técnica </w:t>
      </w:r>
      <w:r>
        <w:rPr>
          <w:rFonts w:ascii="Calibri" w:hAnsi="Calibri" w:cs="Calibri"/>
          <w:b/>
          <w:bCs/>
          <w:color w:val="000000"/>
        </w:rPr>
        <w:t>in loco</w:t>
      </w:r>
      <w:r>
        <w:rPr>
          <w:rFonts w:ascii="Calibri" w:hAnsi="Calibri" w:cs="Calibri"/>
          <w:color w:val="000000"/>
        </w:rPr>
        <w:t xml:space="preserve">, de que trata o inciso IV da Subcláusula segunda desta Cláusula, não se confunde com as ações de fiscalização e auditoria realizadas pela administração pública federal, pelos órgãos de controle interno e pelo </w:t>
      </w:r>
      <w:r>
        <w:rPr>
          <w:rFonts w:ascii="Calibri" w:hAnsi="Calibri" w:cs="Calibri"/>
          <w:color w:val="000000"/>
        </w:rPr>
        <w:lastRenderedPageBreak/>
        <w:t>Tribunal de Contas da União. A OSC deverá ser notificada previamente no prazo mínimo de 3 (três) dias úteis anteriores à realização da visita técnica</w:t>
      </w:r>
      <w:r>
        <w:rPr>
          <w:rFonts w:ascii="Calibri" w:hAnsi="Calibri" w:cs="Calibri"/>
          <w:b/>
          <w:bCs/>
          <w:color w:val="000000"/>
        </w:rPr>
        <w:t> in loco</w:t>
      </w:r>
      <w:r>
        <w:rPr>
          <w:rFonts w:ascii="Calibri" w:hAnsi="Calibri" w:cs="Calibri"/>
          <w:color w:val="000000"/>
        </w:rPr>
        <w:t>.</w:t>
      </w:r>
    </w:p>
    <w:p w14:paraId="7965302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 </w:t>
      </w:r>
      <w:r>
        <w:rPr>
          <w:rFonts w:ascii="Calibri" w:hAnsi="Calibri" w:cs="Calibri"/>
          <w:color w:val="000000"/>
        </w:rPr>
        <w:t>Sempre que houver a visita, o resultado será circunstanciado em relatório de visita técnica </w:t>
      </w:r>
      <w:r>
        <w:rPr>
          <w:rFonts w:ascii="Calibri" w:hAnsi="Calibri" w:cs="Calibri"/>
          <w:b/>
          <w:bCs/>
          <w:color w:val="000000"/>
        </w:rPr>
        <w:t>in loco</w:t>
      </w:r>
      <w:r>
        <w:rPr>
          <w:rFonts w:ascii="Calibri" w:hAnsi="Calibri" w:cs="Calibri"/>
          <w:color w:val="000000"/>
        </w:rPr>
        <w:t>, que será registrado no Transferegov.br e enviado à OSC para conhecimento, esclarecimentos e providências e poderá ensejar a revisão do relatório, a critério da administração pública federal. O relatório de visita técnica </w:t>
      </w:r>
      <w:r>
        <w:rPr>
          <w:rFonts w:ascii="Calibri" w:hAnsi="Calibri" w:cs="Calibri"/>
          <w:b/>
          <w:bCs/>
          <w:color w:val="000000"/>
        </w:rPr>
        <w:t>in loco</w:t>
      </w:r>
      <w:r>
        <w:rPr>
          <w:rFonts w:ascii="Calibri" w:hAnsi="Calibri" w:cs="Calibri"/>
          <w:color w:val="000000"/>
        </w:rPr>
        <w:t> deverá ser considerado na análise da prestação de contas.</w:t>
      </w:r>
    </w:p>
    <w:p w14:paraId="39F4438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sexta. </w:t>
      </w:r>
      <w:r>
        <w:rPr>
          <w:rFonts w:ascii="Calibri" w:hAnsi="Calibri" w:cs="Calibri"/>
          <w:color w:val="000000"/>
        </w:rPr>
        <w:t>Havendo pesquisa de satisfação, a sistematização será circunstanciada em documento que será enviado à OSC para conhecimento, esclarecimentos e eventuais providências, podendo a entidade opinar sobre o conteúdo do questionário que será aplicado.</w:t>
      </w:r>
    </w:p>
    <w:p w14:paraId="6AD023E7"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4DFE512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TERCEIRA – DA EXTINÇÃO DO TERMO DE FOMENTO</w:t>
      </w:r>
    </w:p>
    <w:p w14:paraId="307BFEF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O presente Termo de Fomento será extinto:</w:t>
      </w:r>
    </w:p>
    <w:p w14:paraId="1FF018C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por advento do termo final, sem que os partícipes tenham até então firmado aditivo para renová-lo;</w:t>
      </w:r>
    </w:p>
    <w:p w14:paraId="58F2563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por consenso, antes do prazo avençado, mediante Termo de Distrato;</w:t>
      </w:r>
    </w:p>
    <w:p w14:paraId="63E34FD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por denúncia de qualquer dos partícipes, se não tiver mais interesse na manutenção da parceria, notificando o parceiro com antecedência mínima de 30 dias;</w:t>
      </w:r>
    </w:p>
    <w:p w14:paraId="227B5B6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por rescisão unilateral da parceria, nas seguintes hipóteses:</w:t>
      </w:r>
    </w:p>
    <w:p w14:paraId="716E45E6"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a) descumprimento injustificado de cláusula deste instrumento;</w:t>
      </w:r>
    </w:p>
    <w:p w14:paraId="2E7C6D56"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b) irregularidade ou inexecução injustificada, ainda que parcial, do objeto, resultados ou metas pactuadas;</w:t>
      </w:r>
    </w:p>
    <w:p w14:paraId="767B3B8E"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c) omissão no dever de prestação de contas anual, nas parcerias com vigência superior a um ano, sem prejuízo do disposto no §2º do art. 70 da Lei nº 13.019, de 2014;</w:t>
      </w:r>
    </w:p>
    <w:p w14:paraId="70A8A314"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d) violação da legislação aplicável;</w:t>
      </w:r>
    </w:p>
    <w:p w14:paraId="10853712"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e) cometimento de falhas reiteradas na execução;</w:t>
      </w:r>
    </w:p>
    <w:p w14:paraId="619E6A4E"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f) malversação de recursos públicos;</w:t>
      </w:r>
    </w:p>
    <w:p w14:paraId="15611817"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g) constatação de falsidade ou fraude nas informações ou documentos apresentados;</w:t>
      </w:r>
    </w:p>
    <w:p w14:paraId="48E5F775"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h) não atendimento às recomendações ou determinações decorrentes da fiscalização;</w:t>
      </w:r>
    </w:p>
    <w:p w14:paraId="395319D2"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i) descumprimento das condições que caracterizam a parceira privada como OSC;</w:t>
      </w:r>
    </w:p>
    <w:p w14:paraId="441270B8"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j) paralisação da execução da parceria, sem justa causa e prévia comunicação à Administração Pública;</w:t>
      </w:r>
    </w:p>
    <w:p w14:paraId="127B1E1C"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lastRenderedPageBreak/>
        <w:t>k) quando os recursos depositados em conta corrente específica não forem utilizados no prazo de 365 (trezentos e sessenta e cinco) dias, salvo se houver execução parcial do objeto e desde que previamente justificado pelo gestor da parceria e autorizado pelo Ministro de Estado;</w:t>
      </w:r>
    </w:p>
    <w:p w14:paraId="183ED4CB"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l) atraso superior a 60 (sessenta) dias na liberação das parcelas pactuadas no plano de trabalho; ou</w:t>
      </w:r>
    </w:p>
    <w:p w14:paraId="3D762133"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m) outras hipóteses expressamente previstas na legislação aplicável.</w:t>
      </w:r>
    </w:p>
    <w:p w14:paraId="77E476D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A denúncia só será eficaz 60 (sessenta) dias após a data de recebimento da notificação, ficando os partícipes responsáveis somente pelas obrigações e vantagens do tempo em que participaram voluntariamente da avença.</w:t>
      </w:r>
    </w:p>
    <w:p w14:paraId="12B11E9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Em caso de denúncia ou rescisão unilateral por parte da Administração Pública, que não decorra de culpa, dolo ou má gestão da OSC, o Poder Público ressarcirá a parceira privada dos danos emergentes comprovados que houver sofrido.</w:t>
      </w:r>
    </w:p>
    <w:p w14:paraId="2FEEFE6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Em caso de denúncia ou rescisão unilateral por culpa, dolo ou má gestão por parte da OSC, devidamente comprovada, a organização da sociedade civil não terá direito a qualquer indenização.</w:t>
      </w:r>
    </w:p>
    <w:p w14:paraId="7EA20802"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Os casos de rescisão unilateral serão formalmente motivados nos autos do processo administrativo, assegurado o contraditório e a ampla defesa. O prazo de defesa será de 10 (dez) dias da abertura de vista do processo.</w:t>
      </w:r>
    </w:p>
    <w:p w14:paraId="291A321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Caso se conclua pela rescisão unilateral da parceria, o relatório técnico de monitoramento e avaliação deverá determinar as providências previstas nas alíneas “a” e “b” do inciso II do § 1º do art. 51-A do Decreto 8.726, de 2016.</w:t>
      </w:r>
    </w:p>
    <w:p w14:paraId="6D00251F"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sexta</w:t>
      </w:r>
      <w:r>
        <w:rPr>
          <w:rFonts w:ascii="Calibri" w:hAnsi="Calibri" w:cs="Calibri"/>
          <w:color w:val="000000"/>
        </w:rPr>
        <w:t>. Outras situações relativas à extinção da parceria não previstas na legislação aplicável ou neste instrumento poderão ser reguladas em Termo de Encerramento da Parceria a ser negociado entre os partícipes ou, se for o caso, no Termo de Distrato.</w:t>
      </w:r>
    </w:p>
    <w:p w14:paraId="399CF9C4"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5626B66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QUARTA – DA RESTITUIÇÃO DOS RECURSOS</w:t>
      </w:r>
    </w:p>
    <w:p w14:paraId="26319F2F"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Por ocasião da conclusão, denúncia, rescisão ou extinção deste Termo de Fomento,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w:t>
      </w:r>
    </w:p>
    <w:p w14:paraId="58B4A643"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primeira. </w:t>
      </w:r>
      <w:r>
        <w:rPr>
          <w:rFonts w:ascii="Calibri" w:hAnsi="Calibri" w:cs="Calibri"/>
          <w:color w:val="000000"/>
        </w:rPr>
        <w:t>Os débitos a serem restituídos pela OSC serão apurados mediante atualização monetária, acrescido de juros calculados da seguinte forma:</w:t>
      </w:r>
    </w:p>
    <w:p w14:paraId="255B5087"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nos casos em que for constatado dolo da OSC ou de seus prepostos, os juros serão calculados a partir das datas de liberação dos recursos, sem subtração de eventual período de inércia da Administração Pública quanto ao prazo de que trata o § 3º do art. 69, do Decreto nº 8.726, de 2016; e</w:t>
      </w:r>
    </w:p>
    <w:p w14:paraId="3B2D0C02"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nos demais casos, os juros serão calculados a partir:</w:t>
      </w:r>
    </w:p>
    <w:p w14:paraId="4A326EB6" w14:textId="77777777" w:rsidR="006C1FB7" w:rsidRDefault="006C1FB7" w:rsidP="006C1FB7">
      <w:pPr>
        <w:pStyle w:val="NormalWeb"/>
        <w:spacing w:before="0" w:beforeAutospacing="0" w:after="120" w:afterAutospacing="0"/>
        <w:ind w:left="420"/>
        <w:jc w:val="both"/>
        <w:rPr>
          <w:color w:val="000000"/>
          <w:sz w:val="27"/>
          <w:szCs w:val="27"/>
        </w:rPr>
      </w:pPr>
      <w:r>
        <w:rPr>
          <w:rFonts w:ascii="Calibri" w:hAnsi="Calibri" w:cs="Calibri"/>
          <w:color w:val="000000"/>
        </w:rPr>
        <w:lastRenderedPageBreak/>
        <w:t>a) do decurso do prazo estabelecido no ato de notificação da OSC ou de seus prepostos para restituição dos valores ocorrida no curso da execução da parceria; ou</w:t>
      </w:r>
    </w:p>
    <w:p w14:paraId="0BCE089F" w14:textId="77777777" w:rsidR="006C1FB7" w:rsidRDefault="006C1FB7" w:rsidP="006C1FB7">
      <w:pPr>
        <w:pStyle w:val="NormalWeb"/>
        <w:spacing w:before="0" w:beforeAutospacing="0" w:after="120" w:afterAutospacing="0"/>
        <w:ind w:left="420"/>
        <w:jc w:val="both"/>
        <w:rPr>
          <w:color w:val="000000"/>
          <w:sz w:val="27"/>
          <w:szCs w:val="27"/>
        </w:rPr>
      </w:pPr>
      <w:r>
        <w:rPr>
          <w:rFonts w:ascii="Calibri" w:hAnsi="Calibri" w:cs="Calibri"/>
          <w:color w:val="000000"/>
        </w:rPr>
        <w:t>b) do término da execução da parceria, caso não tenha havido a notificação de que trata a alínea “a” deste inciso, com subtração de eventual período de inércia do Ministério do Empreendedorismo, da Microempresa e da Empresa de Pequeno Porte quanto ao prazo de que trata o § 3º do art. 69 do Decreto nº 8.726, de 2016.</w:t>
      </w:r>
    </w:p>
    <w:p w14:paraId="7A2D80B1" w14:textId="77777777" w:rsidR="006C1FB7" w:rsidRDefault="006C1FB7" w:rsidP="006C1FB7">
      <w:pPr>
        <w:pStyle w:val="NormalWeb"/>
        <w:spacing w:before="0" w:beforeAutospacing="0" w:after="240" w:afterAutospacing="0"/>
        <w:jc w:val="both"/>
        <w:rPr>
          <w:color w:val="000000"/>
          <w:sz w:val="27"/>
          <w:szCs w:val="27"/>
        </w:rPr>
      </w:pPr>
      <w:r>
        <w:rPr>
          <w:rFonts w:ascii="Calibri" w:hAnsi="Calibri" w:cs="Calibri"/>
          <w:b/>
          <w:bCs/>
          <w:color w:val="000000"/>
        </w:rPr>
        <w:t>Subcláusula segunda. </w:t>
      </w:r>
      <w:r>
        <w:rPr>
          <w:rFonts w:ascii="Calibri" w:hAnsi="Calibri" w:cs="Calibri"/>
          <w:color w:val="000000"/>
        </w:rPr>
        <w:t>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14:paraId="3EAF0AB3" w14:textId="77777777" w:rsidR="006C1FB7" w:rsidRDefault="006C1FB7" w:rsidP="006C1FB7">
      <w:pPr>
        <w:pStyle w:val="NormalWeb"/>
        <w:spacing w:before="0" w:beforeAutospacing="0" w:after="240" w:afterAutospacing="0"/>
        <w:jc w:val="both"/>
        <w:rPr>
          <w:color w:val="000000"/>
          <w:sz w:val="27"/>
          <w:szCs w:val="27"/>
        </w:rPr>
      </w:pPr>
      <w:r>
        <w:rPr>
          <w:color w:val="000000"/>
          <w:sz w:val="27"/>
          <w:szCs w:val="27"/>
        </w:rPr>
        <w:t> </w:t>
      </w:r>
    </w:p>
    <w:p w14:paraId="5C3A4D5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QUINTA – DOS BENS REMANESCENTES</w:t>
      </w:r>
    </w:p>
    <w:p w14:paraId="43B6EEE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w:t>
      </w:r>
    </w:p>
    <w:p w14:paraId="5BF8195D"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57F1F1E1"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Fica a OSC autorizada a realizar doação a terceiros, inclusive beneficiários da política pública objeto da parceria, desde que demonstrada a sua utilidade para a realização ou a continuidade de ações de interesse social.</w:t>
      </w:r>
    </w:p>
    <w:p w14:paraId="77D9308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Caso a prestação de contas final seja rejeitada, a titularidade dos bens remanescentes permanecerá com a OSC, observados os seguintes procedimentos:</w:t>
      </w:r>
    </w:p>
    <w:p w14:paraId="6228C66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não será exigido ressarcimento do valor relativo ao bem adquirido quando a motivação da rejeição não estiver relacionada ao seu uso ou aquisição; ou</w:t>
      </w:r>
    </w:p>
    <w:p w14:paraId="515018F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o valor pelo qual o bem remanescente foi adquirido deverá ser computado no cálculo do dano ao erário a ser ressarcido, quando a motivação da rejeição estiver relacionada ao seu uso ou aquisição.</w:t>
      </w:r>
    </w:p>
    <w:p w14:paraId="08DB64E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14:paraId="63BA8DD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xml:space="preserve">. Em exceção ao disposto no caput desta cláusula, os bens remanescentes poderão ter sua propriedade revertida para o órgão ou entidade pública federal, a critério da Administração Pública, para fins de assegurar a continuidade do </w:t>
      </w:r>
      <w:r>
        <w:rPr>
          <w:rFonts w:ascii="Calibri" w:hAnsi="Calibri" w:cs="Calibri"/>
          <w:color w:val="000000"/>
        </w:rPr>
        <w:lastRenderedPageBreak/>
        <w:t>objeto pactuado, por meio da celebração de nova parceria ou pela execução direta do objeto pela Administração Pública Federal.</w:t>
      </w:r>
    </w:p>
    <w:p w14:paraId="06E14DFA"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0C79188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SEXTA – DA PROPRIEDADE INTELECTUAL</w:t>
      </w:r>
    </w:p>
    <w:p w14:paraId="1CADFEE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Caso os projetos realizados pela OSC com recursos públicos provenientes do Termo de Fomento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w:t>
      </w:r>
    </w:p>
    <w:p w14:paraId="5A18CF4A"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Subcláusula seguinte.</w:t>
      </w:r>
    </w:p>
    <w:p w14:paraId="04D52EE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A participação nos ganhos econômicos fica assegurada, nos termos da legislação específica, ao inventor, criador ou autor.</w:t>
      </w:r>
    </w:p>
    <w:p w14:paraId="01748E9D"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6F8FCFD5"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7B25246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5AF34D5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quanto aos direitos de que trata a Lei nº 9.610, de 19 de fevereiro de 1998, por quaisquer modalidades de utilização existentes ou que venham a ser inventadas, inclusive:</w:t>
      </w:r>
    </w:p>
    <w:p w14:paraId="42EA605D"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a) a reprodução parcial ou integral;</w:t>
      </w:r>
    </w:p>
    <w:p w14:paraId="347FA940"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b) a edição;</w:t>
      </w:r>
    </w:p>
    <w:p w14:paraId="208CD172"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c) a adaptação, o arranjo musical e quaisquer outras transformações;</w:t>
      </w:r>
    </w:p>
    <w:p w14:paraId="554BCA0B"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lastRenderedPageBreak/>
        <w:t>d) a tradução para qualquer idioma;</w:t>
      </w:r>
    </w:p>
    <w:p w14:paraId="5792FAB6"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e) a inclusão em fonograma ou produção audiovisual;</w:t>
      </w:r>
    </w:p>
    <w:p w14:paraId="3CA8F57A"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38DE2F99"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w:t>
      </w:r>
    </w:p>
    <w:p w14:paraId="3ED4D819"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h) a inclusão em base de dados, o armazenamento em computador, a microfilmagem e as demais formas de arquivamento do gênero.</w:t>
      </w:r>
    </w:p>
    <w:p w14:paraId="067316E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quanto aos direitos de que trata a Lei nº 9.279, de 14 de maio de 1996, para a exploração de patente de invenção ou de modelo de utilidade e de registro de desenho industrial;</w:t>
      </w:r>
    </w:p>
    <w:p w14:paraId="0842F51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quanto aos direitos de que trata a Lei nº 9.456, de 25 de abril de 1997, pela utilização da cultivar protegida; e</w:t>
      </w:r>
    </w:p>
    <w:p w14:paraId="0BC0296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quanto aos direitos de que trata a Lei nº 9.609, de 19 de fevereiro de 1998, pela utilização de programas de computador.</w:t>
      </w:r>
    </w:p>
    <w:p w14:paraId="6602006E"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rPr>
        <w:t>Subcláusula sexta</w:t>
      </w:r>
      <w:r>
        <w:rPr>
          <w:rFonts w:ascii="Calibri" w:hAnsi="Calibri" w:cs="Calibri"/>
          <w:color w:val="000000"/>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75D760E3" w14:textId="77777777" w:rsidR="006C1FB7" w:rsidRDefault="006C1FB7" w:rsidP="006C1FB7">
      <w:pPr>
        <w:pStyle w:val="NormalWeb"/>
        <w:spacing w:before="0" w:beforeAutospacing="0" w:after="60" w:afterAutospacing="0"/>
        <w:jc w:val="both"/>
        <w:rPr>
          <w:color w:val="000000"/>
          <w:sz w:val="27"/>
          <w:szCs w:val="27"/>
        </w:rPr>
      </w:pPr>
      <w:r>
        <w:rPr>
          <w:color w:val="000000"/>
          <w:sz w:val="27"/>
          <w:szCs w:val="27"/>
        </w:rPr>
        <w:t> </w:t>
      </w:r>
    </w:p>
    <w:p w14:paraId="62ACD80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SÉTIMA – DA PRESTAÇÃO DE CONTAS ANUAL</w:t>
      </w:r>
    </w:p>
    <w:p w14:paraId="1BE77BCD"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color w:val="000000"/>
        </w:rPr>
        <w:t>No caso de parcerias com vigência superior a um ano, a OSC deverá apresentar prestação de contas anual, para fins de monitoramento do cumprimento das metas previstas no plano de trabalho, observando-se as regras previstas no art. 59 do Decreto nº 8.726, de 2016, além das cláusulas constantes deste instrumento e do plano de trabalho.</w:t>
      </w:r>
    </w:p>
    <w:p w14:paraId="1A852E5C"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xml:space="preserve">. Para fins de prestação de contas anual, a OSC deverá apresentar Relatório Parcial de Execução do Objeto no Transferegov.br, no prazo de até 30 (trinta) dias após o fim de cada exercício, sendo que se considera exercício cada período de 12 </w:t>
      </w:r>
      <w:r>
        <w:rPr>
          <w:rFonts w:ascii="Calibri" w:hAnsi="Calibri" w:cs="Calibri"/>
          <w:color w:val="000000"/>
        </w:rPr>
        <w:lastRenderedPageBreak/>
        <w:t>(doze) meses de duração da parceria, contado da primeira liberação de recursos para sua execução.</w:t>
      </w:r>
    </w:p>
    <w:p w14:paraId="02502C75"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rPr>
        <w:t>Subcláusula segunda. </w:t>
      </w:r>
      <w:r>
        <w:rPr>
          <w:rFonts w:ascii="Calibri" w:hAnsi="Calibri" w:cs="Calibri"/>
          <w:color w:val="000000"/>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58C63E5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O Relatório Parcial de Execução do Objeto conterá:</w:t>
      </w:r>
    </w:p>
    <w:p w14:paraId="4852BED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a demonstração do alcance das metas referentes ao período de que trata a prestação de contas ou a justificativa para o não atingimento conforme o disposto no § 4º do art. 55 do Decreto nº 8.726, de 2016;</w:t>
      </w:r>
    </w:p>
    <w:p w14:paraId="29710FA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a descrição das ações (projetos) desenvolvidas para o cumprimento do objeto;</w:t>
      </w:r>
    </w:p>
    <w:p w14:paraId="7172850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os documentos de comprovação do cumprimento do objeto, como listas de presença, fotos, vídeos, entre outros;</w:t>
      </w:r>
    </w:p>
    <w:p w14:paraId="51667E6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os documentos de comprovação do cumprimento da contrapartida em bens e serviços, quando houver; e</w:t>
      </w:r>
    </w:p>
    <w:p w14:paraId="640C81B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 justificativa, quando for o caso, pelo não cumprimento do alcance das metas.</w:t>
      </w:r>
    </w:p>
    <w:p w14:paraId="4EDA630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A OSC fica dispensada da apresentação dos documentos de que tratam os incisos III e IV da Subcláusula anterior quando já constarem do Transferegov.br.</w:t>
      </w:r>
    </w:p>
    <w:p w14:paraId="2B164AA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O Relatório Parcial de Execução do Objeto deverá, ainda, fornecer elementos para avaliação:</w:t>
      </w:r>
    </w:p>
    <w:p w14:paraId="1139CDB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dos resultados já alcançados e seus benefícios;</w:t>
      </w:r>
    </w:p>
    <w:p w14:paraId="7195CD6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dos impactos econômicos ou sociais das ações desenvolvidas;</w:t>
      </w:r>
    </w:p>
    <w:p w14:paraId="1AF5E62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do grau de satisfação do público-alvo; e</w:t>
      </w:r>
    </w:p>
    <w:p w14:paraId="668B11D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da possibilidade de sustentabilidade das ações após a conclusão do objeto.</w:t>
      </w:r>
    </w:p>
    <w:p w14:paraId="0038AE1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sexta</w:t>
      </w:r>
      <w:r>
        <w:rPr>
          <w:rFonts w:ascii="Calibri" w:hAnsi="Calibri" w:cs="Calibri"/>
          <w:color w:val="000000"/>
        </w:rPr>
        <w:t>. As informações de que trata a Subcláusula anterior serão fornecidas por meio da apresentação de documentos e por outros meios previstos no plano de trabalho.</w:t>
      </w:r>
    </w:p>
    <w:p w14:paraId="197A7BC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sétima</w:t>
      </w:r>
      <w:r>
        <w:rPr>
          <w:rFonts w:ascii="Calibri" w:hAnsi="Calibri" w:cs="Calibri"/>
          <w:color w:val="000000"/>
        </w:rPr>
        <w:t>. Quando a exigência for desproporcional à complexidade da parceria ou ao interesse público, a Administração Pública poderá, justificadamente, de ofício ou mediante solicitação, dispensar a OSC da observância do disposto na Subcláusula quinta.</w:t>
      </w:r>
    </w:p>
    <w:p w14:paraId="0AEC0EB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oitava</w:t>
      </w:r>
      <w:r>
        <w:rPr>
          <w:rFonts w:ascii="Calibri" w:hAnsi="Calibri" w:cs="Calibri"/>
          <w:color w:val="000000"/>
        </w:rPr>
        <w:t>. O Relatório Parcial de Execução Financeira, quando exigido, deverá conter:</w:t>
      </w:r>
    </w:p>
    <w:p w14:paraId="1CFE316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a relação das receitas e despesas realizadas, inclusive rendimentos financeiros, que possibilitem a comprovação da observância do plano de trabalho;</w:t>
      </w:r>
    </w:p>
    <w:p w14:paraId="5EB9DFB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lastRenderedPageBreak/>
        <w:t>II - o extrato da conta bancária específica;</w:t>
      </w:r>
    </w:p>
    <w:p w14:paraId="1BC759D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49CEBDC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a relação de bens adquiridos, produzidos ou transformados, quando houver; e</w:t>
      </w:r>
    </w:p>
    <w:p w14:paraId="1B53ADB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 - cópia simples das notas e dos comprovantes fiscais ou recibos, inclusive holerites, com data do documento, valor, dados da OSC e do fornecedor e indicação do produto ou serviço.</w:t>
      </w:r>
    </w:p>
    <w:p w14:paraId="743B722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nona</w:t>
      </w:r>
      <w:r>
        <w:rPr>
          <w:rFonts w:ascii="Calibri" w:hAnsi="Calibri" w:cs="Calibri"/>
          <w:color w:val="000000"/>
        </w:rPr>
        <w:t>. A OSC fica dispensada da apresentação dos documentos de que tratam os incisos I a III da Subcláusula anterior quando já constarem do Transferegov.br.</w:t>
      </w:r>
    </w:p>
    <w:p w14:paraId="2797695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w:t>
      </w:r>
      <w:r>
        <w:rPr>
          <w:rFonts w:ascii="Calibri" w:hAnsi="Calibri" w:cs="Calibri"/>
          <w:color w:val="000000"/>
        </w:rPr>
        <w:t>. A análise do Relatório Parcial de Execução Financeira, quando exigido, será feita pela Administração Pública e contemplará:</w:t>
      </w:r>
    </w:p>
    <w:p w14:paraId="76B0C50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o exame da conformidade das despesas, realizado pela verificação das despesas previstas e das despesas efetivamente realizadas, por item ou agrupamento de itens, conforme aprovado no plano de trabalho, observado o disposto no § 3º do art. 36 do Decreto nº 8.726, de 2016; e</w:t>
      </w:r>
    </w:p>
    <w:p w14:paraId="7682C37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a verificação da conciliação bancária, por meio da aferição da correlação entre as despesas constantes na relação de pagamentos e os débitos efetuados na conta corrente específica da parceria.</w:t>
      </w:r>
    </w:p>
    <w:p w14:paraId="119212F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primeira</w:t>
      </w:r>
      <w:r>
        <w:rPr>
          <w:rFonts w:ascii="Calibri" w:hAnsi="Calibri" w:cs="Calibri"/>
          <w:color w:val="000000"/>
        </w:rPr>
        <w:t>. Os dados financeiros serão analisados com o intuito de estabelecer o nexo de causalidade entre a receita e a despesa realizada, a sua conformidade e o cumprimento das normas pertinentes (art. 64, §2º, da Lei nº 13.019, de 2014).</w:t>
      </w:r>
    </w:p>
    <w:p w14:paraId="2BED3F2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segunda</w:t>
      </w:r>
      <w:r>
        <w:rPr>
          <w:rFonts w:ascii="Calibri" w:hAnsi="Calibri" w:cs="Calibri"/>
          <w:color w:val="000000"/>
        </w:rPr>
        <w:t>. Na hipótese de o relatório técnico de monitoramento e avaliação evidenciar irregularidade ou inexecução parcial do objeto, o gestor da parceria notificará a OSC para, no prazo de 30 (trinta) dias:</w:t>
      </w:r>
    </w:p>
    <w:p w14:paraId="479C9D5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I-sanar a irregularidade;</w:t>
      </w:r>
    </w:p>
    <w:p w14:paraId="5E4C510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II-cumprir a obrigação; ou</w:t>
      </w:r>
    </w:p>
    <w:p w14:paraId="30CDEF4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III-apresentar justificativa para impossibilidade de saneamento da irregularidade ou cumprimento da obrigação.</w:t>
      </w:r>
    </w:p>
    <w:p w14:paraId="67627B2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terceira</w:t>
      </w:r>
      <w:r>
        <w:rPr>
          <w:rFonts w:ascii="Calibri" w:hAnsi="Calibri" w:cs="Calibri"/>
          <w:color w:val="000000"/>
        </w:rPr>
        <w:t>. O gestor da parceria avaliará o cumprimento do disposto na Subcláusula anterior e atualizará o relatório técnico de monitoramento e avaliação, conforme o caso.</w:t>
      </w:r>
    </w:p>
    <w:p w14:paraId="481B254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quarta</w:t>
      </w:r>
      <w:r>
        <w:rPr>
          <w:rFonts w:ascii="Calibri" w:hAnsi="Calibri" w:cs="Calibri"/>
          <w:color w:val="000000"/>
        </w:rPr>
        <w:t>. Serão glosados os valores relacionados a metas descumpridas sem justificativa suficiente.</w:t>
      </w:r>
    </w:p>
    <w:p w14:paraId="5472627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quinta</w:t>
      </w:r>
      <w:r>
        <w:rPr>
          <w:rFonts w:ascii="Calibri" w:hAnsi="Calibri" w:cs="Calibri"/>
          <w:color w:val="000000"/>
        </w:rPr>
        <w:t>. Se persistir a irregularidade ou inexecução parcial do objeto, o relatório técnico de monitoramento e avaliação:</w:t>
      </w:r>
    </w:p>
    <w:p w14:paraId="4338869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lastRenderedPageBreak/>
        <w:t>I - caso conclua pela continuidade da parceria, deverá determinar:</w:t>
      </w:r>
    </w:p>
    <w:p w14:paraId="6A8FFF08"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a) devolução dos recursos financeiros relacionados à irregularidade ou inexecução apurada ou à prestação de contas não apresentada; e</w:t>
      </w:r>
    </w:p>
    <w:p w14:paraId="3137CE3E"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b) a retenção das parcelas dos recursos, nos termos do art. 34 do Decreto nº 8.726, de 2016; ou</w:t>
      </w:r>
    </w:p>
    <w:p w14:paraId="44EFEF6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caso conclua pela rescisão unilateral da parceria, deverá determinar:</w:t>
      </w:r>
    </w:p>
    <w:p w14:paraId="43C0E657"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a) a devolução dos valores repassados relacionados à irregularidade ou inexecução apurada ou à prestação de contas não apresentada; e</w:t>
      </w:r>
    </w:p>
    <w:p w14:paraId="5A5164DB"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b) a instauração de tomada de contas especial, se não houver a devolução de que trata a alínea “a” no prazo determinado.</w:t>
      </w:r>
    </w:p>
    <w:p w14:paraId="7F9709C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sexta</w:t>
      </w:r>
      <w:r>
        <w:rPr>
          <w:rFonts w:ascii="Calibri" w:hAnsi="Calibri" w:cs="Calibri"/>
          <w:color w:val="000000"/>
        </w:rPr>
        <w:t>. O relatório técnico de monitoramento e avaliação será submetido à comissão de monitoramento e avaliação designada, que o homologará, no prazo de até 45 (quarenta e cinco) dias, contado de seu recebimento.</w:t>
      </w:r>
    </w:p>
    <w:p w14:paraId="60604BC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sétima</w:t>
      </w:r>
      <w:r>
        <w:rPr>
          <w:rFonts w:ascii="Calibri" w:hAnsi="Calibri" w:cs="Calibri"/>
          <w:color w:val="000000"/>
        </w:rPr>
        <w:t>.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6946E0D6"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5F2C54A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OITAVA – DA PRESTAÇÃO DE CONTAS FINAL</w:t>
      </w:r>
    </w:p>
    <w:p w14:paraId="42B8352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A OSC prestará contas da boa e regular aplicação dos recursos recebidos, observando-se as regras previstas nos arts. 63 a 72 da Lei nº 13.019, de 2014, e nos arts. 54 a 58 e 62 a 70 do Decreto nº 8.726, de 2016, além das cláusulas constantes deste instrumento e do plano de trabalho.</w:t>
      </w:r>
    </w:p>
    <w:p w14:paraId="2FDBF2A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primeira</w:t>
      </w:r>
      <w:r>
        <w:rPr>
          <w:rFonts w:ascii="Calibri" w:hAnsi="Calibri" w:cs="Calibri"/>
          <w:color w:val="000000"/>
        </w:rPr>
        <w:t>. A prestação de contas terá o objetivo de demonstrar e verificar resultados e deverá conter elementos que permitam avaliar a execução do objeto e o alcance das metas, com a descrição pormenorizada das atividades realizadas no período.</w:t>
      </w:r>
    </w:p>
    <w:p w14:paraId="23F8060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Para fins de prestação de contas final, a OSC deverá apresentar Relatório Final de Execução do Objeto, na plataforma Transferegov.br, no prazo de 90 (noventa) dias a partir do término da vigência da parceria, podendo ser prorrogado por até 30 (trinta) dias, mediante justificativa e solicitação prévia da OSC.</w:t>
      </w:r>
    </w:p>
    <w:p w14:paraId="7D0CC1F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w:t>
      </w:r>
      <w:r>
        <w:rPr>
          <w:rFonts w:ascii="Calibri" w:hAnsi="Calibri" w:cs="Calibri"/>
          <w:color w:val="000000"/>
        </w:rPr>
        <w:t>. O Relatório Final de Execução do Objeto conterá:</w:t>
      </w:r>
    </w:p>
    <w:p w14:paraId="6D7AF99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a demonstração do alcance das metas no período, mediante comparativo com os resultados alcançados, ou justificativa para o seu não atingimento;</w:t>
      </w:r>
    </w:p>
    <w:p w14:paraId="21C74C9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a descrição das ações (projetos) desenvolvidas para o cumprimento do objeto;</w:t>
      </w:r>
    </w:p>
    <w:p w14:paraId="75D0F744"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III - os documentos de comprovação do cumprimento do objeto, como listas de presença, fotos, vídeos, entre outros;</w:t>
      </w:r>
    </w:p>
    <w:p w14:paraId="6CAAEC6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IV - os documentos de comprovação do cumprimento da contrapartida, quando houver;</w:t>
      </w:r>
    </w:p>
    <w:p w14:paraId="743D143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lastRenderedPageBreak/>
        <w:t>V - o comprovante de devolução de eventual saldo financeiro remanescente; e</w:t>
      </w:r>
    </w:p>
    <w:p w14:paraId="663CB314"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VI - a previsão de reserva de recursos para pagamento das verbas rescisórias de que trata o §3º do art. 42 do Decreto nº 8.726, de 2016, podendo a OSC manter retido ou provisionado o valor na hipótese de o vínculo trabalhista perdurar após a prestação de contas final.</w:t>
      </w:r>
    </w:p>
    <w:p w14:paraId="41AEFC4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w:t>
      </w:r>
      <w:r>
        <w:rPr>
          <w:rFonts w:ascii="Calibri" w:hAnsi="Calibri" w:cs="Calibri"/>
          <w:color w:val="000000"/>
        </w:rPr>
        <w:t>. A OSC fica dispensada da apresentação dos documentos de que tratam os incisos III e IV da Subcláusula anterior quando já constarem da plataforma Transferegov.br.</w:t>
      </w:r>
    </w:p>
    <w:p w14:paraId="71110CD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w:t>
      </w:r>
      <w:r>
        <w:rPr>
          <w:rFonts w:ascii="Calibri" w:hAnsi="Calibri" w:cs="Calibri"/>
          <w:color w:val="000000"/>
        </w:rPr>
        <w:t>. O Relatório Final de Execução do Objeto deverá, ainda, fornecer elementos para avaliação:</w:t>
      </w:r>
    </w:p>
    <w:p w14:paraId="3626F7F7"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dos resultados alcançados e seus benefícios;</w:t>
      </w:r>
    </w:p>
    <w:p w14:paraId="10038072"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dos impactos econômicos ou sociais das ações desenvolvidas;</w:t>
      </w:r>
    </w:p>
    <w:p w14:paraId="7163545A"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III - do grau de satisfação do público-alvo; e</w:t>
      </w:r>
    </w:p>
    <w:p w14:paraId="0AA7F0B7"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IV - da possibilidade de sustentabilidade das ações após a conclusão do objeto.</w:t>
      </w:r>
    </w:p>
    <w:p w14:paraId="67CA653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sexta</w:t>
      </w:r>
      <w:r>
        <w:rPr>
          <w:rFonts w:ascii="Calibri" w:hAnsi="Calibri" w:cs="Calibri"/>
          <w:color w:val="000000"/>
        </w:rPr>
        <w:t>. As informações de que trata a Subcláusula anterior serão fornecidas por meio da apresentação de documentos e por outros meios previstos no plano de trabalho.</w:t>
      </w:r>
    </w:p>
    <w:p w14:paraId="5A9A96F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sétima</w:t>
      </w:r>
      <w:r>
        <w:rPr>
          <w:rFonts w:ascii="Calibri" w:hAnsi="Calibri" w:cs="Calibri"/>
          <w:color w:val="000000"/>
        </w:rPr>
        <w:t>. A análise da prestação de contas final pela Administração Pública será formalizada por meio de parecer técnico conclusivo emitido pelo gestor da parceria, a ser inserido na plataforma Transferegov.br, que deverá verificar o cumprimento do objeto e o alcance das metas previstas no plano de trabalho, e considerará:</w:t>
      </w:r>
    </w:p>
    <w:p w14:paraId="779DAE2F"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Relatório Final de Execução do Objeto;</w:t>
      </w:r>
    </w:p>
    <w:p w14:paraId="77302CF8"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os Relatórios Parciais de Execução do Objeto, para parcerias com duração superior a um ano;</w:t>
      </w:r>
    </w:p>
    <w:p w14:paraId="0E3A158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III - relatório de visita técnica </w:t>
      </w:r>
      <w:r>
        <w:rPr>
          <w:rFonts w:ascii="Calibri" w:hAnsi="Calibri" w:cs="Calibri"/>
          <w:b/>
          <w:bCs/>
          <w:color w:val="000000"/>
        </w:rPr>
        <w:t>in loco</w:t>
      </w:r>
      <w:r>
        <w:rPr>
          <w:rFonts w:ascii="Calibri" w:hAnsi="Calibri" w:cs="Calibri"/>
          <w:color w:val="000000"/>
        </w:rPr>
        <w:t>, quando houver; e</w:t>
      </w:r>
    </w:p>
    <w:p w14:paraId="65582053"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IV - relatório técnico de monitoramento e avaliação, quando houver.</w:t>
      </w:r>
    </w:p>
    <w:p w14:paraId="00DCF2E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oitava</w:t>
      </w:r>
      <w:r>
        <w:rPr>
          <w:rFonts w:ascii="Calibri" w:hAnsi="Calibri" w:cs="Calibri"/>
          <w:color w:val="000000"/>
        </w:rPr>
        <w:t>. Além da análise do cumprimento do objeto e do alcance das metas previstas no plano de trabalho, o gestor da parceria, em seu parecer técnico, avaliará os efeitos da parceria, quanto à eficácia e efetividade das ações em execução ou que já foram realizadas, devendo mencionar os elementos referidos na Subcláusula quinta.</w:t>
      </w:r>
    </w:p>
    <w:p w14:paraId="375F978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nona</w:t>
      </w:r>
      <w:r>
        <w:rPr>
          <w:rFonts w:ascii="Calibri" w:hAnsi="Calibri" w:cs="Calibri"/>
          <w:color w:val="000000"/>
        </w:rPr>
        <w:t>. Quando a exigência for desproporcional à complexidade da parceria ou ao interesse público, a Administração Pública poderá, justificadamente, de ofício ou mediante solicitação, dispensar a OSC da observância da Subcláusula quinta.</w:t>
      </w:r>
    </w:p>
    <w:p w14:paraId="6946044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w:t>
      </w:r>
      <w:r>
        <w:rPr>
          <w:rFonts w:ascii="Calibri" w:hAnsi="Calibri" w:cs="Calibri"/>
          <w:color w:val="000000"/>
        </w:rPr>
        <w:t>. Na hipótese de a análise de que trata a Subcláusula sétima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podendo ser prorrogado por até 15 (quinze) dias, mediante justificativa e solicitação prévia da OSC.</w:t>
      </w:r>
    </w:p>
    <w:p w14:paraId="3E1F912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lastRenderedPageBreak/>
        <w:t>Subcláusula décima primeira</w:t>
      </w:r>
      <w:r>
        <w:rPr>
          <w:rFonts w:ascii="Calibri" w:hAnsi="Calibri" w:cs="Calibri"/>
          <w:color w:val="000000"/>
        </w:rPr>
        <w:t>. O Relatório Final de Execução Financeira, quando exigido, deverá conter:</w:t>
      </w:r>
    </w:p>
    <w:p w14:paraId="5C10723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a relação das receitas e despesas efetivamente realizadas, inclusive rendimentos financeiros, e sua vinculação com a execução do objeto, que possibilitem a comprovação da observância do plano de trabalho;</w:t>
      </w:r>
    </w:p>
    <w:p w14:paraId="7DF9804A"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o comprovante da devolução do saldo remanescente da conta bancária específica, quando houver;</w:t>
      </w:r>
    </w:p>
    <w:p w14:paraId="67BB837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III - o extrato da conta bancária específica;</w:t>
      </w:r>
    </w:p>
    <w:p w14:paraId="1FAEDAA0"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IV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1205EBAB"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V - a relação de bens adquiridos, produzidos ou transformados, quando houver; e</w:t>
      </w:r>
    </w:p>
    <w:p w14:paraId="082EB3CD"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VI - cópia simples das notas e dos comprovantes fiscais ou recibos, inclusive holerites, com data do documento, valor, os dados da OSC e do fornecedor e a indicação do produto ou serviço.</w:t>
      </w:r>
    </w:p>
    <w:p w14:paraId="02B4673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segunda</w:t>
      </w:r>
      <w:r>
        <w:rPr>
          <w:rFonts w:ascii="Calibri" w:hAnsi="Calibri" w:cs="Calibri"/>
          <w:color w:val="000000"/>
        </w:rPr>
        <w:t>. A OSC fica dispensada da apresentação dos documentos de que tratam os incisos I a IV da Subcláusula anterior quando já constarem da plataforma Transferegov.br.</w:t>
      </w:r>
    </w:p>
    <w:p w14:paraId="5DE75A4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terceira</w:t>
      </w:r>
      <w:r>
        <w:rPr>
          <w:rFonts w:ascii="Calibri" w:hAnsi="Calibri" w:cs="Calibri"/>
          <w:color w:val="000000"/>
        </w:rPr>
        <w:t>. Nas hipóteses de descumprimento injustificado do alcance das metas ou evidência de irregularidade, de que trata a Subcláusula décima, os dados financeiros serão analisados com o intuito de estabelecer o nexo de causalidade entre a receita e a despesa realizada, a sua conformidade e o cumprimento das normas pertinentes.</w:t>
      </w:r>
    </w:p>
    <w:p w14:paraId="0F7E43D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quarta</w:t>
      </w:r>
      <w:r>
        <w:rPr>
          <w:rFonts w:ascii="Calibri" w:hAnsi="Calibri" w:cs="Calibri"/>
          <w:color w:val="000000"/>
        </w:rPr>
        <w:t>. A análise do Relatório Final de Execução Financeira, quando exigido, será feita pela Administração Pública e contemplará:</w:t>
      </w:r>
    </w:p>
    <w:p w14:paraId="79FD3983"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o exame da conformidade das despesas, realizado pela verificação das despesas previstas e das despesas efetivamente realizadas, por item ou agrupamento de itens, conforme aprovado no plano de trabalho, observado o disposto no § 3º do art. 36 do Decreto nº 8.726, de 2016; e</w:t>
      </w:r>
    </w:p>
    <w:p w14:paraId="02944F7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a verificação da conciliação bancária, por meio da aferição da correlação entre as despesas constantes na relação de pagamentos e os débitos efetuados na conta corrente específica da parceria.</w:t>
      </w:r>
    </w:p>
    <w:p w14:paraId="0EB8C82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quinta</w:t>
      </w:r>
      <w:r>
        <w:rPr>
          <w:rFonts w:ascii="Calibri" w:hAnsi="Calibri" w:cs="Calibri"/>
          <w:color w:val="000000"/>
        </w:rPr>
        <w:t>. Observada a verdade real e os resultados alcançados, o parecer técnico conclusivo da prestação de contas final embasará a decisão da autoridade competente e poderá concluir pela:</w:t>
      </w:r>
    </w:p>
    <w:p w14:paraId="61E3E7D9"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 - aprovação das contas, que ocorrerá quando constatado o cumprimento do objeto e das metas da parceria;</w:t>
      </w:r>
    </w:p>
    <w:p w14:paraId="7F425295"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color w:val="000000"/>
        </w:rPr>
        <w:t>II - aprovação das contas com ressalvas, que ocorrerá:</w:t>
      </w:r>
    </w:p>
    <w:p w14:paraId="2E672DC5"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lastRenderedPageBreak/>
        <w:t>a) quando, apesar de cumpridos o objeto e as metas da parceria, for constatada impropriedade ou qualquer outra falta de natureza formal que não resulte em dano ao erário; ou</w:t>
      </w:r>
    </w:p>
    <w:p w14:paraId="475399FC"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b) na análise de que trata a Subcláusula décima quarta, quando o valor da irregularidade for de pequeno vulto, exceto se houver comprovada má-fé.</w:t>
      </w:r>
    </w:p>
    <w:p w14:paraId="6D4733F5" w14:textId="77777777" w:rsidR="006C1FB7" w:rsidRDefault="006C1FB7" w:rsidP="006C1FB7">
      <w:pPr>
        <w:pStyle w:val="NormalWeb"/>
        <w:spacing w:before="0" w:beforeAutospacing="0" w:after="105" w:afterAutospacing="0"/>
        <w:jc w:val="both"/>
        <w:rPr>
          <w:color w:val="000000"/>
          <w:sz w:val="27"/>
          <w:szCs w:val="27"/>
        </w:rPr>
      </w:pPr>
      <w:r>
        <w:rPr>
          <w:rFonts w:ascii="Calibri" w:hAnsi="Calibri" w:cs="Calibri"/>
          <w:color w:val="000000"/>
        </w:rPr>
        <w:t>III - rejeição das contas, que ocorrerá nas seguintes hipóteses:</w:t>
      </w:r>
    </w:p>
    <w:p w14:paraId="5FA12EEB" w14:textId="77777777" w:rsidR="006C1FB7" w:rsidRDefault="006C1FB7" w:rsidP="006C1FB7">
      <w:pPr>
        <w:pStyle w:val="NormalWeb"/>
        <w:spacing w:before="0" w:beforeAutospacing="0" w:after="105" w:afterAutospacing="0"/>
        <w:ind w:left="420"/>
        <w:jc w:val="both"/>
        <w:rPr>
          <w:color w:val="000000"/>
          <w:sz w:val="27"/>
          <w:szCs w:val="27"/>
        </w:rPr>
      </w:pPr>
      <w:r>
        <w:rPr>
          <w:rFonts w:ascii="Calibri" w:hAnsi="Calibri" w:cs="Calibri"/>
          <w:color w:val="000000"/>
        </w:rPr>
        <w:t>a) omissão no dever de prestar contas;</w:t>
      </w:r>
    </w:p>
    <w:p w14:paraId="4591E362" w14:textId="77777777" w:rsidR="006C1FB7" w:rsidRDefault="006C1FB7" w:rsidP="006C1FB7">
      <w:pPr>
        <w:pStyle w:val="NormalWeb"/>
        <w:spacing w:before="0" w:beforeAutospacing="0" w:after="105" w:afterAutospacing="0"/>
        <w:ind w:left="420"/>
        <w:jc w:val="both"/>
        <w:rPr>
          <w:color w:val="000000"/>
          <w:sz w:val="27"/>
          <w:szCs w:val="27"/>
        </w:rPr>
      </w:pPr>
      <w:r>
        <w:rPr>
          <w:rFonts w:ascii="Calibri" w:hAnsi="Calibri" w:cs="Calibri"/>
          <w:color w:val="000000"/>
        </w:rPr>
        <w:t>b) descumprimento injustificado do objeto e das metas estabelecidos no plano de trabalho;</w:t>
      </w:r>
    </w:p>
    <w:p w14:paraId="08CD03AB" w14:textId="77777777" w:rsidR="006C1FB7" w:rsidRDefault="006C1FB7" w:rsidP="006C1FB7">
      <w:pPr>
        <w:pStyle w:val="NormalWeb"/>
        <w:spacing w:before="0" w:beforeAutospacing="0" w:after="105" w:afterAutospacing="0"/>
        <w:ind w:left="420"/>
        <w:jc w:val="both"/>
        <w:rPr>
          <w:color w:val="000000"/>
          <w:sz w:val="27"/>
          <w:szCs w:val="27"/>
        </w:rPr>
      </w:pPr>
      <w:r>
        <w:rPr>
          <w:rFonts w:ascii="Calibri" w:hAnsi="Calibri" w:cs="Calibri"/>
          <w:color w:val="000000"/>
        </w:rPr>
        <w:t>c) dano ao erário decorrente de ato de gestão ilegítimo ou antieconômico; ou</w:t>
      </w:r>
    </w:p>
    <w:p w14:paraId="3C125B2A"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d) desfalque ou desvio de dinheiro, bens ou valores públicos.</w:t>
      </w:r>
    </w:p>
    <w:p w14:paraId="27401BE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sexta</w:t>
      </w:r>
      <w:r>
        <w:rPr>
          <w:rFonts w:ascii="Calibri" w:hAnsi="Calibri" w:cs="Calibri"/>
          <w:color w:val="000000"/>
        </w:rPr>
        <w:t>. A rejeição das contas não poderá ser fundamentada unicamente na avaliação dos efeitos da parceria, de que trata a Subcláusula oitava, devendo ser objeto de análise o cumprimento do objeto e o alcance das metas previstas no plano de trabalho.</w:t>
      </w:r>
    </w:p>
    <w:p w14:paraId="617AFE86"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sétima</w:t>
      </w:r>
      <w:r>
        <w:rPr>
          <w:rFonts w:ascii="Calibri" w:hAnsi="Calibri" w:cs="Calibri"/>
          <w:color w:val="000000"/>
        </w:rPr>
        <w:t>. A decisão sobre a prestação de contas final caberá à autoridade responsável por celebrar a parceria ou ao agente a ela diretamente subordinado, vedada a subdelegação.</w:t>
      </w:r>
    </w:p>
    <w:p w14:paraId="46834ED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oitava</w:t>
      </w:r>
      <w:r>
        <w:rPr>
          <w:rFonts w:ascii="Calibri" w:hAnsi="Calibri" w:cs="Calibri"/>
          <w:color w:val="000000"/>
        </w:rPr>
        <w:t>. A OSC será notificada da decisão da autoridade competente e poderá:</w:t>
      </w:r>
    </w:p>
    <w:p w14:paraId="3673969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apresentar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w:t>
      </w:r>
    </w:p>
    <w:p w14:paraId="0B6529ED"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sanar a irregularidade ou cumprir a obrigação, no prazo de 45 (quarenta e cinco) dias, prorrogável, no máximo, por igual período.</w:t>
      </w:r>
    </w:p>
    <w:p w14:paraId="4306215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décima nona</w:t>
      </w:r>
      <w:r>
        <w:rPr>
          <w:rFonts w:ascii="Calibri" w:hAnsi="Calibri" w:cs="Calibri"/>
          <w:color w:val="000000"/>
        </w:rPr>
        <w:t>. Exaurida a fase recursal, a Administração Pública deverá:</w:t>
      </w:r>
    </w:p>
    <w:p w14:paraId="5D3AFCC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no caso de aprovação com ressalvas da prestação de contas, registrar na plataforma Transferegov.br as causas das ressalvas; e</w:t>
      </w:r>
    </w:p>
    <w:p w14:paraId="3B00FC4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no caso de rejeição da prestação de contas, notificar a OSC para que, no prazo de 30 (trinta) dias:</w:t>
      </w:r>
    </w:p>
    <w:p w14:paraId="2FDBAF73"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a) devolva os recursos financeiros relacionados com a irregularidade ou inexecução do objeto apurada ou com a prestação de contas não apresentada; ou</w:t>
      </w:r>
    </w:p>
    <w:p w14:paraId="19E69F54"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b) solicite o ressarcimento ao erário por meio de ações compensatórias de interesse público, mediante a apresentação de novo plano de trabalho, nos termos do §2º do art. 72 da Lei nº 13.019, de 2014.</w:t>
      </w:r>
    </w:p>
    <w:p w14:paraId="3F7B171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vigésima</w:t>
      </w:r>
      <w:r>
        <w:rPr>
          <w:rFonts w:ascii="Calibri" w:hAnsi="Calibri" w:cs="Calibri"/>
          <w:color w:val="000000"/>
        </w:rPr>
        <w:t>. O registro da aprovação com ressalvas da prestação de contas possui caráter preventivo e será considerado na eventual aplicação de sanções.</w:t>
      </w:r>
    </w:p>
    <w:p w14:paraId="70324C7C"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lastRenderedPageBreak/>
        <w:t>Subcláusula vigésima primeira</w:t>
      </w:r>
      <w:r>
        <w:rPr>
          <w:rFonts w:ascii="Calibri" w:hAnsi="Calibri" w:cs="Calibri"/>
          <w:color w:val="000000"/>
        </w:rPr>
        <w:t>. A Administração Pública deverá se pronunciar sobre a solicitação de ressarcimento que trata a alínea “b” do inciso II da Subcláusula décima nona no prazo de 30 (trinta) dias, sendo a autorização de ressarcimento por meio de ações compensatórias ato de competência exclusiva do Ministro de Estado. A realização das ações compensatórias de interesse público não deverá ultrapassar a metade do prazo previsto para a execução da parceria.</w:t>
      </w:r>
    </w:p>
    <w:p w14:paraId="54AD1D8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vigésima segunda</w:t>
      </w:r>
      <w:r>
        <w:rPr>
          <w:rFonts w:ascii="Calibri" w:hAnsi="Calibri" w:cs="Calibri"/>
          <w:color w:val="000000"/>
        </w:rPr>
        <w:t>. Na hipótese de rejeição da prestação de contas, o não ressarcimento ao erário ensejará:</w:t>
      </w:r>
    </w:p>
    <w:p w14:paraId="105337F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 - a instauração da tomada de contas especial, nos termos da legislação vigente; e</w:t>
      </w:r>
    </w:p>
    <w:p w14:paraId="6395AEE1"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o registro da rejeição da prestação de contas e de suas causas na plataforma Transferegov.br e no Siafi, enquanto perdurarem os motivos determinantes da rejeição.</w:t>
      </w:r>
    </w:p>
    <w:p w14:paraId="0062CC87"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vigésima terceira</w:t>
      </w:r>
      <w:r>
        <w:rPr>
          <w:rFonts w:ascii="Calibri" w:hAnsi="Calibri" w:cs="Calibri"/>
          <w:color w:val="000000"/>
        </w:rPr>
        <w:t>. O prazo de análise da prestação de contas final pela Administração Pública será de </w:t>
      </w:r>
      <w:r>
        <w:rPr>
          <w:rFonts w:ascii="Calibri" w:hAnsi="Calibri" w:cs="Calibri"/>
          <w:color w:val="000000"/>
          <w:sz w:val="22"/>
          <w:szCs w:val="22"/>
        </w:rPr>
        <w:t>150 (cento e cinquenta) </w:t>
      </w:r>
      <w:r>
        <w:rPr>
          <w:rFonts w:ascii="Calibri" w:hAnsi="Calibri" w:cs="Calibri"/>
          <w:color w:val="000000"/>
        </w:rPr>
        <w:t>dias, contado da data de recebimento do Relatório Final de Execução do Objeto ou do cumprimento de diligência por ela determinado, podendo ser prorrogado, justificadamente, por igual período, desde que não exceda o limite de 300 (trezentos) dias.</w:t>
      </w:r>
    </w:p>
    <w:p w14:paraId="694D01E6" w14:textId="77777777" w:rsidR="006C1FB7" w:rsidRDefault="006C1FB7" w:rsidP="006C1FB7">
      <w:pPr>
        <w:pStyle w:val="NormalWeb"/>
        <w:spacing w:before="0" w:beforeAutospacing="0" w:after="105" w:afterAutospacing="0"/>
        <w:jc w:val="both"/>
        <w:rPr>
          <w:color w:val="000000"/>
          <w:sz w:val="27"/>
          <w:szCs w:val="27"/>
        </w:rPr>
      </w:pPr>
      <w:r>
        <w:rPr>
          <w:rFonts w:ascii="Calibri" w:hAnsi="Calibri" w:cs="Calibri"/>
          <w:b/>
          <w:bCs/>
          <w:color w:val="000000"/>
        </w:rPr>
        <w:t>Subcláusula vigésima quarta</w:t>
      </w:r>
      <w:r>
        <w:rPr>
          <w:rFonts w:ascii="Calibri" w:hAnsi="Calibri" w:cs="Calibri"/>
          <w:color w:val="000000"/>
        </w:rPr>
        <w:t>. O transcurso do prazo definido na Subcláusula anterior, e de sua eventual prorrogação, sem que as contas tenham sido apreciadas:</w:t>
      </w:r>
    </w:p>
    <w:p w14:paraId="4A4ED0DD" w14:textId="77777777" w:rsidR="006C1FB7" w:rsidRDefault="006C1FB7" w:rsidP="006C1FB7">
      <w:pPr>
        <w:pStyle w:val="NormalWeb"/>
        <w:spacing w:before="0" w:beforeAutospacing="0" w:after="105" w:afterAutospacing="0"/>
        <w:jc w:val="both"/>
        <w:rPr>
          <w:color w:val="000000"/>
          <w:sz w:val="27"/>
          <w:szCs w:val="27"/>
        </w:rPr>
      </w:pPr>
      <w:r>
        <w:rPr>
          <w:rFonts w:ascii="Calibri" w:hAnsi="Calibri" w:cs="Calibri"/>
          <w:color w:val="000000"/>
        </w:rPr>
        <w:t>I - não impede que a OSC participe de outros chamamentos públicos e celebre novas parcerias; e</w:t>
      </w:r>
    </w:p>
    <w:p w14:paraId="4CAF7D42" w14:textId="77777777" w:rsidR="006C1FB7" w:rsidRDefault="006C1FB7" w:rsidP="006C1FB7">
      <w:pPr>
        <w:pStyle w:val="NormalWeb"/>
        <w:spacing w:before="0" w:beforeAutospacing="0" w:after="105" w:afterAutospacing="0"/>
        <w:jc w:val="both"/>
        <w:rPr>
          <w:color w:val="000000"/>
          <w:sz w:val="27"/>
          <w:szCs w:val="27"/>
        </w:rPr>
      </w:pPr>
      <w:r>
        <w:rPr>
          <w:rFonts w:ascii="Calibri" w:hAnsi="Calibri" w:cs="Calibri"/>
          <w:color w:val="000000"/>
        </w:rPr>
        <w:t>II - não implica impossibilidade de sua apreciação em data posterior ou vedação a que se adotem medidas saneadoras, punitivas ou destinadas a ressarcir danos que possam ter sido causados aos cofres públicos.</w:t>
      </w:r>
    </w:p>
    <w:p w14:paraId="0365380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vigésima quinta</w:t>
      </w:r>
      <w:r>
        <w:rPr>
          <w:rFonts w:ascii="Calibri" w:hAnsi="Calibri" w:cs="Calibri"/>
          <w:color w:val="000000"/>
        </w:rPr>
        <w:t>. Se o transcurso do prazo definido na Subcláusula vigésima terceira,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14:paraId="5D2413DA"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vigésima sexta</w:t>
      </w:r>
      <w:r>
        <w:rPr>
          <w:rFonts w:ascii="Calibri" w:hAnsi="Calibri" w:cs="Calibri"/>
          <w:color w:val="000000"/>
        </w:rPr>
        <w:t>. A prestação de contas e todos os atos que dela decorram dar-se-ão na plataforma Transferegov.br, permitindo a visualização por qualquer interessado.</w:t>
      </w:r>
    </w:p>
    <w:p w14:paraId="4C1A76D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vigésima sétima</w:t>
      </w:r>
      <w:r>
        <w:rPr>
          <w:rFonts w:ascii="Calibri" w:hAnsi="Calibri" w:cs="Calibri"/>
          <w:color w:val="000000"/>
        </w:rPr>
        <w:t>. Os documentos incluídos pela OSC na plataforma Transferegov.br, desde que possuam garantia da origem e de seu signatário por certificação digital, serão considerados originais para os efeitos de prestação de contas.</w:t>
      </w:r>
    </w:p>
    <w:p w14:paraId="2E4D545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vigésima oitava</w:t>
      </w:r>
      <w:r>
        <w:rPr>
          <w:rFonts w:ascii="Calibri" w:hAnsi="Calibri" w:cs="Calibri"/>
          <w:color w:val="000000"/>
        </w:rPr>
        <w:t>.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67A89532"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lastRenderedPageBreak/>
        <w:t> </w:t>
      </w:r>
    </w:p>
    <w:p w14:paraId="49707CF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DÉCIMA NONA – DAS SANÇÕES ADMINISTRATIVAS</w:t>
      </w:r>
    </w:p>
    <w:p w14:paraId="7B77462D" w14:textId="77777777" w:rsidR="006C1FB7" w:rsidRDefault="006C1FB7" w:rsidP="006C1FB7">
      <w:pPr>
        <w:pStyle w:val="NormalWeb"/>
        <w:spacing w:before="0" w:beforeAutospacing="0" w:after="105" w:afterAutospacing="0"/>
        <w:jc w:val="both"/>
        <w:rPr>
          <w:color w:val="000000"/>
          <w:sz w:val="27"/>
          <w:szCs w:val="27"/>
        </w:rPr>
      </w:pPr>
      <w:r>
        <w:rPr>
          <w:rFonts w:ascii="Calibri" w:hAnsi="Calibri" w:cs="Calibri"/>
          <w:color w:val="000000"/>
        </w:rPr>
        <w:t>Quando a execução da parceria estiver em desacordo com o plano de trabalho e com as normas da Lei nº 13.019, de 2014, do Decreto nº 8.726, de 2016, e da legislação específica, a Administração Pública poderá, garantida a prévia defesa:</w:t>
      </w:r>
    </w:p>
    <w:p w14:paraId="29CC37DE" w14:textId="77777777" w:rsidR="006C1FB7" w:rsidRDefault="006C1FB7" w:rsidP="006C1FB7">
      <w:pPr>
        <w:pStyle w:val="NormalWeb"/>
        <w:spacing w:before="0" w:beforeAutospacing="0" w:after="105" w:afterAutospacing="0"/>
        <w:jc w:val="both"/>
        <w:rPr>
          <w:color w:val="000000"/>
          <w:sz w:val="27"/>
          <w:szCs w:val="27"/>
        </w:rPr>
      </w:pPr>
      <w:r>
        <w:rPr>
          <w:rFonts w:ascii="Calibri" w:hAnsi="Calibri" w:cs="Calibri"/>
          <w:color w:val="000000"/>
        </w:rPr>
        <w:t>I – celebrar termo de ajustamento da conduta com a OSC;</w:t>
      </w:r>
    </w:p>
    <w:p w14:paraId="1A87FB8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II – aplicar, à OSC, as seguintes sanções:</w:t>
      </w:r>
    </w:p>
    <w:p w14:paraId="6DC8D5CF" w14:textId="77777777" w:rsidR="006C1FB7" w:rsidRDefault="006C1FB7" w:rsidP="006C1FB7">
      <w:pPr>
        <w:pStyle w:val="NormalWeb"/>
        <w:spacing w:before="0" w:beforeAutospacing="0" w:after="105" w:afterAutospacing="0"/>
        <w:ind w:left="420"/>
        <w:jc w:val="both"/>
        <w:rPr>
          <w:color w:val="000000"/>
          <w:sz w:val="27"/>
          <w:szCs w:val="27"/>
        </w:rPr>
      </w:pPr>
      <w:r>
        <w:rPr>
          <w:rFonts w:ascii="Calibri" w:hAnsi="Calibri" w:cs="Calibri"/>
          <w:color w:val="000000"/>
        </w:rPr>
        <w:t>a) advertência;</w:t>
      </w:r>
    </w:p>
    <w:p w14:paraId="4CBF64C1" w14:textId="77777777" w:rsidR="006C1FB7" w:rsidRDefault="006C1FB7" w:rsidP="006C1FB7">
      <w:pPr>
        <w:pStyle w:val="NormalWeb"/>
        <w:spacing w:before="0" w:beforeAutospacing="0" w:after="105" w:afterAutospacing="0"/>
        <w:ind w:left="420"/>
        <w:jc w:val="both"/>
        <w:rPr>
          <w:color w:val="000000"/>
          <w:sz w:val="27"/>
          <w:szCs w:val="27"/>
        </w:rPr>
      </w:pPr>
      <w:r>
        <w:rPr>
          <w:rFonts w:ascii="Calibri" w:hAnsi="Calibri" w:cs="Calibri"/>
          <w:color w:val="000000"/>
        </w:rPr>
        <w:t>b) suspensão temporária da participação em chamamento público e impedimento de celebrar parceria ou contrato com órgãos e entidades da Administração Pública Federal, por prazo não superior a 2 (dois) anos; e</w:t>
      </w:r>
    </w:p>
    <w:p w14:paraId="65891202" w14:textId="77777777" w:rsidR="006C1FB7" w:rsidRDefault="006C1FB7" w:rsidP="006C1FB7">
      <w:pPr>
        <w:pStyle w:val="NormalWeb"/>
        <w:spacing w:before="0" w:beforeAutospacing="0" w:after="165" w:afterAutospacing="0"/>
        <w:ind w:left="420"/>
        <w:jc w:val="both"/>
        <w:rPr>
          <w:color w:val="000000"/>
          <w:sz w:val="27"/>
          <w:szCs w:val="27"/>
        </w:rPr>
      </w:pPr>
      <w:r>
        <w:rPr>
          <w:rFonts w:ascii="Calibri" w:hAnsi="Calibri" w:cs="Calibri"/>
          <w:color w:val="000000"/>
        </w:rPr>
        <w:t>c) declaração de inidoneidade para participar de chamamento público ou celebrar parceria ou contrato com órgãos e entidades de todas as esferas de governo.</w:t>
      </w:r>
    </w:p>
    <w:p w14:paraId="5684C505"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primeira. </w:t>
      </w:r>
      <w:r>
        <w:rPr>
          <w:rFonts w:ascii="Calibri" w:hAnsi="Calibri" w:cs="Calibri"/>
          <w:color w:val="000000"/>
        </w:rPr>
        <w:t>A sanção de advertência tem caráter preventivo e será aplicada quando verificadas impropriedades praticadas pela OSC no âmbito da parceria que não justifiquem a aplicação de penalidade mais grave.</w:t>
      </w:r>
    </w:p>
    <w:p w14:paraId="3E87390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segunda</w:t>
      </w:r>
      <w:r>
        <w:rPr>
          <w:rFonts w:ascii="Calibri" w:hAnsi="Calibri" w:cs="Calibri"/>
          <w:color w:val="000000"/>
        </w:rPr>
        <w:t>.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p>
    <w:p w14:paraId="64A427DF"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terceira. </w:t>
      </w:r>
      <w:r>
        <w:rPr>
          <w:rFonts w:ascii="Calibri" w:hAnsi="Calibri" w:cs="Calibri"/>
          <w:color w:val="000000"/>
        </w:rPr>
        <w:t>A sanção de declaração de inidoneidade para participar de chamamento público e celebrar parceria ou contrato com órgãos e entidades de todas as esferas de governo produzirá efeitos enquanto perdurarem os motivos determinantes da punição ou até que seja promovida a reabilitação perante o Ministério do Empreendedorismo, da Microempresa e da Empresa de Pequeno Porte, que será concedida sempre que a OSC ressarcir a Administração Pública Federal pelos prejuízos resultantes e após decorrido o prazo de 2 (dois) anos da aplicação da sanção de declaração de inidoneidade.</w:t>
      </w:r>
    </w:p>
    <w:p w14:paraId="089A7DC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quarta. </w:t>
      </w:r>
      <w:r>
        <w:rPr>
          <w:rFonts w:ascii="Calibri" w:hAnsi="Calibri" w:cs="Calibri"/>
          <w:color w:val="000000"/>
        </w:rPr>
        <w:t>Nas hipóteses do inciso II do caput desta Cláusula, é facultada a defesa do interessado no prazo de 10 (dez) dias, contado da data de abertura de vista dos autos processuais.</w:t>
      </w:r>
    </w:p>
    <w:p w14:paraId="29D877D0"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quinta. </w:t>
      </w:r>
      <w:r>
        <w:rPr>
          <w:rFonts w:ascii="Calibri" w:hAnsi="Calibri" w:cs="Calibri"/>
          <w:color w:val="000000"/>
        </w:rPr>
        <w:t>A aplicação das sanções de suspensão temporária e de declaração de inidoneidade é de competência exclusiva do Ministro de Estado.</w:t>
      </w:r>
    </w:p>
    <w:p w14:paraId="707940B3"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sexta. </w:t>
      </w:r>
      <w:r>
        <w:rPr>
          <w:rFonts w:ascii="Calibri" w:hAnsi="Calibri" w:cs="Calibri"/>
          <w:color w:val="000000"/>
        </w:rPr>
        <w:t>Da decisão administrativa que aplicar as sanções previstas nesta Cláusula caberá recurso administrativo, no prazo de 10 (dez) dias, contado da data de ciência da decisão. No caso da competência exclusiva do Ministro de Estado prevista na Subcláusula anterior, o recurso cabível é o pedido de reconsideração.</w:t>
      </w:r>
    </w:p>
    <w:p w14:paraId="76B40092"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lastRenderedPageBreak/>
        <w:t>Subcláusula sétima. </w:t>
      </w:r>
      <w:r>
        <w:rPr>
          <w:rFonts w:ascii="Calibri" w:hAnsi="Calibri" w:cs="Calibri"/>
          <w:color w:val="000000"/>
        </w:rPr>
        <w:t>Na hipótese de aplicação de sanção de suspensão temporária ou de declaração de inidoneidade, a OSC deverá ser inscrita, cumulativamente, como inadimplente no Siafi e no Transferegov.br, enquanto perdurarem os efeitos da punição ou até que seja promovida a reabilitação.</w:t>
      </w:r>
    </w:p>
    <w:p w14:paraId="7286D074" w14:textId="77777777" w:rsidR="006C1FB7" w:rsidRDefault="006C1FB7" w:rsidP="006C1FB7">
      <w:pPr>
        <w:pStyle w:val="NormalWeb"/>
        <w:spacing w:before="0" w:beforeAutospacing="0" w:after="120" w:afterAutospacing="0"/>
        <w:jc w:val="both"/>
        <w:rPr>
          <w:color w:val="000000"/>
          <w:sz w:val="27"/>
          <w:szCs w:val="27"/>
        </w:rPr>
      </w:pPr>
      <w:r>
        <w:rPr>
          <w:rFonts w:ascii="Calibri" w:hAnsi="Calibri" w:cs="Calibri"/>
          <w:b/>
          <w:bCs/>
          <w:color w:val="000000"/>
        </w:rPr>
        <w:t>Subcláusula oitava. </w:t>
      </w:r>
      <w:r>
        <w:rPr>
          <w:rFonts w:ascii="Calibri" w:hAnsi="Calibri" w:cs="Calibri"/>
          <w:color w:val="000000"/>
        </w:rPr>
        <w:t>Prescrevem no prazo de 5 (cinco) anos as ações punitivas da Administração Pública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14:paraId="38F7F63D" w14:textId="77777777" w:rsidR="006C1FB7" w:rsidRDefault="006C1FB7" w:rsidP="006C1FB7">
      <w:pPr>
        <w:pStyle w:val="NormalWeb"/>
        <w:spacing w:before="0" w:beforeAutospacing="0" w:after="120" w:afterAutospacing="0"/>
        <w:jc w:val="both"/>
        <w:rPr>
          <w:color w:val="000000"/>
          <w:sz w:val="27"/>
          <w:szCs w:val="27"/>
        </w:rPr>
      </w:pPr>
      <w:r>
        <w:rPr>
          <w:color w:val="000000"/>
          <w:sz w:val="27"/>
          <w:szCs w:val="27"/>
        </w:rPr>
        <w:t> </w:t>
      </w:r>
    </w:p>
    <w:p w14:paraId="1BAE64F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VIGÉSIMA – DA GESTÃO DE INTEGRIDADE, RISCOS E CONTROLES INTERNOS</w:t>
      </w:r>
    </w:p>
    <w:p w14:paraId="0C652E28"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A execução do presente Termo de Fomento observará o disposto em ato da autoridade competente quanto à gestão de integridade, riscos e de controles internos.</w:t>
      </w:r>
    </w:p>
    <w:p w14:paraId="20A86BC1"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783A9FEE"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VIGÉSIMA PRIMEIRA – DA DIVULGAÇÃO</w:t>
      </w:r>
    </w:p>
    <w:p w14:paraId="7C165EF9"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Em razão do presente Termo de Fomento, a OSC se obriga a mencionar em todos os seus atos de promoção e divulgação do projeto, objeto desta parceria, por qualquer meio ou forma, a participação do Ministério do Empreendedorismo, da Microempresa e da Empresa de Pequeno Porte, de acordo com o Manual de Identidade Visual deste.</w:t>
      </w:r>
    </w:p>
    <w:p w14:paraId="01467DDB"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rPr>
        <w:t>Subcláusula única</w:t>
      </w:r>
      <w:r>
        <w:rPr>
          <w:rFonts w:ascii="Calibri" w:hAnsi="Calibri" w:cs="Calibri"/>
          <w:color w:val="000000"/>
        </w:rPr>
        <w:t>. 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w:t>
      </w:r>
    </w:p>
    <w:p w14:paraId="0856F6BB"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0B4411F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b/>
          <w:bCs/>
          <w:color w:val="000000"/>
          <w:shd w:val="clear" w:color="auto" w:fill="DBDBDB"/>
        </w:rPr>
        <w:t>CLÁUSULA VIGÉSIMA SEGUNDA – DA PUBLICAÇÃO</w:t>
      </w:r>
    </w:p>
    <w:p w14:paraId="4D711DC2" w14:textId="77777777" w:rsidR="006C1FB7" w:rsidRDefault="006C1FB7" w:rsidP="006C1FB7">
      <w:pPr>
        <w:pStyle w:val="NormalWeb"/>
        <w:spacing w:before="0" w:beforeAutospacing="0" w:after="165" w:afterAutospacing="0"/>
        <w:jc w:val="both"/>
        <w:rPr>
          <w:color w:val="000000"/>
          <w:sz w:val="27"/>
          <w:szCs w:val="27"/>
        </w:rPr>
      </w:pPr>
      <w:r>
        <w:rPr>
          <w:rFonts w:ascii="Calibri" w:hAnsi="Calibri" w:cs="Calibri"/>
          <w:color w:val="000000"/>
        </w:rPr>
        <w:t>A eficácia do presente Termo de Fomento ou dos aditamentos que impliquem em alteração de valor ou ampliação ou redução da execução do objeto descrito neste instrumento, fica condicionada à publicação do respectivo extrato no Diário Oficial da União, a qual deverá ser providenciada pelo Ministério do Empreendedorismo, da Microempresa e da Empresa de Pequeno Porte.</w:t>
      </w:r>
    </w:p>
    <w:p w14:paraId="078F7D73" w14:textId="77777777" w:rsidR="006C1FB7" w:rsidRDefault="006C1FB7" w:rsidP="006C1FB7">
      <w:pPr>
        <w:pStyle w:val="NormalWeb"/>
        <w:spacing w:before="0" w:beforeAutospacing="0" w:after="165" w:afterAutospacing="0"/>
        <w:jc w:val="both"/>
        <w:rPr>
          <w:color w:val="000000"/>
          <w:sz w:val="27"/>
          <w:szCs w:val="27"/>
        </w:rPr>
      </w:pPr>
      <w:r>
        <w:rPr>
          <w:color w:val="000000"/>
          <w:sz w:val="27"/>
          <w:szCs w:val="27"/>
        </w:rPr>
        <w:t> </w:t>
      </w:r>
    </w:p>
    <w:p w14:paraId="26CC5808" w14:textId="77777777" w:rsidR="006C1FB7" w:rsidRDefault="006C1FB7" w:rsidP="006C1FB7">
      <w:pPr>
        <w:pStyle w:val="NormalWeb"/>
        <w:spacing w:before="0" w:beforeAutospacing="0" w:after="60" w:afterAutospacing="0"/>
        <w:jc w:val="both"/>
        <w:rPr>
          <w:color w:val="000000"/>
          <w:sz w:val="27"/>
          <w:szCs w:val="27"/>
        </w:rPr>
      </w:pPr>
      <w:r>
        <w:rPr>
          <w:rFonts w:ascii="Calibri" w:hAnsi="Calibri" w:cs="Calibri"/>
          <w:b/>
          <w:bCs/>
          <w:color w:val="000000"/>
          <w:shd w:val="clear" w:color="auto" w:fill="DBDBDB"/>
        </w:rPr>
        <w:t>CLÁUSULA VIGÉSIMA TERCEIRA – DA CONCILIAÇÃO E DO FORO</w:t>
      </w:r>
    </w:p>
    <w:p w14:paraId="0859E7AD" w14:textId="77777777" w:rsidR="006C1FB7" w:rsidRDefault="006C1FB7" w:rsidP="006C1FB7">
      <w:pPr>
        <w:pStyle w:val="NormalWeb"/>
        <w:spacing w:before="0" w:beforeAutospacing="0" w:after="150" w:afterAutospacing="0"/>
        <w:jc w:val="both"/>
        <w:rPr>
          <w:color w:val="000000"/>
          <w:sz w:val="27"/>
          <w:szCs w:val="27"/>
        </w:rPr>
      </w:pPr>
      <w:r>
        <w:rPr>
          <w:rFonts w:ascii="Calibri" w:hAnsi="Calibri" w:cs="Calibri"/>
          <w:color w:val="000000"/>
        </w:rPr>
        <w:t xml:space="preserve">As controvérsias decorrentes da execução do presente Termo de Fomento que não puderem ser solucionadas diretamente por mútuo acordo entre os partícipes deverão ser encaminhadas ao órgão de consultoria e assessoramento jurídico do órgão ou entidade pública federal, sob a coordenação e supervisão da Câmara de Mediação e de Conciliação da Administração Pública Federal – CCAF, órgão da Advocacia-Geral da União, para prévia tentativa de conciliação e solução administrativa de dúvidas de natureza eminentemente jurídica relacionadas à execução da parceria, assegurada a </w:t>
      </w:r>
      <w:r>
        <w:rPr>
          <w:rFonts w:ascii="Calibri" w:hAnsi="Calibri" w:cs="Calibri"/>
          <w:color w:val="000000"/>
        </w:rPr>
        <w:lastRenderedPageBreak/>
        <w:t>prerrogativa de a OSC se fazer representar por advogado, observado o disposto no inciso XVII do caput do art. 42 da Lei nº 13.019, de 2014, no art. 88 do Decreto nº 8.726, de 2016, e em Ato do Advogado-Geral da União.</w:t>
      </w:r>
    </w:p>
    <w:p w14:paraId="7C19973C" w14:textId="77777777" w:rsidR="006C1FB7" w:rsidRDefault="006C1FB7" w:rsidP="006C1FB7">
      <w:pPr>
        <w:pStyle w:val="NormalWeb"/>
        <w:spacing w:before="0" w:beforeAutospacing="0" w:after="150" w:afterAutospacing="0"/>
        <w:jc w:val="both"/>
        <w:rPr>
          <w:color w:val="000000"/>
          <w:sz w:val="27"/>
          <w:szCs w:val="27"/>
        </w:rPr>
      </w:pPr>
      <w:r>
        <w:rPr>
          <w:rFonts w:ascii="Calibri" w:hAnsi="Calibri" w:cs="Calibri"/>
          <w:b/>
          <w:bCs/>
          <w:color w:val="000000"/>
        </w:rPr>
        <w:t>Subcláusula única</w:t>
      </w:r>
      <w:r>
        <w:rPr>
          <w:rFonts w:ascii="Calibri" w:hAnsi="Calibri" w:cs="Calibri"/>
          <w:color w:val="000000"/>
        </w:rPr>
        <w:t>. Não logrando êxito a tentativa de conciliação e solução administrativa, será competente para dirimir as questões decorrentes deste Termo de Fomento o foro da Justiça Federal, Seção Judiciária do Distrito Federal, por força do inciso I do art. 109 da Constituição Federal.</w:t>
      </w:r>
    </w:p>
    <w:p w14:paraId="7CCBCC42" w14:textId="77777777" w:rsidR="006C1FB7" w:rsidRDefault="006C1FB7" w:rsidP="006C1FB7">
      <w:pPr>
        <w:pStyle w:val="NormalWeb"/>
        <w:spacing w:before="0" w:beforeAutospacing="0" w:after="0" w:afterAutospacing="0"/>
        <w:jc w:val="both"/>
        <w:rPr>
          <w:color w:val="000000"/>
          <w:sz w:val="27"/>
          <w:szCs w:val="27"/>
        </w:rPr>
      </w:pPr>
      <w:r>
        <w:rPr>
          <w:color w:val="000000"/>
          <w:sz w:val="27"/>
          <w:szCs w:val="27"/>
        </w:rPr>
        <w:t> </w:t>
      </w:r>
    </w:p>
    <w:p w14:paraId="3167FCBC" w14:textId="77777777" w:rsidR="006C1FB7" w:rsidRDefault="006C1FB7" w:rsidP="006C1FB7">
      <w:pPr>
        <w:pStyle w:val="NormalWeb"/>
        <w:spacing w:before="0" w:beforeAutospacing="0" w:after="150" w:afterAutospacing="0"/>
        <w:jc w:val="both"/>
        <w:rPr>
          <w:color w:val="000000"/>
          <w:sz w:val="27"/>
          <w:szCs w:val="27"/>
        </w:rPr>
      </w:pPr>
      <w:r>
        <w:rPr>
          <w:rFonts w:ascii="Calibri" w:hAnsi="Calibri" w:cs="Calibri"/>
          <w:color w:val="000000"/>
        </w:rPr>
        <w:t>E, por assim estarem plenamente de acordo, os partícipes obrigam-se ao total e irrenunciável cumprimento dos termos do presente instrumento, o qual lido e achado conforme, assinam eletronicamente por meio dos seus representantes, para que produza seus jurídicos e legais efeitos, em Juízo ou fora dele.</w:t>
      </w:r>
    </w:p>
    <w:p w14:paraId="7D577C67" w14:textId="77777777" w:rsidR="006C1FB7" w:rsidRDefault="006C1FB7" w:rsidP="006C1FB7">
      <w:pPr>
        <w:pStyle w:val="NormalWeb"/>
        <w:spacing w:before="0" w:beforeAutospacing="0" w:after="60" w:afterAutospacing="0"/>
        <w:jc w:val="both"/>
        <w:rPr>
          <w:color w:val="000000"/>
          <w:sz w:val="27"/>
          <w:szCs w:val="27"/>
        </w:rPr>
      </w:pPr>
      <w:r>
        <w:rPr>
          <w:color w:val="000000"/>
          <w:sz w:val="27"/>
          <w:szCs w:val="27"/>
        </w:rPr>
        <w:t> </w:t>
      </w:r>
    </w:p>
    <w:p w14:paraId="204C7FE5" w14:textId="77777777" w:rsidR="006C1FB7" w:rsidRDefault="006C1FB7" w:rsidP="006C1FB7">
      <w:pPr>
        <w:pStyle w:val="NormalWeb"/>
        <w:spacing w:before="0" w:beforeAutospacing="0" w:after="165" w:afterAutospacing="0"/>
        <w:jc w:val="right"/>
        <w:rPr>
          <w:color w:val="000000"/>
          <w:sz w:val="27"/>
          <w:szCs w:val="27"/>
        </w:rPr>
      </w:pPr>
      <w:r>
        <w:rPr>
          <w:rFonts w:ascii="Calibri" w:hAnsi="Calibri" w:cs="Calibri"/>
          <w:color w:val="000000"/>
        </w:rPr>
        <w:t>Local/UF, XX de XXXX de 20XX</w:t>
      </w:r>
    </w:p>
    <w:p w14:paraId="31D32D10" w14:textId="77777777" w:rsidR="006C1FB7" w:rsidRDefault="006C1FB7" w:rsidP="006C1FB7">
      <w:pPr>
        <w:pStyle w:val="NormalWeb"/>
        <w:spacing w:before="0" w:beforeAutospacing="0" w:after="165" w:afterAutospacing="0"/>
        <w:jc w:val="right"/>
        <w:rPr>
          <w:color w:val="000000"/>
          <w:sz w:val="27"/>
          <w:szCs w:val="27"/>
        </w:rPr>
      </w:pPr>
      <w:r>
        <w:rPr>
          <w:color w:val="000000"/>
          <w:sz w:val="27"/>
          <w:szCs w:val="27"/>
        </w:rPr>
        <w:t> </w:t>
      </w:r>
    </w:p>
    <w:p w14:paraId="0D74937C" w14:textId="77777777" w:rsidR="006C1FB7" w:rsidRDefault="006C1FB7" w:rsidP="006C1FB7">
      <w:pPr>
        <w:pStyle w:val="NormalWeb"/>
        <w:spacing w:before="0" w:beforeAutospacing="0" w:after="165" w:afterAutospacing="0"/>
        <w:rPr>
          <w:color w:val="000000"/>
          <w:sz w:val="27"/>
          <w:szCs w:val="27"/>
        </w:rPr>
      </w:pPr>
      <w:r>
        <w:rPr>
          <w:rFonts w:ascii="Calibri" w:hAnsi="Calibri" w:cs="Calibri"/>
          <w:b/>
          <w:bCs/>
          <w:color w:val="000000"/>
        </w:rPr>
        <w:t>Pela Administração Pública:</w:t>
      </w:r>
    </w:p>
    <w:p w14:paraId="4C4AB943" w14:textId="77777777" w:rsidR="006C1FB7" w:rsidRDefault="006C1FB7" w:rsidP="006C1FB7">
      <w:pPr>
        <w:pStyle w:val="NormalWeb"/>
        <w:spacing w:before="0" w:beforeAutospacing="0" w:after="165" w:afterAutospacing="0"/>
        <w:rPr>
          <w:color w:val="000000"/>
          <w:sz w:val="27"/>
          <w:szCs w:val="27"/>
        </w:rPr>
      </w:pPr>
      <w:r>
        <w:rPr>
          <w:color w:val="000000"/>
          <w:sz w:val="27"/>
          <w:szCs w:val="27"/>
        </w:rPr>
        <w:t> </w:t>
      </w:r>
    </w:p>
    <w:p w14:paraId="69B22889" w14:textId="77777777" w:rsidR="006C1FB7" w:rsidRDefault="006C1FB7" w:rsidP="006C1FB7">
      <w:pPr>
        <w:pStyle w:val="NormalWeb"/>
        <w:spacing w:before="0" w:beforeAutospacing="0" w:after="0" w:afterAutospacing="0"/>
        <w:jc w:val="center"/>
        <w:rPr>
          <w:color w:val="000000"/>
          <w:sz w:val="27"/>
          <w:szCs w:val="27"/>
        </w:rPr>
      </w:pPr>
      <w:r>
        <w:rPr>
          <w:rStyle w:val="Forte"/>
          <w:rFonts w:ascii="Calibri" w:eastAsiaTheme="majorEastAsia" w:hAnsi="Calibri" w:cs="Calibri"/>
          <w:color w:val="000000"/>
        </w:rPr>
        <w:t>XXXXXXXXXXXXXXXXXXXXXXXXX</w:t>
      </w:r>
    </w:p>
    <w:p w14:paraId="72CA10DE" w14:textId="77777777" w:rsidR="006C1FB7" w:rsidRDefault="006C1FB7" w:rsidP="006C1FB7">
      <w:pPr>
        <w:pStyle w:val="NormalWeb"/>
        <w:spacing w:before="0" w:beforeAutospacing="0" w:after="0" w:afterAutospacing="0"/>
        <w:jc w:val="center"/>
        <w:rPr>
          <w:color w:val="000000"/>
          <w:sz w:val="27"/>
          <w:szCs w:val="27"/>
        </w:rPr>
      </w:pPr>
      <w:r>
        <w:rPr>
          <w:rFonts w:ascii="Calibri" w:hAnsi="Calibri" w:cs="Calibri"/>
          <w:color w:val="000000"/>
        </w:rPr>
        <w:t>Ministro de Estado</w:t>
      </w:r>
      <w:r>
        <w:rPr>
          <w:rFonts w:ascii="Calibri" w:hAnsi="Calibri" w:cs="Calibri"/>
          <w:i/>
          <w:iCs/>
          <w:color w:val="000000"/>
          <w:sz w:val="22"/>
          <w:szCs w:val="22"/>
        </w:rPr>
        <w:t> </w:t>
      </w:r>
      <w:r>
        <w:rPr>
          <w:rFonts w:ascii="Calibri" w:hAnsi="Calibri" w:cs="Calibri"/>
          <w:color w:val="000000"/>
        </w:rPr>
        <w:t>do Empreendedorismo, da Microempresa e da Empresa de Pequeno Porte</w:t>
      </w:r>
    </w:p>
    <w:p w14:paraId="4CF61394" w14:textId="77777777" w:rsidR="006C1FB7" w:rsidRDefault="006C1FB7" w:rsidP="006C1FB7">
      <w:pPr>
        <w:pStyle w:val="NormalWeb"/>
        <w:spacing w:before="0" w:beforeAutospacing="0" w:after="165" w:afterAutospacing="0"/>
        <w:rPr>
          <w:color w:val="000000"/>
          <w:sz w:val="27"/>
          <w:szCs w:val="27"/>
        </w:rPr>
      </w:pPr>
      <w:r>
        <w:rPr>
          <w:color w:val="000000"/>
          <w:sz w:val="27"/>
          <w:szCs w:val="27"/>
        </w:rPr>
        <w:t> </w:t>
      </w:r>
    </w:p>
    <w:p w14:paraId="1759E338" w14:textId="77777777" w:rsidR="006C1FB7" w:rsidRDefault="006C1FB7" w:rsidP="006C1FB7">
      <w:pPr>
        <w:pStyle w:val="NormalWeb"/>
        <w:spacing w:before="0" w:beforeAutospacing="0" w:after="165" w:afterAutospacing="0"/>
        <w:rPr>
          <w:color w:val="000000"/>
          <w:sz w:val="27"/>
          <w:szCs w:val="27"/>
        </w:rPr>
      </w:pPr>
      <w:r>
        <w:rPr>
          <w:color w:val="000000"/>
          <w:sz w:val="27"/>
          <w:szCs w:val="27"/>
        </w:rPr>
        <w:t> </w:t>
      </w:r>
    </w:p>
    <w:p w14:paraId="6E6E95A3" w14:textId="77777777" w:rsidR="006C1FB7" w:rsidRDefault="006C1FB7" w:rsidP="006C1FB7">
      <w:pPr>
        <w:pStyle w:val="NormalWeb"/>
        <w:spacing w:before="0" w:beforeAutospacing="0" w:after="165" w:afterAutospacing="0"/>
        <w:rPr>
          <w:color w:val="000000"/>
          <w:sz w:val="27"/>
          <w:szCs w:val="27"/>
        </w:rPr>
      </w:pPr>
      <w:r>
        <w:rPr>
          <w:rFonts w:ascii="Calibri" w:hAnsi="Calibri" w:cs="Calibri"/>
          <w:b/>
          <w:bCs/>
          <w:color w:val="000000"/>
        </w:rPr>
        <w:t>Pela OSC:</w:t>
      </w:r>
    </w:p>
    <w:p w14:paraId="236F7432" w14:textId="77777777" w:rsidR="006C1FB7" w:rsidRDefault="006C1FB7" w:rsidP="006C1FB7">
      <w:pPr>
        <w:pStyle w:val="NormalWeb"/>
        <w:spacing w:before="0" w:beforeAutospacing="0" w:after="0" w:afterAutospacing="0"/>
        <w:jc w:val="center"/>
        <w:rPr>
          <w:color w:val="000000"/>
          <w:sz w:val="27"/>
          <w:szCs w:val="27"/>
        </w:rPr>
      </w:pPr>
      <w:r>
        <w:rPr>
          <w:rStyle w:val="Forte"/>
          <w:rFonts w:ascii="Calibri" w:eastAsiaTheme="majorEastAsia" w:hAnsi="Calibri" w:cs="Calibri"/>
          <w:color w:val="000000"/>
        </w:rPr>
        <w:t>XXXXXXXXXXXXXXXXXXXXXXXXX</w:t>
      </w:r>
    </w:p>
    <w:p w14:paraId="05C95DE3" w14:textId="77777777" w:rsidR="006C1FB7" w:rsidRDefault="006C1FB7" w:rsidP="006C1FB7">
      <w:pPr>
        <w:pStyle w:val="NormalWeb"/>
        <w:spacing w:before="0" w:beforeAutospacing="0" w:after="0" w:afterAutospacing="0"/>
        <w:jc w:val="center"/>
        <w:rPr>
          <w:color w:val="000000"/>
          <w:sz w:val="27"/>
          <w:szCs w:val="27"/>
        </w:rPr>
      </w:pPr>
      <w:r>
        <w:rPr>
          <w:rFonts w:ascii="Calibri" w:hAnsi="Calibri" w:cs="Calibri"/>
          <w:color w:val="000000"/>
        </w:rPr>
        <w:t>Cargo do(a) representante legal</w:t>
      </w:r>
    </w:p>
    <w:p w14:paraId="584198BF" w14:textId="77777777" w:rsidR="00083987" w:rsidRDefault="00083987"/>
    <w:sectPr w:rsidR="00083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F0"/>
    <w:rsid w:val="00083987"/>
    <w:rsid w:val="001575D7"/>
    <w:rsid w:val="0020363B"/>
    <w:rsid w:val="006C1FB7"/>
    <w:rsid w:val="007E33B7"/>
    <w:rsid w:val="008C42F0"/>
    <w:rsid w:val="00C35C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9E94"/>
  <w15:chartTrackingRefBased/>
  <w15:docId w15:val="{ABD2C459-69CC-460B-9183-F83955DF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B7"/>
    <w:pPr>
      <w:spacing w:after="120" w:line="240" w:lineRule="auto"/>
      <w:jc w:val="both"/>
    </w:pPr>
    <w:rPr>
      <w:rFonts w:ascii="Calibri" w:hAnsi="Calibri"/>
    </w:rPr>
  </w:style>
  <w:style w:type="paragraph" w:styleId="Ttulo1">
    <w:name w:val="heading 1"/>
    <w:basedOn w:val="Normal"/>
    <w:next w:val="Normal"/>
    <w:link w:val="Ttulo1Char"/>
    <w:uiPriority w:val="9"/>
    <w:qFormat/>
    <w:rsid w:val="008C4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C4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C42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C42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8C42F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8C42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8C42F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8C42F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8C42F0"/>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42F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C42F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C42F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C42F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C42F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C42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42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42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42F0"/>
    <w:rPr>
      <w:rFonts w:eastAsiaTheme="majorEastAsia" w:cstheme="majorBidi"/>
      <w:color w:val="272727" w:themeColor="text1" w:themeTint="D8"/>
    </w:rPr>
  </w:style>
  <w:style w:type="paragraph" w:styleId="Ttulo">
    <w:name w:val="Title"/>
    <w:basedOn w:val="Normal"/>
    <w:next w:val="Normal"/>
    <w:link w:val="TtuloChar"/>
    <w:uiPriority w:val="10"/>
    <w:qFormat/>
    <w:rsid w:val="008C42F0"/>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42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42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42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42F0"/>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8C42F0"/>
    <w:rPr>
      <w:rFonts w:ascii="Calibri" w:hAnsi="Calibri"/>
      <w:i/>
      <w:iCs/>
      <w:color w:val="404040" w:themeColor="text1" w:themeTint="BF"/>
    </w:rPr>
  </w:style>
  <w:style w:type="paragraph" w:styleId="PargrafodaLista">
    <w:name w:val="List Paragraph"/>
    <w:basedOn w:val="Normal"/>
    <w:uiPriority w:val="34"/>
    <w:qFormat/>
    <w:rsid w:val="008C42F0"/>
    <w:pPr>
      <w:ind w:left="720"/>
      <w:contextualSpacing/>
    </w:pPr>
  </w:style>
  <w:style w:type="character" w:styleId="nfaseIntensa">
    <w:name w:val="Intense Emphasis"/>
    <w:basedOn w:val="Fontepargpadro"/>
    <w:uiPriority w:val="21"/>
    <w:qFormat/>
    <w:rsid w:val="008C42F0"/>
    <w:rPr>
      <w:i/>
      <w:iCs/>
      <w:color w:val="0F4761" w:themeColor="accent1" w:themeShade="BF"/>
    </w:rPr>
  </w:style>
  <w:style w:type="paragraph" w:styleId="CitaoIntensa">
    <w:name w:val="Intense Quote"/>
    <w:basedOn w:val="Normal"/>
    <w:next w:val="Normal"/>
    <w:link w:val="CitaoIntensaChar"/>
    <w:uiPriority w:val="30"/>
    <w:qFormat/>
    <w:rsid w:val="008C4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C42F0"/>
    <w:rPr>
      <w:rFonts w:ascii="Calibri" w:hAnsi="Calibri"/>
      <w:i/>
      <w:iCs/>
      <w:color w:val="0F4761" w:themeColor="accent1" w:themeShade="BF"/>
    </w:rPr>
  </w:style>
  <w:style w:type="character" w:styleId="RefernciaIntensa">
    <w:name w:val="Intense Reference"/>
    <w:basedOn w:val="Fontepargpadro"/>
    <w:uiPriority w:val="32"/>
    <w:qFormat/>
    <w:rsid w:val="008C42F0"/>
    <w:rPr>
      <w:b/>
      <w:bCs/>
      <w:smallCaps/>
      <w:color w:val="0F4761" w:themeColor="accent1" w:themeShade="BF"/>
      <w:spacing w:val="5"/>
    </w:rPr>
  </w:style>
  <w:style w:type="paragraph" w:styleId="NormalWeb">
    <w:name w:val="Normal (Web)"/>
    <w:basedOn w:val="Normal"/>
    <w:uiPriority w:val="99"/>
    <w:semiHidden/>
    <w:unhideWhenUsed/>
    <w:rsid w:val="006C1FB7"/>
    <w:pPr>
      <w:spacing w:before="100" w:beforeAutospacing="1" w:after="100" w:afterAutospacing="1"/>
      <w:jc w:val="left"/>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6C1FB7"/>
    <w:rPr>
      <w:i/>
      <w:iCs/>
    </w:rPr>
  </w:style>
  <w:style w:type="character" w:styleId="Hyperlink">
    <w:name w:val="Hyperlink"/>
    <w:basedOn w:val="Fontepargpadro"/>
    <w:uiPriority w:val="99"/>
    <w:semiHidden/>
    <w:unhideWhenUsed/>
    <w:rsid w:val="006C1FB7"/>
    <w:rPr>
      <w:color w:val="0000FF"/>
      <w:u w:val="single"/>
    </w:rPr>
  </w:style>
  <w:style w:type="character" w:styleId="Forte">
    <w:name w:val="Strong"/>
    <w:basedOn w:val="Fontepargpadro"/>
    <w:uiPriority w:val="22"/>
    <w:qFormat/>
    <w:rsid w:val="006C1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11892</Words>
  <Characters>64223</Characters>
  <Application>Microsoft Office Word</Application>
  <DocSecurity>0</DocSecurity>
  <Lines>535</Lines>
  <Paragraphs>151</Paragraphs>
  <ScaleCrop>false</ScaleCrop>
  <Company/>
  <LinksUpToDate>false</LinksUpToDate>
  <CharactersWithSpaces>75964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Maciel Costa Oliveira</dc:creator>
  <cp:keywords/>
  <dc:description/>
  <cp:lastModifiedBy>Thiago Maciel Costa Oliveira</cp:lastModifiedBy>
  <cp:revision>2</cp:revision>
  <dcterms:created xsi:type="dcterms:W3CDTF">2026-02-25T15:34:00Z</dcterms:created>
  <dcterms:modified xsi:type="dcterms:W3CDTF">2026-02-25T15:35:00Z</dcterms:modified>
</cp:coreProperties>
</file>