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832F" w14:textId="77777777" w:rsidR="00502FFE" w:rsidRDefault="00502FFE" w:rsidP="00502FFE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b/>
          <w:bCs/>
          <w:color w:val="000000"/>
        </w:rPr>
        <w:t>ANEXO V</w:t>
      </w:r>
    </w:p>
    <w:p w14:paraId="5F5D6FB3" w14:textId="77777777" w:rsidR="00502FFE" w:rsidRDefault="00502FFE" w:rsidP="00502FFE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b/>
          <w:bCs/>
          <w:color w:val="000000"/>
        </w:rPr>
        <w:t>ROTEIRO PARA ELABORAÇÃO DA PROPOSTA</w:t>
      </w:r>
    </w:p>
    <w:p w14:paraId="1E9306C3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772D6D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>A elaboração da proposta pela Organização da Sociedade Civil (OSC) deverá observar as orientações deste roteiro, que servirá como base para o preenchimento da Proposta de Plano de Trabalho (Anexo IV) e para a avaliação da Comissão de Seleção conforme os critérios estabelecidos no Edital.</w:t>
      </w:r>
    </w:p>
    <w:p w14:paraId="3C16661F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>Considerando que o instrumento jurídico adotado é o Termo de Fomento, a Administração Pública reconhece que a concepção do projeto pertence à OSC, cabendo a esta detalhar a metodologia, as técnicas e as inovações que julgar mais adequadas para o alcance dos resultados, desde que respeitados o objeto e o teto orçamentário previstos. A proposta deve ser estruturada de modo a demonstrar clareza, coerência e viabilidade técnica, permitindo uma análise objetiva de seu mérito e de sua capacidade de gerar impacto social.</w:t>
      </w:r>
    </w:p>
    <w:p w14:paraId="42587D97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 xml:space="preserve">O ponto de partida para a construção da proposta deve ser a descrição detalhada da realidade objeto da parceria, na qual a entidade deverá demonstrar um diagnóstico robusto do território e do contexto socioeconômico onde o projeto será executado. É fundamental que a OSC evidencie o nexo causal entre o problema público identificado — seja ele a informalidade, a baixa produtividade, a falta de acesso a crédito ou a vulnerabilidade social — e a solução proposta, diferenciando claramente as causas das consequências. Nesse diagnóstico, deve-se caracterizar o público-alvo com precisão, distinguindo a população potencial daquela que será efetivamente atendida, e indicando critérios de priorização. Quando aplicável, a proposta deverá explicitar como promoverá a inclusão produtiva de grupos historicamente 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minorizados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 xml:space="preserve"> (v.g., mulheres, negros, indígenas, quilombolas) e a atuação em territórios com maiores vulnerabilidades, em consonância com a </w:t>
      </w:r>
      <w:hyperlink r:id="rId4" w:tgtFrame="_blank" w:history="1">
        <w:r>
          <w:rPr>
            <w:rStyle w:val="Hyperlink"/>
            <w:rFonts w:ascii="Calibri" w:eastAsiaTheme="majorEastAsia" w:hAnsi="Calibri" w:cs="Calibri"/>
          </w:rPr>
          <w:t>Portaria MEMP nº 153/2025</w:t>
        </w:r>
      </w:hyperlink>
      <w:r>
        <w:rPr>
          <w:rStyle w:val="dark-mode-color-black"/>
          <w:rFonts w:ascii="Calibri" w:eastAsiaTheme="majorEastAsia" w:hAnsi="Calibri" w:cs="Calibri"/>
          <w:color w:val="000000"/>
        </w:rPr>
        <w:t> e com os critérios de pontuação do Edital.</w:t>
      </w:r>
    </w:p>
    <w:p w14:paraId="57D6EAE3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>Na sequência, a proposta deve explicitar a aderência aos objetivos da política pública e ao planejamento institucional, conectando suas ações: (i) ao </w:t>
      </w:r>
      <w:hyperlink r:id="rId5" w:tgtFrame="_blank" w:history="1">
        <w:r>
          <w:rPr>
            <w:rStyle w:val="Hyperlink"/>
            <w:rFonts w:ascii="Calibri" w:eastAsiaTheme="majorEastAsia" w:hAnsi="Calibri" w:cs="Calibri"/>
          </w:rPr>
          <w:t>Programa 2802</w:t>
        </w:r>
      </w:hyperlink>
      <w:r>
        <w:rPr>
          <w:rStyle w:val="dark-mode-color-black"/>
          <w:rFonts w:ascii="Calibri" w:eastAsiaTheme="majorEastAsia" w:hAnsi="Calibri" w:cs="Calibri"/>
          <w:color w:val="000000"/>
        </w:rPr>
        <w:t> – Empreendedorismo e Inclusão Socioprodutiva do PPA 2024–2027, e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aos objetivos e iniciativas do Planejamento Estratégico Institucional – </w:t>
      </w:r>
      <w:hyperlink r:id="rId6" w:tgtFrame="_blank" w:history="1">
        <w:r>
          <w:rPr>
            <w:rStyle w:val="Hyperlink"/>
            <w:rFonts w:ascii="Calibri" w:eastAsiaTheme="majorEastAsia" w:hAnsi="Calibri" w:cs="Calibri"/>
          </w:rPr>
          <w:t>PEI MEMP 2024-2027</w:t>
        </w:r>
      </w:hyperlink>
      <w:r>
        <w:rPr>
          <w:rStyle w:val="dark-mode-color-black"/>
          <w:rFonts w:ascii="Calibri" w:eastAsiaTheme="majorEastAsia" w:hAnsi="Calibri" w:cs="Calibri"/>
          <w:color w:val="000000"/>
        </w:rPr>
        <w:t xml:space="preserve">, em especial no que se refere à melhoria do ambiente de negócios e ao estímulo ao desenvolvimento e competitividade de 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MEs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 xml:space="preserve">, 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EPPs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 xml:space="preserve"> e 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MEIs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. A entidade também deve demonstrar como sua iniciativa atende aos critérios específicos do Anexo III da Portaria MEMP nº 153/2025, com destaque para: (i) promoção da qualificação do ambiente institucional e regulatório voltado ao empreendedorismo, mediante a implementação de medidas que favoreçam a desburocratização, a segurança jurídica e a eficiência na abertura, operação e encerramento de negócios; e/ou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 estímulo ao aprimoramento da capacidade competitiva, à sustentabilidade econômica e à perenidade de Microempresas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MEs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), Empresas de Pequeno Porte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EPPs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e Microempreendedores Individuais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MEIs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), bem como fomento à inclusão socioprodutiva por meio de estratégias empreendedoras orientadas ao desenvolvimento local e territorial. Essa seção é crucial para comprovar que o projeto não é isolado, mas sim parte integrante de uma estratégia maior de desenvolvimento nacional, justificando o apoio estatal por meio do Termo de Fomento.</w:t>
      </w:r>
    </w:p>
    <w:p w14:paraId="6AFDE8EB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lastRenderedPageBreak/>
        <w:t>Além disso, a proposta deverá indicar como observará as diretrizes do art. 4º da Portaria MEMP nº 153/2025, especialmente: (i) desenvolvimento de capacidades individuais ou institucionais;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interesse público e contribuição ao desenvolvimento local, regional ou nacional;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transferência e absorção de conhecimento, tecnologias e experiências, em bases não comerciais;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iv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priorização de entes federativos com menores indicadores socioeconômicos; e (v) promoção da equidade de gênero, raça e etnia, quando pertinente ao desenho do projeto.</w:t>
      </w:r>
    </w:p>
    <w:p w14:paraId="29DD7323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>A metodologia de execução constitui o núcleo técnico da proposta e deve detalhar como as ações serão realizadas, evidenciando a qualidade, a relevância e a inovação do projeto. A OSC deve descrever (i) métodos e instrumentos a serem utilizados (inclusive digitais),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estratégias de mobilização e engajamento do público-alvo e dos atores institucionais envolvidos,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abordagem de capacitação e difusão de conhecimento, quando houver, e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iv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elementos de inovação e de replicabilidade. Espera-se que a proposta apresente diferenciais que potencializem os resultados, preenchendo lacunas de atuação estatal e oferecendo soluções criativas para os desafios enfrentados pelos empreendedores na ponta, o que será avaliado sob a ótica da capacidade de inovação e consistência conceitual da proposta. </w:t>
      </w:r>
    </w:p>
    <w:p w14:paraId="2F96D19E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Como parte integrante da metodologia, a proposta deve apresentar, obrigatoriamente, parâmetros claros sobre as medidas de acessibilidade que serão adotadas para pessoas com deficiência, pessoas com mobilidade reduzida e pessoas idosas, em cumprimento ao art. 9º, inciso VIII, do Decreto nº 8.726/2016. A OSC deve descrever como assegurará a acessibilidade nas diversas dimensões aplicáveis, tais como: (a) garantia de que os locais de realização das atividades (cursos, feiras, atendimentos) não possuam barreiras físicas, priorizando espaços com rampas, banheiros adaptados, sinalização tátil e rotas acessíveis; (b) previsão de recursos de tecnologia assistiva conforme a necessidade do público-alvo e o formato da ação (intérpretes de Libras, audiodescrição, legendagem em vídeos e materiais didáticos ou de divulgação em formatos acessíveis); e (c) estratégias para acolhimento adequado por parte da equipe técnica.</w:t>
      </w:r>
    </w:p>
    <w:p w14:paraId="47F47450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>Para garantir a viabilidade operacional, a proposta deve apresentar um plano de ação estruturado, contendo metas quantitativas e mensuráveis, indicadores de desempenho claros e um cronograma de execução exequível. As informações sobre as ações a serem executadas devem ser precisas, indicando os prazos para o cumprimento de cada etapa e os meios de verificação que serão utilizados para aferir o sucesso do projeto. A coerência entre o volume de atividades propostas, o tempo disponível para sua realização e os recursos humanos e materiais alocados é determinante para a pontuação da proposta, devendo a OSC evitar cronogramas irreais ou metas inalcançáveis que comprometam a efetividade da parceria.</w:t>
      </w:r>
    </w:p>
    <w:p w14:paraId="081EF9B5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dark-mode-color-black"/>
          <w:rFonts w:ascii="Calibri" w:eastAsiaTheme="majorEastAsia" w:hAnsi="Calibri" w:cs="Calibri"/>
          <w:color w:val="000000"/>
        </w:rPr>
        <w:t>Adicionalmente, a entidade proponente deve descrever sua capacidade técnico-operacional, relatando experiências prévias na gestão de atividades ou projetos de natureza semelhante ao objeto da parceria, com destaque para: (i) portfólio de realizações;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resultados alcançados;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iii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>) tempo de atuação e equipe técnica; (</w:t>
      </w:r>
      <w:proofErr w:type="spellStart"/>
      <w:r>
        <w:rPr>
          <w:rStyle w:val="dark-mode-color-black"/>
          <w:rFonts w:ascii="Calibri" w:eastAsiaTheme="majorEastAsia" w:hAnsi="Calibri" w:cs="Calibri"/>
          <w:color w:val="000000"/>
        </w:rPr>
        <w:t>iv</w:t>
      </w:r>
      <w:proofErr w:type="spellEnd"/>
      <w:r>
        <w:rPr>
          <w:rStyle w:val="dark-mode-color-black"/>
          <w:rFonts w:ascii="Calibri" w:eastAsiaTheme="majorEastAsia" w:hAnsi="Calibri" w:cs="Calibri"/>
          <w:color w:val="000000"/>
        </w:rPr>
        <w:t xml:space="preserve">) experiências em articulação institucional e atuação em rede; e (v) experiências em desenvolvimento de instrumentos, metodologias, capacitações e soluções aplicadas à melhoria do ambiente de negócios e ao fortalecimento de pequenos negócios. Embora a comprovação documental ocorra na fase de celebração, a descrição minuciosa das </w:t>
      </w:r>
      <w:r>
        <w:rPr>
          <w:rStyle w:val="dark-mode-color-black"/>
          <w:rFonts w:ascii="Calibri" w:eastAsiaTheme="majorEastAsia" w:hAnsi="Calibri" w:cs="Calibri"/>
          <w:color w:val="000000"/>
        </w:rPr>
        <w:lastRenderedPageBreak/>
        <w:t>experiências e capacidades na fase de proposta é obrigatória e será considerada para fins de pontuação.</w:t>
      </w:r>
    </w:p>
    <w:p w14:paraId="275E43A9" w14:textId="77777777" w:rsidR="00502FFE" w:rsidRDefault="00502FFE" w:rsidP="00502FFE">
      <w:pPr>
        <w:pStyle w:val="NormalWeb"/>
        <w:spacing w:before="0" w:beforeAutospacing="0" w:after="6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Por fim, a proposta deve apresentar o valor da proposta, observando que o valor do teto estabelecido no edital do chamamento público – R$ 32.000.000,00 (trinta e dois milhões de reais) – corresponde apenas ao valor máximo admitido para um Termo de Fomento específico, não constituindo parâmetro a ser necessariamente atingido. Assim, o orçamento proposto deve refletir exclusivamente os custos indispensáveis à execução do Plano de Trabalho, com previsão de receitas e estimativa de despesas compatíveis com os preços praticados no mercado e justificadas pela complexidade, abrangência e resultados esperados. A OSC deve zelar para que os custos indicados sejam necessários, adequados e proporcionais à complexidade e dimensão das ações propostas, sob pena de a proposta ser avaliada negativamente caso haja superdimensionamento, itens não essenciais ou ausência de justificativas, lembrando que a relação custo-benefício e a economicidade também são vetores de análise para a seleção da melhor proposta para a administração pública.</w:t>
      </w:r>
    </w:p>
    <w:p w14:paraId="0EF81063" w14:textId="77777777" w:rsidR="00083987" w:rsidRDefault="00083987"/>
    <w:sectPr w:rsidR="0008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5C"/>
    <w:rsid w:val="00083987"/>
    <w:rsid w:val="001575D7"/>
    <w:rsid w:val="0020363B"/>
    <w:rsid w:val="00502FFE"/>
    <w:rsid w:val="007E33B7"/>
    <w:rsid w:val="00985D5C"/>
    <w:rsid w:val="00C3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BD0A"/>
  <w15:chartTrackingRefBased/>
  <w15:docId w15:val="{3C18F762-7AED-45E7-AF6D-7EE0CBC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985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5D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5D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5D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5D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5D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5D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5D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5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5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5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5D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5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5D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5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5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5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5D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5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5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5D5C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5D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5D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5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5D5C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5D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F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dark-mode-color-black">
    <w:name w:val="dark-mode-color-black"/>
    <w:basedOn w:val="Fontepargpadro"/>
    <w:rsid w:val="00502FFE"/>
  </w:style>
  <w:style w:type="character" w:styleId="Hyperlink">
    <w:name w:val="Hyperlink"/>
    <w:basedOn w:val="Fontepargpadro"/>
    <w:uiPriority w:val="99"/>
    <w:semiHidden/>
    <w:unhideWhenUsed/>
    <w:rsid w:val="00502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emp/pt-br/acesso-a-informacao/governanca/planejamento-estrategico" TargetMode="External"/><Relationship Id="rId5" Type="http://schemas.openxmlformats.org/officeDocument/2006/relationships/hyperlink" Target="https://www.gov.br/memp/pt-br/acesso-a-informacao/acoes-e-programas/neoindustrializacao-ambiente-de-negocio-e-participacao-economica-internacional" TargetMode="External"/><Relationship Id="rId4" Type="http://schemas.openxmlformats.org/officeDocument/2006/relationships/hyperlink" Target="https://www.in.gov.br/web/dou/-/portaria-memp-n-153-de-8-de-agosto-de-2025-6480038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2</cp:revision>
  <dcterms:created xsi:type="dcterms:W3CDTF">2026-02-25T15:31:00Z</dcterms:created>
  <dcterms:modified xsi:type="dcterms:W3CDTF">2026-02-25T15:32:00Z</dcterms:modified>
</cp:coreProperties>
</file>