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8832F" w14:textId="77777777" w:rsidR="00502FFE" w:rsidRDefault="00502FFE" w:rsidP="00502FFE">
      <w:pPr>
        <w:pStyle w:val="NormalWeb"/>
        <w:spacing w:before="120" w:beforeAutospacing="0" w:after="120" w:afterAutospacing="0"/>
        <w:ind w:right="-240"/>
        <w:jc w:val="center"/>
        <w:rPr>
          <w:color w:val="000000"/>
          <w:sz w:val="27"/>
          <w:szCs w:val="27"/>
        </w:rPr>
      </w:pPr>
      <w:r>
        <w:rPr>
          <w:rStyle w:val="dark-mode-color-black"/>
          <w:rFonts w:ascii="Calibri" w:eastAsiaTheme="majorEastAsia" w:hAnsi="Calibri" w:cs="Calibri"/>
          <w:b/>
          <w:bCs/>
          <w:color w:val="000000"/>
        </w:rPr>
        <w:t>ANEXO V</w:t>
      </w:r>
    </w:p>
    <w:p w14:paraId="5F5D6FB3" w14:textId="77777777" w:rsidR="00502FFE" w:rsidRDefault="00502FFE" w:rsidP="00502FFE">
      <w:pPr>
        <w:pStyle w:val="NormalWeb"/>
        <w:spacing w:before="0" w:beforeAutospacing="0" w:after="165" w:afterAutospacing="0"/>
        <w:jc w:val="center"/>
        <w:rPr>
          <w:color w:val="000000"/>
          <w:sz w:val="27"/>
          <w:szCs w:val="27"/>
        </w:rPr>
      </w:pPr>
      <w:r>
        <w:rPr>
          <w:rStyle w:val="dark-mode-color-black"/>
          <w:rFonts w:ascii="Calibri" w:eastAsiaTheme="majorEastAsia" w:hAnsi="Calibri" w:cs="Calibri"/>
          <w:b/>
          <w:bCs/>
          <w:color w:val="000000"/>
        </w:rPr>
        <w:t>ROTEIRO PARA ELABORAÇÃO DA PROPOSTA</w:t>
      </w:r>
    </w:p>
    <w:p w14:paraId="1E9306C3" w14:textId="77777777" w:rsidR="00502FFE" w:rsidRDefault="00502FFE" w:rsidP="00502FFE">
      <w:pPr>
        <w:pStyle w:val="NormalWeb"/>
        <w:spacing w:before="0" w:beforeAutospacing="0" w:after="60" w:afterAutospacing="0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14:paraId="09772D6D" w14:textId="77777777" w:rsidR="00502FFE" w:rsidRDefault="00502FFE" w:rsidP="00502FFE">
      <w:pPr>
        <w:pStyle w:val="NormalWeb"/>
        <w:spacing w:before="0" w:beforeAutospacing="0" w:after="60" w:afterAutospacing="0"/>
        <w:ind w:firstLine="708"/>
        <w:jc w:val="both"/>
        <w:rPr>
          <w:color w:val="000000"/>
          <w:sz w:val="27"/>
          <w:szCs w:val="27"/>
        </w:rPr>
      </w:pPr>
      <w:r>
        <w:rPr>
          <w:rStyle w:val="dark-mode-color-black"/>
          <w:rFonts w:ascii="Calibri" w:eastAsiaTheme="majorEastAsia" w:hAnsi="Calibri" w:cs="Calibri"/>
          <w:color w:val="000000"/>
        </w:rPr>
        <w:t>A elaboração da proposta pela Organização da Sociedade Civil (OSC) deverá observar as orientações deste roteiro, que servirá como base para o preenchimento da Proposta de Plano de Trabalho (Anexo IV) e para a avaliação da Comissão de Seleção conforme os critérios estabelecidos no Edital.</w:t>
      </w:r>
    </w:p>
    <w:p w14:paraId="3C16661F" w14:textId="77777777" w:rsidR="00502FFE" w:rsidRDefault="00502FFE" w:rsidP="00502FFE">
      <w:pPr>
        <w:pStyle w:val="NormalWeb"/>
        <w:spacing w:before="0" w:beforeAutospacing="0" w:after="60" w:afterAutospacing="0"/>
        <w:ind w:firstLine="708"/>
        <w:jc w:val="both"/>
        <w:rPr>
          <w:color w:val="000000"/>
          <w:sz w:val="27"/>
          <w:szCs w:val="27"/>
        </w:rPr>
      </w:pPr>
      <w:r>
        <w:rPr>
          <w:rStyle w:val="dark-mode-color-black"/>
          <w:rFonts w:ascii="Calibri" w:eastAsiaTheme="majorEastAsia" w:hAnsi="Calibri" w:cs="Calibri"/>
          <w:color w:val="000000"/>
        </w:rPr>
        <w:t>Considerando que o instrumento jurídico adotado é o Termo de Fomento, a Administração Pública reconhece que a concepção do projeto pertence à OSC, cabendo a esta detalhar a metodologia, as técnicas e as inovações que julgar mais adequadas para o alcance dos resultados, desde que respeitados o objeto e o teto orçamentário previstos. A proposta deve ser estruturada de modo a demonstrar clareza, coerência e viabilidade técnica, permitindo uma análise objetiva de seu mérito e de sua capacidade de gerar impacto social.</w:t>
      </w:r>
    </w:p>
    <w:p w14:paraId="42587D97" w14:textId="77777777" w:rsidR="00502FFE" w:rsidRDefault="00502FFE" w:rsidP="00502FFE">
      <w:pPr>
        <w:pStyle w:val="NormalWeb"/>
        <w:spacing w:before="0" w:beforeAutospacing="0" w:after="60" w:afterAutospacing="0"/>
        <w:ind w:firstLine="708"/>
        <w:jc w:val="both"/>
        <w:rPr>
          <w:color w:val="000000"/>
          <w:sz w:val="27"/>
          <w:szCs w:val="27"/>
        </w:rPr>
      </w:pPr>
      <w:r>
        <w:rPr>
          <w:rStyle w:val="dark-mode-color-black"/>
          <w:rFonts w:ascii="Calibri" w:eastAsiaTheme="majorEastAsia" w:hAnsi="Calibri" w:cs="Calibri"/>
          <w:color w:val="000000"/>
        </w:rPr>
        <w:t xml:space="preserve">O ponto de partida para a construção da proposta deve ser a descrição detalhada da realidade objeto da parceria, na qual a entidade deverá demonstrar um diagnóstico robusto do território e do contexto socioeconômico onde o projeto será executado. É fundamental que a OSC evidencie o nexo causal entre o problema público identificado — seja ele a informalidade, a baixa produtividade, a falta de acesso a crédito ou a vulnerabilidade social — e a solução proposta, diferenciando claramente as causas das consequências. Nesse diagnóstico, deve-se caracterizar o público-alvo com precisão, distinguindo a população potencial daquela que será efetivamente atendida, e indicando critérios de priorização. Quando aplicável, a proposta deverá explicitar como promoverá a inclusão produtiva de grupos historicamente 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minorizados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 xml:space="preserve"> (v.g., mulheres, negros, indígenas, quilombolas) e a atuação em territórios com maiores vulnerabilidades, em consonância com a </w:t>
      </w:r>
      <w:hyperlink r:id="rId4" w:tgtFrame="_blank" w:history="1">
        <w:r>
          <w:rPr>
            <w:rStyle w:val="Hyperlink"/>
            <w:rFonts w:ascii="Calibri" w:eastAsiaTheme="majorEastAsia" w:hAnsi="Calibri" w:cs="Calibri"/>
          </w:rPr>
          <w:t>Portaria MEMP nº 153/2025</w:t>
        </w:r>
      </w:hyperlink>
      <w:r>
        <w:rPr>
          <w:rStyle w:val="dark-mode-color-black"/>
          <w:rFonts w:ascii="Calibri" w:eastAsiaTheme="majorEastAsia" w:hAnsi="Calibri" w:cs="Calibri"/>
          <w:color w:val="000000"/>
        </w:rPr>
        <w:t> e com os critérios de pontuação do Edital.</w:t>
      </w:r>
    </w:p>
    <w:p w14:paraId="57D6EAE3" w14:textId="77777777" w:rsidR="00502FFE" w:rsidRDefault="00502FFE" w:rsidP="00502FFE">
      <w:pPr>
        <w:pStyle w:val="NormalWeb"/>
        <w:spacing w:before="0" w:beforeAutospacing="0" w:after="60" w:afterAutospacing="0"/>
        <w:ind w:firstLine="708"/>
        <w:jc w:val="both"/>
        <w:rPr>
          <w:color w:val="000000"/>
          <w:sz w:val="27"/>
          <w:szCs w:val="27"/>
        </w:rPr>
      </w:pPr>
      <w:r>
        <w:rPr>
          <w:rStyle w:val="dark-mode-color-black"/>
          <w:rFonts w:ascii="Calibri" w:eastAsiaTheme="majorEastAsia" w:hAnsi="Calibri" w:cs="Calibri"/>
          <w:color w:val="000000"/>
        </w:rPr>
        <w:t>Na sequência, a proposta deve explicitar a aderência aos objetivos da política pública e ao planejamento institucional, conectando suas ações: (i) ao </w:t>
      </w:r>
      <w:hyperlink r:id="rId5" w:tgtFrame="_blank" w:history="1">
        <w:r>
          <w:rPr>
            <w:rStyle w:val="Hyperlink"/>
            <w:rFonts w:ascii="Calibri" w:eastAsiaTheme="majorEastAsia" w:hAnsi="Calibri" w:cs="Calibri"/>
          </w:rPr>
          <w:t>Programa 2802</w:t>
        </w:r>
      </w:hyperlink>
      <w:r>
        <w:rPr>
          <w:rStyle w:val="dark-mode-color-black"/>
          <w:rFonts w:ascii="Calibri" w:eastAsiaTheme="majorEastAsia" w:hAnsi="Calibri" w:cs="Calibri"/>
          <w:color w:val="000000"/>
        </w:rPr>
        <w:t> – Empreendedorismo e Inclusão Socioprodutiva do PPA 2024–2027, e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ii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 aos objetivos e iniciativas do Planejamento Estratégico Institucional – </w:t>
      </w:r>
      <w:hyperlink r:id="rId6" w:tgtFrame="_blank" w:history="1">
        <w:r>
          <w:rPr>
            <w:rStyle w:val="Hyperlink"/>
            <w:rFonts w:ascii="Calibri" w:eastAsiaTheme="majorEastAsia" w:hAnsi="Calibri" w:cs="Calibri"/>
          </w:rPr>
          <w:t>PEI MEMP 2024-2027</w:t>
        </w:r>
      </w:hyperlink>
      <w:r>
        <w:rPr>
          <w:rStyle w:val="dark-mode-color-black"/>
          <w:rFonts w:ascii="Calibri" w:eastAsiaTheme="majorEastAsia" w:hAnsi="Calibri" w:cs="Calibri"/>
          <w:color w:val="000000"/>
        </w:rPr>
        <w:t xml:space="preserve">, em especial no que se refere à melhoria do ambiente de negócios e ao estímulo ao desenvolvimento e competitividade de 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MEs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 xml:space="preserve">, 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EPPs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 xml:space="preserve"> e 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MEIs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. A entidade também deve demonstrar como sua iniciativa atende aos critérios específicos do Anexo III da Portaria MEMP nº 153/2025, com destaque para: (i) promoção da qualificação do ambiente institucional e regulatório voltado ao empreendedorismo, mediante a implementação de medidas que favoreçam a desburocratização, a segurança jurídica e a eficiência na abertura, operação e encerramento de negócios; e/ou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ii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 estímulo ao aprimoramento da capacidade competitiva, à sustentabilidade econômica e à perenidade de Microempresas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MEs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), Empresas de Pequeno Porte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EPPs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 e Microempreendedores Individuais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MEIs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), bem como fomento à inclusão socioprodutiva por meio de estratégias empreendedoras orientadas ao desenvolvimento local e territorial. Essa seção é crucial para comprovar que o projeto não é isolado, mas sim parte integrante de uma estratégia maior de desenvolvimento nacional, justificando o apoio estatal por meio do Termo de Fomento.</w:t>
      </w:r>
    </w:p>
    <w:p w14:paraId="6AFDE8EB" w14:textId="77777777" w:rsidR="00502FFE" w:rsidRDefault="00502FFE" w:rsidP="00502FFE">
      <w:pPr>
        <w:pStyle w:val="NormalWeb"/>
        <w:spacing w:before="0" w:beforeAutospacing="0" w:after="60" w:afterAutospacing="0"/>
        <w:ind w:firstLine="708"/>
        <w:jc w:val="both"/>
        <w:rPr>
          <w:color w:val="000000"/>
          <w:sz w:val="27"/>
          <w:szCs w:val="27"/>
        </w:rPr>
      </w:pPr>
      <w:r>
        <w:rPr>
          <w:rStyle w:val="dark-mode-color-black"/>
          <w:rFonts w:ascii="Calibri" w:eastAsiaTheme="majorEastAsia" w:hAnsi="Calibri" w:cs="Calibri"/>
          <w:color w:val="000000"/>
        </w:rPr>
        <w:lastRenderedPageBreak/>
        <w:t>Além disso, a proposta deverá indicar como observará as diretrizes do art. 4º da Portaria MEMP nº 153/2025, especialmente: (i) desenvolvimento de capacidades individuais ou institucionais;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ii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 interesse público e contribuição ao desenvolvimento local, regional ou nacional;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iii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 transferência e absorção de conhecimento, tecnologias e experiências, em bases não comerciais;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iv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 priorização de entes federativos com menores indicadores socioeconômicos; e (v) promoção da equidade de gênero, raça e etnia, quando pertinente ao desenho do projeto.</w:t>
      </w:r>
    </w:p>
    <w:p w14:paraId="29DD7323" w14:textId="77777777" w:rsidR="00502FFE" w:rsidRDefault="00502FFE" w:rsidP="00502FFE">
      <w:pPr>
        <w:pStyle w:val="NormalWeb"/>
        <w:spacing w:before="0" w:beforeAutospacing="0" w:after="60" w:afterAutospacing="0"/>
        <w:ind w:firstLine="708"/>
        <w:jc w:val="both"/>
        <w:rPr>
          <w:color w:val="000000"/>
          <w:sz w:val="27"/>
          <w:szCs w:val="27"/>
        </w:rPr>
      </w:pPr>
      <w:r>
        <w:rPr>
          <w:rStyle w:val="dark-mode-color-black"/>
          <w:rFonts w:ascii="Calibri" w:eastAsiaTheme="majorEastAsia" w:hAnsi="Calibri" w:cs="Calibri"/>
          <w:color w:val="000000"/>
        </w:rPr>
        <w:t>A metodologia de execução constitui o núcleo técnico da proposta e deve detalhar como as ações serão realizadas, evidenciando a qualidade, a relevância e a inovação do projeto. A OSC deve descrever (i) métodos e instrumentos a serem utilizados (inclusive digitais),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ii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 estratégias de mobilização e engajamento do público-alvo e dos atores institucionais envolvidos,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iii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 abordagem de capacitação e difusão de conhecimento, quando houver, e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iv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 elementos de inovação e de replicabilidade. Espera-se que a proposta apresente diferenciais que potencializem os resultados, preenchendo lacunas de atuação estatal e oferecendo soluções criativas para os desafios enfrentados pelos empreendedores na ponta, o que será avaliado sob a ótica da capacidade de inovação e consistência conceitual da proposta. </w:t>
      </w:r>
    </w:p>
    <w:p w14:paraId="2F96D19E" w14:textId="77777777" w:rsidR="00502FFE" w:rsidRDefault="00502FFE" w:rsidP="00502FFE">
      <w:pPr>
        <w:pStyle w:val="NormalWeb"/>
        <w:spacing w:before="0" w:beforeAutospacing="0" w:after="60" w:afterAutospacing="0"/>
        <w:ind w:firstLine="708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Como parte integrante da metodologia, a proposta deve apresentar, obrigatoriamente, parâmetros claros sobre as medidas de acessibilidade que serão adotadas para pessoas com deficiência, pessoas com mobilidade reduzida e pessoas idosas, em cumprimento ao art. 9º, inciso VIII, do Decreto nº 8.726/2016. A OSC deve descrever como assegurará a acessibilidade nas diversas dimensões aplicáveis, tais como: (a) garantia de que os locais de realização das atividades (cursos, feiras, atendimentos) não possuam barreiras físicas, priorizando espaços com rampas, banheiros adaptados, sinalização tátil e rotas acessíveis; (b) previsão de recursos de tecnologia assistiva conforme a necessidade do público-alvo e o formato da ação (intérpretes de Libras, audiodescrição, legendagem em vídeos e materiais didáticos ou de divulgação em formatos acessíveis); e (c) estratégias para acolhimento adequado por parte da equipe técnica.</w:t>
      </w:r>
    </w:p>
    <w:p w14:paraId="47F47450" w14:textId="77777777" w:rsidR="00502FFE" w:rsidRDefault="00502FFE" w:rsidP="00502FFE">
      <w:pPr>
        <w:pStyle w:val="NormalWeb"/>
        <w:spacing w:before="0" w:beforeAutospacing="0" w:after="60" w:afterAutospacing="0"/>
        <w:ind w:firstLine="708"/>
        <w:jc w:val="both"/>
        <w:rPr>
          <w:color w:val="000000"/>
          <w:sz w:val="27"/>
          <w:szCs w:val="27"/>
        </w:rPr>
      </w:pPr>
      <w:r>
        <w:rPr>
          <w:rStyle w:val="dark-mode-color-black"/>
          <w:rFonts w:ascii="Calibri" w:eastAsiaTheme="majorEastAsia" w:hAnsi="Calibri" w:cs="Calibri"/>
          <w:color w:val="000000"/>
        </w:rPr>
        <w:t>Para garantir a viabilidade operacional, a proposta deve apresentar um plano de ação estruturado, contendo metas quantitativas e mensuráveis, indicadores de desempenho claros e um cronograma de execução exequível. As informações sobre as ações a serem executadas devem ser precisas, indicando os prazos para o cumprimento de cada etapa e os meios de verificação que serão utilizados para aferir o sucesso do projeto. A coerência entre o volume de atividades propostas, o tempo disponível para sua realização e os recursos humanos e materiais alocados é determinante para a pontuação da proposta, devendo a OSC evitar cronogramas irreais ou metas inalcançáveis que comprometam a efetividade da parceria.</w:t>
      </w:r>
    </w:p>
    <w:p w14:paraId="081EF9B5" w14:textId="77777777" w:rsidR="00502FFE" w:rsidRDefault="00502FFE" w:rsidP="00502FFE">
      <w:pPr>
        <w:pStyle w:val="NormalWeb"/>
        <w:spacing w:before="0" w:beforeAutospacing="0" w:after="60" w:afterAutospacing="0"/>
        <w:ind w:firstLine="708"/>
        <w:jc w:val="both"/>
        <w:rPr>
          <w:color w:val="000000"/>
          <w:sz w:val="27"/>
          <w:szCs w:val="27"/>
        </w:rPr>
      </w:pPr>
      <w:r>
        <w:rPr>
          <w:rStyle w:val="dark-mode-color-black"/>
          <w:rFonts w:ascii="Calibri" w:eastAsiaTheme="majorEastAsia" w:hAnsi="Calibri" w:cs="Calibri"/>
          <w:color w:val="000000"/>
        </w:rPr>
        <w:t>Adicionalmente, a entidade proponente deve descrever sua capacidade técnico-operacional, relatando experiências prévias na gestão de atividades ou projetos de natureza semelhante ao objeto da parceria, com destaque para: (i) portfólio de realizações;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ii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 resultados alcançados;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iii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>) tempo de atuação e equipe técnica; (</w:t>
      </w:r>
      <w:proofErr w:type="spellStart"/>
      <w:r>
        <w:rPr>
          <w:rStyle w:val="dark-mode-color-black"/>
          <w:rFonts w:ascii="Calibri" w:eastAsiaTheme="majorEastAsia" w:hAnsi="Calibri" w:cs="Calibri"/>
          <w:color w:val="000000"/>
        </w:rPr>
        <w:t>iv</w:t>
      </w:r>
      <w:proofErr w:type="spellEnd"/>
      <w:r>
        <w:rPr>
          <w:rStyle w:val="dark-mode-color-black"/>
          <w:rFonts w:ascii="Calibri" w:eastAsiaTheme="majorEastAsia" w:hAnsi="Calibri" w:cs="Calibri"/>
          <w:color w:val="000000"/>
        </w:rPr>
        <w:t xml:space="preserve">) experiências em articulação institucional e atuação em rede; e (v) experiências em desenvolvimento de instrumentos, metodologias, capacitações e soluções aplicadas à melhoria do ambiente de negócios e ao fortalecimento de pequenos negócios. Embora a comprovação documental ocorra na fase de celebração, a descrição minuciosa das </w:t>
      </w:r>
      <w:r>
        <w:rPr>
          <w:rStyle w:val="dark-mode-color-black"/>
          <w:rFonts w:ascii="Calibri" w:eastAsiaTheme="majorEastAsia" w:hAnsi="Calibri" w:cs="Calibri"/>
          <w:color w:val="000000"/>
        </w:rPr>
        <w:lastRenderedPageBreak/>
        <w:t>experiências e capacidades na fase de proposta é obrigatória e será considerada para fins de pontuação.</w:t>
      </w:r>
    </w:p>
    <w:p w14:paraId="275E43A9" w14:textId="77777777" w:rsidR="00502FFE" w:rsidRDefault="00502FFE" w:rsidP="00502FFE">
      <w:pPr>
        <w:pStyle w:val="NormalWeb"/>
        <w:spacing w:before="0" w:beforeAutospacing="0" w:after="60" w:afterAutospacing="0"/>
        <w:ind w:firstLine="708"/>
        <w:jc w:val="both"/>
        <w:rPr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Por fim, a proposta deve apresentar o valor da proposta, observando que o valor do teto estabelecido no edital do chamamento público – R$ 32.000.000,00 (trinta e dois milhões de reais) – corresponde apenas ao valor máximo admitido para um Termo de Fomento específico, não constituindo parâmetro a ser necessariamente atingido. Assim, o orçamento proposto deve refletir exclusivamente os custos indispensáveis à execução do Plano de Trabalho, com previsão de receitas e estimativa de despesas compatíveis com os preços praticados no mercado e justificadas pela complexidade, abrangência e resultados esperados. A OSC deve zelar para que os custos indicados sejam necessários, adequados e proporcionais à complexidade e dimensão das ações propostas, sob pena de a proposta ser avaliada negativamente caso haja superdimensionamento, itens não essenciais ou ausência de justificativas, lembrando que a relação custo-benefício e a economicidade também são vetores de análise para a seleção da melhor proposta para a administração pública.</w:t>
      </w:r>
    </w:p>
    <w:p w14:paraId="0EF81063" w14:textId="77777777" w:rsidR="00083987" w:rsidRDefault="00083987"/>
    <w:sectPr w:rsidR="000839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D5C"/>
    <w:rsid w:val="00083987"/>
    <w:rsid w:val="001575D7"/>
    <w:rsid w:val="0020363B"/>
    <w:rsid w:val="00502FFE"/>
    <w:rsid w:val="007E33B7"/>
    <w:rsid w:val="00985D5C"/>
    <w:rsid w:val="00C3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ABD0A"/>
  <w15:chartTrackingRefBased/>
  <w15:docId w15:val="{3C18F762-7AED-45E7-AF6D-7EE0CBCBB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3B7"/>
    <w:pPr>
      <w:spacing w:after="120" w:line="240" w:lineRule="auto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985D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5D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5D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85D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85D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85D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85D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85D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85D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85D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85D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85D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85D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85D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85D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85D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85D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85D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85D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85D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85D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85D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85D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85D5C"/>
    <w:rPr>
      <w:rFonts w:ascii="Calibri" w:hAnsi="Calibri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85D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85D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85D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85D5C"/>
    <w:rPr>
      <w:rFonts w:ascii="Calibri" w:hAnsi="Calibri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85D5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02FF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customStyle="1" w:styleId="dark-mode-color-black">
    <w:name w:val="dark-mode-color-black"/>
    <w:basedOn w:val="Fontepargpadro"/>
    <w:rsid w:val="00502FFE"/>
  </w:style>
  <w:style w:type="character" w:styleId="Hyperlink">
    <w:name w:val="Hyperlink"/>
    <w:basedOn w:val="Fontepargpadro"/>
    <w:uiPriority w:val="99"/>
    <w:semiHidden/>
    <w:unhideWhenUsed/>
    <w:rsid w:val="00502F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br/memp/pt-br/acesso-a-informacao/governanca/planejamento-estrategico" TargetMode="External"/><Relationship Id="rId5" Type="http://schemas.openxmlformats.org/officeDocument/2006/relationships/hyperlink" Target="https://www.gov.br/memp/pt-br/acesso-a-informacao/acoes-e-programas/neoindustrializacao-ambiente-de-negocio-e-participacao-economica-internacional" TargetMode="External"/><Relationship Id="rId4" Type="http://schemas.openxmlformats.org/officeDocument/2006/relationships/hyperlink" Target="https://www.in.gov.br/web/dou/-/portaria-memp-n-153-de-8-de-agosto-de-2025-64800387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1319</Words>
  <Characters>7124</Characters>
  <Application>Microsoft Office Word</Application>
  <DocSecurity>0</DocSecurity>
  <Lines>59</Lines>
  <Paragraphs>16</Paragraphs>
  <ScaleCrop>false</ScaleCrop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Maciel Costa Oliveira</dc:creator>
  <cp:keywords/>
  <dc:description/>
  <cp:lastModifiedBy>Thiago Maciel Costa Oliveira</cp:lastModifiedBy>
  <cp:revision>2</cp:revision>
  <dcterms:created xsi:type="dcterms:W3CDTF">2026-02-25T15:31:00Z</dcterms:created>
  <dcterms:modified xsi:type="dcterms:W3CDTF">2026-02-25T15:32:00Z</dcterms:modified>
</cp:coreProperties>
</file>