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rFonts w:eastAsia="Times New Roman"/>
          <w:b/>
        </w:rPr>
        <w:t xml:space="preserve"> </w:t>
      </w:r>
      <w:r>
        <w:rPr>
          <w:rFonts w:eastAsia="Times New Roman"/>
          <w:b/>
          <w:color w:val="FF0000"/>
        </w:rPr>
        <w:t>(PROPOSTA)</w:t>
      </w:r>
      <w:r>
        <w:rPr>
          <w:rFonts w:eastAsia="Times New Roman"/>
          <w:b/>
        </w:rPr>
        <w:t xml:space="preserve"> </w:t>
      </w:r>
      <w:r>
        <w:rPr>
          <w:rFonts w:cs="TimesNewRomanPSMT" w:eastAsia="TimesNewRomanPSMT"/>
          <w:b/>
        </w:rPr>
        <w:t>MOÇÃO Nº ___, DE ___________ DE 2013</w:t>
      </w:r>
      <w:r>
        <w:rPr>
          <w:rFonts w:cs="TimesNewRomanPSMT" w:eastAsia="TimesNewRomanPSMT"/>
        </w:rPr>
        <w:t>.</w:t>
      </w:r>
      <w:r>
        <w:rPr>
          <w:rFonts w:cs="TimesNewRomanPSMT" w:eastAsia="TimesNewRomanPSMT"/>
          <w:i/>
        </w:rPr>
        <w:br/>
      </w:r>
    </w:p>
    <w:p>
      <w:pPr>
        <w:pStyle w:val="style0"/>
        <w:spacing w:line="200" w:lineRule="atLeast"/>
        <w:ind w:hanging="0" w:left="4973" w:right="0"/>
        <w:jc w:val="both"/>
      </w:pPr>
      <w:r>
        <w:rPr>
          <w:rFonts w:cs="TimesNewRomanPS-ItalicMT" w:eastAsia="TimesNewRomanPS-ItalicMT"/>
          <w:i/>
          <w:iCs/>
          <w:color w:val="000000"/>
        </w:rPr>
        <w:t xml:space="preserve">Recomenda ao Ministério de Minas e Energia, Conselho Nacional de Políticas Energéticas e à Agência Nacional do Petróleo, Gás Natural e Biocombustíveis a realização de estudos que ofereçam melhor conhecimento, tanto sobre as propriedades intrínsecas das jazidas e as condições de sua exploração, como das consequências ambientais dessa atividade, antes de permitir a explotação do gás de xisto, garantindo assim segurança hídrica. </w:t>
      </w:r>
    </w:p>
    <w:p>
      <w:pPr>
        <w:pStyle w:val="style0"/>
        <w:spacing w:line="200" w:lineRule="atLeast"/>
        <w:ind w:hanging="0" w:left="4973" w:right="0"/>
        <w:jc w:val="both"/>
      </w:pPr>
      <w:r>
        <w:rPr/>
      </w:r>
    </w:p>
    <w:p>
      <w:pPr>
        <w:pStyle w:val="style0"/>
        <w:spacing w:after="120" w:before="0" w:line="238" w:lineRule="exact"/>
        <w:contextualSpacing w:val="false"/>
        <w:jc w:val="both"/>
      </w:pPr>
      <w:r>
        <w:rPr>
          <w:rFonts w:cs="TimesNewRomanPSMT" w:eastAsia="TimesNewRomanPSMT"/>
          <w:color w:val="000000"/>
        </w:rPr>
        <w:tab/>
        <w:t xml:space="preserve">O </w:t>
      </w:r>
      <w:r>
        <w:rPr>
          <w:rFonts w:cs="TimesNewRomanPS-BoldMT" w:eastAsia="TimesNewRomanPS-BoldMT"/>
          <w:b/>
          <w:bCs/>
          <w:color w:val="000000"/>
        </w:rPr>
        <w:t>CONSELHO NACIONAL DE RECURSOS HÍDRICOS</w:t>
      </w:r>
      <w:r>
        <w:rPr>
          <w:rFonts w:cs="TimesNewRomanPS-BoldMT" w:eastAsia="TimesNewRomanPS-BoldMT"/>
          <w:b/>
          <w:bCs/>
          <w:color w:val="000000"/>
        </w:rPr>
        <w:t xml:space="preserve"> – </w:t>
      </w:r>
      <w:r>
        <w:rPr>
          <w:rFonts w:cs="TimesNewRomanPS-BoldMT" w:eastAsia="TimesNewRomanPS-BoldMT"/>
          <w:b/>
          <w:bCs/>
          <w:color w:val="000000"/>
        </w:rPr>
        <w:t>CNRH</w:t>
      </w:r>
      <w:r>
        <w:rPr>
          <w:rFonts w:cs="TimesNewRomanPSMT" w:eastAsia="TimesNewRomanPSMT"/>
          <w:color w:val="000000"/>
        </w:rPr>
        <w:t>, no uso das competências que lhe são conferidas pelas Leis n</w:t>
      </w:r>
      <w:r>
        <w:rPr>
          <w:rFonts w:cs="TimesNewRomanPSMT" w:eastAsia="TimesNewRomanPSMT"/>
          <w:color w:val="000000"/>
          <w:u w:val="single"/>
          <w:vertAlign w:val="superscript"/>
        </w:rPr>
        <w:t>os</w:t>
      </w:r>
      <w:r>
        <w:rPr>
          <w:rFonts w:cs="TimesNewRomanPSMT" w:eastAsia="TimesNewRomanPSMT"/>
          <w:color w:val="000000"/>
        </w:rPr>
        <w:t xml:space="preserve"> 9.433, de 8 de janeiro de 1997, e 9.984, de 17 de julho de 2000, e tendo em vista o disposto em seu Regimento Interno, anexo à Portaria MMA n</w:t>
      </w:r>
      <w:r>
        <w:rPr>
          <w:rFonts w:cs="TimesNewRomanPSMT" w:eastAsia="TimesNewRomanPSMT"/>
          <w:color w:val="000000"/>
          <w:u w:val="single"/>
          <w:vertAlign w:val="superscript"/>
        </w:rPr>
        <w:t>o</w:t>
      </w:r>
      <w:r>
        <w:rPr>
          <w:rFonts w:cs="TimesNewRomanPSMT" w:eastAsia="TimesNewRomanPSMT"/>
          <w:color w:val="000000"/>
        </w:rPr>
        <w:t xml:space="preserve"> 377, de 19 de setembro de 2003, e</w:t>
      </w:r>
    </w:p>
    <w:p>
      <w:pPr>
        <w:pStyle w:val="style0"/>
        <w:spacing w:after="120" w:before="0" w:line="240" w:lineRule="exact"/>
        <w:ind w:firstLine="709" w:left="0" w:right="0"/>
        <w:contextualSpacing w:val="false"/>
        <w:jc w:val="both"/>
      </w:pPr>
      <w:r>
        <w:rPr>
          <w:rFonts w:cs="Times New Roman" w:eastAsia="Lucida Sans Unicode"/>
          <w:color w:val="000000"/>
          <w:sz w:val="24"/>
          <w:szCs w:val="24"/>
          <w:lang w:bidi="ar-SA" w:eastAsia="pt-BR" w:val="pt-BR"/>
        </w:rPr>
        <w:t>Considerando os fundamentos e objetivos da Política Nacional de Recursos Hídricos, instituídos pela Lei nº 9.433, de 8 de janeiro de 1997;</w:t>
      </w:r>
    </w:p>
    <w:p>
      <w:pPr>
        <w:pStyle w:val="style0"/>
        <w:spacing w:after="120" w:before="0" w:line="240" w:lineRule="exact"/>
        <w:ind w:firstLine="709" w:left="0" w:right="0"/>
        <w:contextualSpacing w:val="false"/>
        <w:jc w:val="both"/>
      </w:pPr>
      <w:r>
        <w:rPr>
          <w:rFonts w:cs="Times New Roman" w:eastAsia="Lucida Sans Unicode"/>
          <w:color w:val="000000"/>
          <w:sz w:val="24"/>
          <w:szCs w:val="24"/>
          <w:lang w:bidi="ar-SA" w:eastAsia="pt-BR" w:val="pt-BR"/>
        </w:rPr>
        <w:t>Considerando a Década Brasileira da Água, instituída por Decreto de 22 de março de 2005, cujos objetivos são promover e intensificar a formulação e a implementação de políticas, programas e projetos relativos ao gerenciamento e uso sustentável da água, em todos os níveis, assim como assegurar a ampla participação e cooperação das comunidades voltadas ao alcance dos objetivos contemplados na Política Nacional de Recursos Hídricos ou estabelecidos em convenções, acordos e resoluções a que o Brasil tenha aderido;</w:t>
      </w:r>
    </w:p>
    <w:p>
      <w:pPr>
        <w:pStyle w:val="style0"/>
        <w:spacing w:after="120" w:before="0" w:line="240" w:lineRule="exact"/>
        <w:ind w:firstLine="709" w:left="0" w:right="0"/>
        <w:contextualSpacing w:val="false"/>
        <w:jc w:val="both"/>
      </w:pPr>
      <w:r>
        <w:rPr>
          <w:rFonts w:cs="Calibri" w:eastAsia="Calibri"/>
          <w:color w:val="000000"/>
        </w:rPr>
        <w:t xml:space="preserve">Considerando a manifestação, por parte da Sociedade Brasileira para o Progresso da Ciência (SBPC) e da Academia Brasileira de Ciências (ABC), de preocupação com o anúncio de incluir o chamado “Gás de Xisto”, obtido por fraturamento de rocha de campos de gás natural em bacias sedimentares brasileiras, em licitação da Agência Nacional do Petróleo (ANP), em novembro de 2013; </w:t>
      </w:r>
    </w:p>
    <w:p>
      <w:pPr>
        <w:pStyle w:val="style0"/>
        <w:spacing w:after="120" w:before="0" w:line="240" w:lineRule="exact"/>
        <w:ind w:firstLine="709" w:left="0" w:right="0"/>
        <w:contextualSpacing w:val="false"/>
        <w:jc w:val="both"/>
      </w:pPr>
      <w:r>
        <w:rPr>
          <w:rFonts w:cs="Calibri" w:eastAsia="Calibri"/>
          <w:color w:val="000000"/>
        </w:rPr>
        <w:t>Considerando que a Nota Técnica SSM nº 345/ANP, de 14 de outubro de 2013, que tem por objetivo subsidiar a resolução que define regras, limites e requisitos mínimos para a atividade de exploração, desenvolvimento e produção de reservatórios de gás não convencional no Brasil, por meio da técnica de fraturamento hidráulico;</w:t>
      </w:r>
    </w:p>
    <w:p>
      <w:pPr>
        <w:pStyle w:val="style0"/>
        <w:spacing w:after="120" w:before="0" w:line="240" w:lineRule="exact"/>
        <w:ind w:firstLine="709" w:left="0" w:right="0"/>
        <w:contextualSpacing w:val="false"/>
        <w:jc w:val="both"/>
      </w:pPr>
      <w:r>
        <w:rPr>
          <w:rFonts w:cs="Calibri" w:eastAsia="Calibri"/>
          <w:color w:val="000000"/>
        </w:rPr>
        <w:t>Considerando a necessidade de estudos complementares para o ideal conhecimento das características petrográficas, estruturais e geomecânicas das rochas consideradas como possíveis reservas de gás de xisto, o que poderia influir decisivamente no cálculo real da economicidade da sua explotação;</w:t>
      </w:r>
    </w:p>
    <w:p>
      <w:pPr>
        <w:pStyle w:val="style0"/>
        <w:spacing w:after="120" w:before="0" w:line="240" w:lineRule="exact"/>
        <w:ind w:firstLine="709" w:left="0" w:right="0"/>
        <w:contextualSpacing w:val="false"/>
        <w:jc w:val="both"/>
      </w:pPr>
      <w:r>
        <w:rPr>
          <w:rFonts w:cs="Calibri" w:eastAsia="Calibri"/>
          <w:color w:val="000000"/>
        </w:rPr>
        <w:t>Considerando que a tecnologia de extração de gás representa processos invasivos da camada geológica portadora do gás, podendo ocasionar vazamentos e contaminação de importantes sistemas aquíferos, como o Guarani, Serra Geral, Amazonas, Urucuia e outros.</w:t>
      </w:r>
    </w:p>
    <w:p>
      <w:pPr>
        <w:pStyle w:val="style0"/>
        <w:spacing w:after="120" w:before="0" w:line="240" w:lineRule="exact"/>
        <w:ind w:firstLine="709" w:left="0" w:right="0"/>
        <w:contextualSpacing w:val="false"/>
        <w:jc w:val="both"/>
      </w:pPr>
      <w:r>
        <w:rPr>
          <w:rFonts w:cs="Calibri" w:eastAsia="Calibri"/>
          <w:color w:val="000000"/>
        </w:rPr>
        <w:t xml:space="preserve">Considerando que a purificação da água utilizada, o descarte dos resíduos finais e a possível recuperação de áreas subterrâneas contaminadas por substâncias químicas necessárias para explotação do gás de xisto, (que nem sempre é possível fazê-la) geram alto custo; </w:t>
      </w:r>
    </w:p>
    <w:p>
      <w:pPr>
        <w:pStyle w:val="style0"/>
        <w:spacing w:after="120" w:before="0" w:line="240" w:lineRule="exact"/>
        <w:ind w:firstLine="709" w:left="0" w:right="0"/>
        <w:contextualSpacing w:val="false"/>
        <w:jc w:val="both"/>
      </w:pPr>
      <w:r>
        <w:rPr>
          <w:color w:val="000000"/>
        </w:rPr>
        <w:t>Considerando que o risco à segurança hídrica não está devidamente mensurado, dada a insuficiência de estudos prévios e modelagens para a prospecção e explotação;</w:t>
      </w:r>
    </w:p>
    <w:p>
      <w:pPr>
        <w:pStyle w:val="style0"/>
        <w:spacing w:after="120" w:before="0" w:line="240" w:lineRule="exact"/>
        <w:ind w:firstLine="709" w:left="0" w:right="0"/>
        <w:contextualSpacing w:val="false"/>
        <w:jc w:val="both"/>
      </w:pPr>
      <w:r>
        <w:rPr>
          <w:color w:val="000000"/>
        </w:rPr>
        <w:t>Considerando dados dos estudos do Atlas Brasil – Abastecimento Urbano de Água que aponta que do total dos municípios brasileiros, 39% são abastecidos exclusivamente por águas subterrâneas e 14% por abastecimento misto (subterrânea e superficial); e</w:t>
      </w:r>
    </w:p>
    <w:p>
      <w:pPr>
        <w:pStyle w:val="style0"/>
        <w:spacing w:after="120" w:before="0" w:line="240" w:lineRule="exact"/>
        <w:ind w:firstLine="709" w:left="0" w:right="0"/>
        <w:contextualSpacing w:val="false"/>
        <w:jc w:val="both"/>
      </w:pPr>
      <w:r>
        <w:rPr>
          <w:rFonts w:cs="Calibri" w:eastAsia="Calibri"/>
          <w:color w:val="000000"/>
        </w:rPr>
        <w:t>Considerando que a Política Nacional de Recursos Hídricos determina que em situações de escassez, os usos prioritários dos recursos hídricos é o consumo humano e a dessedentação de animais, resolve:</w:t>
      </w:r>
    </w:p>
    <w:p>
      <w:pPr>
        <w:pStyle w:val="style0"/>
        <w:spacing w:after="120" w:before="0" w:line="240" w:lineRule="exact"/>
        <w:ind w:firstLine="709" w:left="0" w:right="0"/>
        <w:contextualSpacing w:val="false"/>
        <w:jc w:val="both"/>
      </w:pPr>
      <w:r>
        <w:rPr>
          <w:rFonts w:cs="TimesNewRomanPSMT" w:eastAsia="TimesNewRomanPSMT"/>
          <w:color w:val="000000"/>
        </w:rPr>
        <w:t xml:space="preserve">Art. 1º </w:t>
      </w:r>
      <w:r>
        <w:rPr>
          <w:color w:val="000000"/>
        </w:rPr>
        <w:t xml:space="preserve">Recomendar, ao Ministério de Minas e Energia, ao Conselho Nacional de Políticas Energéticas e à Agência Nacional do Petróleo, Gás Natural e Biocombustíveis, que realizem estudos que ofereçam melhor conhecimento sobre as propriedades intrínsecas das jazidas e as condições de sua exploração (condições de pesquisa) e explotação (extração com fins econômicos), bem como das consequências ambientais dessas atividades, em especial ao que se concerne aos recursos hídricos subterrâneos e superficiais, antes de permitir a explotação </w:t>
      </w:r>
      <w:bookmarkStart w:id="0" w:name="_GoBack"/>
      <w:bookmarkEnd w:id="0"/>
      <w:r>
        <w:rPr/>
        <w:t>do gás não convencional (gás de xisto).</w:t>
      </w:r>
    </w:p>
    <w:p>
      <w:pPr>
        <w:pStyle w:val="style0"/>
        <w:spacing w:after="120" w:before="0" w:line="240" w:lineRule="exact"/>
        <w:ind w:firstLine="709" w:left="0" w:right="0"/>
        <w:contextualSpacing w:val="false"/>
        <w:jc w:val="both"/>
      </w:pPr>
      <w:r>
        <w:rPr>
          <w:color w:val="000000"/>
        </w:rPr>
        <w:t>Art. 2º Esta moção entra em vigor na data de sua publicação.</w:t>
      </w:r>
    </w:p>
    <w:p>
      <w:pPr>
        <w:pStyle w:val="style0"/>
        <w:spacing w:after="120" w:before="0" w:line="240" w:lineRule="exact"/>
        <w:ind w:firstLine="709" w:left="0" w:right="0"/>
        <w:contextualSpacing w:val="false"/>
        <w:jc w:val="both"/>
      </w:pPr>
      <w:r>
        <w:rPr/>
      </w:r>
    </w:p>
    <w:p>
      <w:pPr>
        <w:sectPr>
          <w:type w:val="nextPage"/>
          <w:pgSz w:h="16838" w:w="11906"/>
          <w:pgMar w:bottom="1134" w:footer="0" w:gutter="0" w:header="0" w:left="1134" w:right="1134" w:top="993"/>
          <w:pgNumType w:fmt="decimal"/>
          <w:formProt w:val="false"/>
          <w:textDirection w:val="lrTb"/>
          <w:docGrid w:charSpace="0" w:linePitch="360" w:type="default"/>
        </w:sectPr>
      </w:pPr>
    </w:p>
    <w:p>
      <w:pPr>
        <w:pStyle w:val="style0"/>
        <w:spacing w:line="200" w:lineRule="atLeast"/>
        <w:ind w:firstLine="1418" w:left="0" w:right="0"/>
        <w:jc w:val="both"/>
      </w:pPr>
      <w:r>
        <w:rPr/>
      </w:r>
    </w:p>
    <w:p>
      <w:pPr>
        <w:pStyle w:val="style0"/>
        <w:spacing w:after="0" w:before="113" w:line="238" w:lineRule="exact"/>
        <w:contextualSpacing w:val="false"/>
        <w:jc w:val="center"/>
      </w:pPr>
      <w:r>
        <w:rPr>
          <w:rFonts w:eastAsia="Times New Roman"/>
          <w:b/>
          <w:color w:val="000000"/>
        </w:rPr>
        <w:t xml:space="preserve">                </w:t>
      </w:r>
      <w:r>
        <w:rPr>
          <w:rFonts w:cs="Calibri" w:eastAsia="Calibri"/>
          <w:b/>
          <w:color w:val="000000"/>
        </w:rPr>
        <w:t>IZABELLA TEIXEIRA</w:t>
        <w:tab/>
        <w:tab/>
        <w:t xml:space="preserve">                               NEY MARANHÃO</w:t>
        <w:tab/>
        <w:tab/>
        <w:tab/>
        <w:t xml:space="preserve">              Presidente </w:t>
        <w:tab/>
        <w:tab/>
        <w:t xml:space="preserve"> </w:t>
        <w:tab/>
        <w:t xml:space="preserve">                              Secretário Executivo</w:t>
        <w:tab/>
        <w:tab/>
      </w:r>
    </w:p>
    <w:p>
      <w:pPr>
        <w:sectPr>
          <w:type w:val="continuous"/>
          <w:pgSz w:h="16838" w:w="11906"/>
          <w:pgMar w:bottom="1134" w:footer="0" w:gutter="0" w:header="0" w:left="1134" w:right="1134" w:top="993"/>
          <w:formProt w:val="false"/>
          <w:textDirection w:val="lrTb"/>
          <w:docGrid w:charSpace="0" w:linePitch="360" w:type="default"/>
        </w:sectPr>
      </w:pPr>
    </w:p>
    <w:sectPr>
      <w:type w:val="continuous"/>
      <w:pgSz w:h="16838" w:w="11906"/>
      <w:pgMar w:bottom="1134" w:footer="0" w:gutter="0" w:header="0" w:left="1134" w:right="1134" w:top="993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">
    <w:charset w:val="00"/>
    <w:family w:val="roman"/>
    <w:pitch w:val="variable"/>
  </w:font>
  <w:font w:name="Consolas">
    <w:charset w:val="00"/>
    <w:family w:val="roman"/>
    <w:pitch w:val="variable"/>
  </w:font>
  <w:font w:name="Tahom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2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Times New Roman" w:cs="Times New Roman" w:eastAsia="Lucida Sans Unicode" w:hAnsi="Times New Roman"/>
      <w:color w:val="00000A"/>
      <w:sz w:val="24"/>
      <w:szCs w:val="24"/>
      <w:lang w:bidi="ar-SA" w:eastAsia="pt-BR" w:val="pt-BR"/>
    </w:rPr>
  </w:style>
  <w:style w:styleId="style15" w:type="character">
    <w:name w:val="Default Paragraph Font"/>
    <w:next w:val="style15"/>
    <w:rPr/>
  </w:style>
  <w:style w:styleId="style16" w:type="character">
    <w:name w:val="Absatz-Standardschriftart"/>
    <w:next w:val="style16"/>
    <w:rPr/>
  </w:style>
  <w:style w:styleId="style17" w:type="character">
    <w:name w:val="WW-Absatz-Standardschriftart"/>
    <w:next w:val="style17"/>
    <w:rPr/>
  </w:style>
  <w:style w:styleId="style18" w:type="character">
    <w:name w:val="WW-Absatz-Standardschriftart1"/>
    <w:next w:val="style18"/>
    <w:rPr/>
  </w:style>
  <w:style w:styleId="style19" w:type="character">
    <w:name w:val="WW8Num1z0"/>
    <w:next w:val="style19"/>
    <w:rPr>
      <w:rFonts w:ascii="Times New Roman" w:cs="Times New Roman" w:eastAsia="Lucida Sans Unicode" w:hAnsi="Times New Roman"/>
      <w:sz w:val="24"/>
    </w:rPr>
  </w:style>
  <w:style w:styleId="style20" w:type="character">
    <w:name w:val="WW8Num3z0"/>
    <w:next w:val="style20"/>
    <w:rPr>
      <w:rFonts w:ascii="Times New Roman" w:cs="Times New Roman" w:hAnsi="Times New Roman"/>
      <w:sz w:val="24"/>
    </w:rPr>
  </w:style>
  <w:style w:styleId="style21" w:type="character">
    <w:name w:val="Fonte parág. padrão7"/>
    <w:next w:val="style21"/>
    <w:rPr/>
  </w:style>
  <w:style w:styleId="style22" w:type="character">
    <w:name w:val="WW8Num2z0"/>
    <w:next w:val="style22"/>
    <w:rPr>
      <w:rFonts w:ascii="Arial" w:cs="Arial" w:hAnsi="Arial"/>
    </w:rPr>
  </w:style>
  <w:style w:styleId="style23" w:type="character">
    <w:name w:val="WW8Num4z0"/>
    <w:next w:val="style23"/>
    <w:rPr>
      <w:rFonts w:ascii="Times New Roman" w:cs="Times New Roman" w:hAnsi="Times New Roman"/>
      <w:sz w:val="24"/>
    </w:rPr>
  </w:style>
  <w:style w:styleId="style24" w:type="character">
    <w:name w:val="Fonte parág. padrão6"/>
    <w:next w:val="style24"/>
    <w:rPr/>
  </w:style>
  <w:style w:styleId="style25" w:type="character">
    <w:name w:val="Fonte parág. padrão5"/>
    <w:next w:val="style25"/>
    <w:rPr/>
  </w:style>
  <w:style w:styleId="style26" w:type="character">
    <w:name w:val="WW-Absatz-Standardschriftart11"/>
    <w:next w:val="style26"/>
    <w:rPr/>
  </w:style>
  <w:style w:styleId="style27" w:type="character">
    <w:name w:val="WW-Absatz-Standardschriftart111"/>
    <w:next w:val="style27"/>
    <w:rPr/>
  </w:style>
  <w:style w:styleId="style28" w:type="character">
    <w:name w:val="WW-Absatz-Standardschriftart1111"/>
    <w:next w:val="style28"/>
    <w:rPr/>
  </w:style>
  <w:style w:styleId="style29" w:type="character">
    <w:name w:val="WW-Absatz-Standardschriftart11111"/>
    <w:next w:val="style29"/>
    <w:rPr/>
  </w:style>
  <w:style w:styleId="style30" w:type="character">
    <w:name w:val="WW-Absatz-Standardschriftart111111"/>
    <w:next w:val="style30"/>
    <w:rPr/>
  </w:style>
  <w:style w:styleId="style31" w:type="character">
    <w:name w:val="WW-Absatz-Standardschriftart1111111"/>
    <w:next w:val="style31"/>
    <w:rPr/>
  </w:style>
  <w:style w:styleId="style32" w:type="character">
    <w:name w:val="WW-Absatz-Standardschriftart11111111"/>
    <w:next w:val="style32"/>
    <w:rPr/>
  </w:style>
  <w:style w:styleId="style33" w:type="character">
    <w:name w:val="WW-Absatz-Standardschriftart111111111"/>
    <w:next w:val="style33"/>
    <w:rPr/>
  </w:style>
  <w:style w:styleId="style34" w:type="character">
    <w:name w:val="Fonte parág. padrão4"/>
    <w:next w:val="style34"/>
    <w:rPr/>
  </w:style>
  <w:style w:styleId="style35" w:type="character">
    <w:name w:val="WW-Absatz-Standardschriftart1111111111"/>
    <w:next w:val="style35"/>
    <w:rPr/>
  </w:style>
  <w:style w:styleId="style36" w:type="character">
    <w:name w:val="WW-Absatz-Standardschriftart11111111111"/>
    <w:next w:val="style36"/>
    <w:rPr/>
  </w:style>
  <w:style w:styleId="style37" w:type="character">
    <w:name w:val="Fonte parág. padrão3"/>
    <w:next w:val="style37"/>
    <w:rPr/>
  </w:style>
  <w:style w:styleId="style38" w:type="character">
    <w:name w:val="Fonte parág. padrão2"/>
    <w:next w:val="style38"/>
    <w:rPr/>
  </w:style>
  <w:style w:styleId="style39" w:type="character">
    <w:name w:val="WW-Absatz-Standardschriftart111111111111"/>
    <w:next w:val="style39"/>
    <w:rPr/>
  </w:style>
  <w:style w:styleId="style40" w:type="character">
    <w:name w:val="WW-Absatz-Standardschriftart1111111111111"/>
    <w:next w:val="style40"/>
    <w:rPr/>
  </w:style>
  <w:style w:styleId="style41" w:type="character">
    <w:name w:val="WW-Absatz-Standardschriftart11111111111111"/>
    <w:next w:val="style41"/>
    <w:rPr/>
  </w:style>
  <w:style w:styleId="style42" w:type="character">
    <w:name w:val="WW-Absatz-Standardschriftart111111111111111"/>
    <w:next w:val="style42"/>
    <w:rPr/>
  </w:style>
  <w:style w:styleId="style43" w:type="character">
    <w:name w:val="WW-Absatz-Standardschriftart1111111111111111"/>
    <w:next w:val="style43"/>
    <w:rPr/>
  </w:style>
  <w:style w:styleId="style44" w:type="character">
    <w:name w:val="WW-Absatz-Standardschriftart11111111111111111"/>
    <w:next w:val="style44"/>
    <w:rPr/>
  </w:style>
  <w:style w:styleId="style45" w:type="character">
    <w:name w:val="Fonte parág. padrão1"/>
    <w:next w:val="style45"/>
    <w:rPr/>
  </w:style>
  <w:style w:styleId="style46" w:type="character">
    <w:name w:val="WW-Absatz-Standardschriftart111111111111111111"/>
    <w:next w:val="style46"/>
    <w:rPr/>
  </w:style>
  <w:style w:styleId="style47" w:type="character">
    <w:name w:val="WW-Absatz-Standardschriftart1111111111111111111"/>
    <w:next w:val="style47"/>
    <w:rPr/>
  </w:style>
  <w:style w:styleId="style48" w:type="character">
    <w:name w:val="WW-Absatz-Standardschriftart11111111111111111111"/>
    <w:next w:val="style48"/>
    <w:rPr/>
  </w:style>
  <w:style w:styleId="style49" w:type="character">
    <w:name w:val="Ref. de nota de rodapé1"/>
    <w:next w:val="style49"/>
    <w:rPr>
      <w:vertAlign w:val="superscript"/>
    </w:rPr>
  </w:style>
  <w:style w:styleId="style50" w:type="character">
    <w:name w:val="Caracteres de nota de fim"/>
    <w:next w:val="style50"/>
    <w:rPr>
      <w:vertAlign w:val="superscript"/>
    </w:rPr>
  </w:style>
  <w:style w:styleId="style51" w:type="character">
    <w:name w:val="WW-Caracteres de nota de fim"/>
    <w:next w:val="style51"/>
    <w:rPr/>
  </w:style>
  <w:style w:styleId="style52" w:type="character">
    <w:name w:val="Ref. de nota de fim1"/>
    <w:next w:val="style52"/>
    <w:rPr>
      <w:vertAlign w:val="superscript"/>
    </w:rPr>
  </w:style>
  <w:style w:styleId="style53" w:type="character">
    <w:name w:val="Ref. de nota de rodapé2"/>
    <w:next w:val="style53"/>
    <w:rPr>
      <w:vertAlign w:val="superscript"/>
    </w:rPr>
  </w:style>
  <w:style w:styleId="style54" w:type="character">
    <w:name w:val="Ref. de nota de fim2"/>
    <w:next w:val="style54"/>
    <w:rPr>
      <w:vertAlign w:val="superscript"/>
    </w:rPr>
  </w:style>
  <w:style w:styleId="style55" w:type="character">
    <w:name w:val="Ref. de nota de rodapé3"/>
    <w:next w:val="style55"/>
    <w:rPr>
      <w:vertAlign w:val="superscript"/>
    </w:rPr>
  </w:style>
  <w:style w:styleId="style56" w:type="character">
    <w:name w:val="Ref. de nota de fim3"/>
    <w:next w:val="style56"/>
    <w:rPr>
      <w:vertAlign w:val="superscript"/>
    </w:rPr>
  </w:style>
  <w:style w:styleId="style57" w:type="character">
    <w:name w:val="Link da Internet"/>
    <w:next w:val="style57"/>
    <w:rPr>
      <w:strike w:val="false"/>
      <w:dstrike w:val="false"/>
      <w:color w:val="555555"/>
      <w:u w:val="none"/>
      <w:lang w:bidi="zxx-" w:eastAsia="zxx-" w:val="zxx-"/>
    </w:rPr>
  </w:style>
  <w:style w:styleId="style58" w:type="character">
    <w:name w:val="Texto sem Formatação Char"/>
    <w:next w:val="style58"/>
    <w:rPr>
      <w:rFonts w:ascii="Consolas" w:cs="Times New Roman" w:eastAsia="Calibri" w:hAnsi="Consolas"/>
      <w:sz w:val="21"/>
      <w:szCs w:val="21"/>
    </w:rPr>
  </w:style>
  <w:style w:styleId="style59" w:type="paragraph">
    <w:name w:val="Título"/>
    <w:basedOn w:val="style0"/>
    <w:next w:val="style60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60" w:type="paragraph">
    <w:name w:val="Corpo do texto"/>
    <w:basedOn w:val="style0"/>
    <w:next w:val="style60"/>
    <w:pPr>
      <w:spacing w:after="120" w:before="0"/>
      <w:contextualSpacing w:val="false"/>
    </w:pPr>
    <w:rPr/>
  </w:style>
  <w:style w:styleId="style61" w:type="paragraph">
    <w:name w:val="Lista"/>
    <w:basedOn w:val="style60"/>
    <w:next w:val="style61"/>
    <w:pPr/>
    <w:rPr>
      <w:rFonts w:cs="Tahoma"/>
    </w:rPr>
  </w:style>
  <w:style w:styleId="style62" w:type="paragraph">
    <w:name w:val="Legenda"/>
    <w:basedOn w:val="style0"/>
    <w:next w:val="style62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63" w:type="paragraph">
    <w:name w:val="Índice"/>
    <w:basedOn w:val="style0"/>
    <w:next w:val="style63"/>
    <w:pPr>
      <w:suppressLineNumbers/>
    </w:pPr>
    <w:rPr>
      <w:rFonts w:cs="Tahoma"/>
    </w:rPr>
  </w:style>
  <w:style w:styleId="style64" w:type="paragraph">
    <w:name w:val="Título4"/>
    <w:basedOn w:val="style0"/>
    <w:next w:val="style64"/>
    <w:pPr>
      <w:keepNext/>
      <w:spacing w:after="120" w:before="240"/>
      <w:contextualSpacing w:val="false"/>
    </w:pPr>
    <w:rPr>
      <w:rFonts w:ascii="Arial" w:cs="Tahoma" w:eastAsia="MS Mincho" w:hAnsi="Arial"/>
      <w:sz w:val="28"/>
      <w:szCs w:val="28"/>
    </w:rPr>
  </w:style>
  <w:style w:styleId="style65" w:type="paragraph">
    <w:name w:val="Título principal"/>
    <w:basedOn w:val="style0"/>
    <w:next w:val="style65"/>
    <w:pPr>
      <w:keepNext/>
      <w:spacing w:after="120" w:before="240"/>
      <w:contextualSpacing w:val="false"/>
    </w:pPr>
    <w:rPr>
      <w:rFonts w:ascii="Arial" w:cs="Tahoma" w:hAnsi="Arial"/>
      <w:sz w:val="28"/>
      <w:szCs w:val="28"/>
    </w:rPr>
  </w:style>
  <w:style w:styleId="style66" w:type="paragraph">
    <w:name w:val="Subtítulo"/>
    <w:basedOn w:val="style64"/>
    <w:next w:val="style66"/>
    <w:pPr>
      <w:jc w:val="center"/>
    </w:pPr>
    <w:rPr>
      <w:i/>
      <w:iCs/>
    </w:rPr>
  </w:style>
  <w:style w:styleId="style67" w:type="paragraph">
    <w:name w:val="caption"/>
    <w:basedOn w:val="style0"/>
    <w:next w:val="style67"/>
    <w:pPr>
      <w:suppressLineNumbers/>
      <w:spacing w:after="120" w:before="120"/>
      <w:contextualSpacing w:val="false"/>
    </w:pPr>
    <w:rPr>
      <w:rFonts w:cs="Tahoma"/>
      <w:i/>
      <w:iCs/>
    </w:rPr>
  </w:style>
  <w:style w:styleId="style68" w:type="paragraph">
    <w:name w:val="Título3"/>
    <w:basedOn w:val="style0"/>
    <w:next w:val="style68"/>
    <w:pPr>
      <w:keepNext/>
      <w:spacing w:after="120" w:before="240"/>
      <w:contextualSpacing w:val="false"/>
    </w:pPr>
    <w:rPr>
      <w:rFonts w:ascii="Arial" w:cs="Mangal" w:eastAsia="SimSun" w:hAnsi="Arial"/>
      <w:sz w:val="28"/>
      <w:szCs w:val="28"/>
    </w:rPr>
  </w:style>
  <w:style w:styleId="style69" w:type="paragraph">
    <w:name w:val="Legenda7"/>
    <w:basedOn w:val="style0"/>
    <w:next w:val="style69"/>
    <w:pPr>
      <w:suppressLineNumbers/>
      <w:spacing w:after="120" w:before="120"/>
      <w:contextualSpacing w:val="false"/>
    </w:pPr>
    <w:rPr>
      <w:rFonts w:cs="Mangal"/>
      <w:i/>
      <w:iCs/>
    </w:rPr>
  </w:style>
  <w:style w:styleId="style70" w:type="paragraph">
    <w:name w:val="Título2"/>
    <w:basedOn w:val="style0"/>
    <w:next w:val="style70"/>
    <w:pPr>
      <w:keepNext/>
      <w:spacing w:after="120" w:before="240"/>
      <w:contextualSpacing w:val="false"/>
    </w:pPr>
    <w:rPr>
      <w:rFonts w:ascii="Arial" w:cs="Tahoma" w:hAnsi="Arial"/>
      <w:sz w:val="28"/>
      <w:szCs w:val="28"/>
    </w:rPr>
  </w:style>
  <w:style w:styleId="style71" w:type="paragraph">
    <w:name w:val="Legenda6"/>
    <w:basedOn w:val="style0"/>
    <w:next w:val="style71"/>
    <w:pPr>
      <w:suppressLineNumbers/>
      <w:spacing w:after="120" w:before="120"/>
      <w:contextualSpacing w:val="false"/>
    </w:pPr>
    <w:rPr>
      <w:rFonts w:cs="Tahoma"/>
      <w:i/>
      <w:iCs/>
    </w:rPr>
  </w:style>
  <w:style w:styleId="style72" w:type="paragraph">
    <w:name w:val="Título1"/>
    <w:basedOn w:val="style0"/>
    <w:next w:val="style72"/>
    <w:pPr>
      <w:keepNext/>
      <w:spacing w:after="120" w:before="240"/>
      <w:contextualSpacing w:val="false"/>
    </w:pPr>
    <w:rPr>
      <w:rFonts w:ascii="Arial" w:cs="Tahoma" w:hAnsi="Arial"/>
      <w:sz w:val="28"/>
      <w:szCs w:val="28"/>
    </w:rPr>
  </w:style>
  <w:style w:styleId="style73" w:type="paragraph">
    <w:name w:val="Legenda5"/>
    <w:basedOn w:val="style0"/>
    <w:next w:val="style73"/>
    <w:pPr>
      <w:suppressLineNumbers/>
      <w:spacing w:after="120" w:before="120"/>
      <w:contextualSpacing w:val="false"/>
    </w:pPr>
    <w:rPr>
      <w:rFonts w:cs="Tahoma"/>
      <w:i/>
      <w:iCs/>
    </w:rPr>
  </w:style>
  <w:style w:styleId="style74" w:type="paragraph">
    <w:name w:val="Capítulo"/>
    <w:basedOn w:val="style0"/>
    <w:next w:val="style74"/>
    <w:pPr>
      <w:keepNext/>
      <w:spacing w:after="120" w:before="240"/>
      <w:contextualSpacing w:val="false"/>
    </w:pPr>
    <w:rPr>
      <w:rFonts w:ascii="Arial" w:cs="Tahoma" w:hAnsi="Arial"/>
      <w:sz w:val="28"/>
      <w:szCs w:val="28"/>
    </w:rPr>
  </w:style>
  <w:style w:styleId="style75" w:type="paragraph">
    <w:name w:val="Legenda4"/>
    <w:basedOn w:val="style0"/>
    <w:next w:val="style75"/>
    <w:pPr>
      <w:suppressLineNumbers/>
      <w:spacing w:after="120" w:before="120"/>
      <w:contextualSpacing w:val="false"/>
    </w:pPr>
    <w:rPr>
      <w:rFonts w:cs="Tahoma"/>
      <w:i/>
      <w:iCs/>
    </w:rPr>
  </w:style>
  <w:style w:styleId="style76" w:type="paragraph">
    <w:name w:val="Legenda3"/>
    <w:basedOn w:val="style0"/>
    <w:next w:val="style76"/>
    <w:pPr>
      <w:suppressLineNumbers/>
      <w:spacing w:after="120" w:before="120"/>
      <w:contextualSpacing w:val="false"/>
    </w:pPr>
    <w:rPr>
      <w:rFonts w:cs="Tahoma"/>
      <w:i/>
      <w:iCs/>
    </w:rPr>
  </w:style>
  <w:style w:styleId="style77" w:type="paragraph">
    <w:name w:val="Legenda2"/>
    <w:basedOn w:val="style0"/>
    <w:next w:val="style77"/>
    <w:pPr>
      <w:suppressLineNumbers/>
      <w:spacing w:after="120" w:before="120"/>
      <w:contextualSpacing w:val="false"/>
    </w:pPr>
    <w:rPr>
      <w:rFonts w:cs="Tahoma"/>
      <w:i/>
      <w:iCs/>
    </w:rPr>
  </w:style>
  <w:style w:styleId="style78" w:type="paragraph">
    <w:name w:val="Legenda1"/>
    <w:basedOn w:val="style0"/>
    <w:next w:val="style78"/>
    <w:pPr>
      <w:suppressLineNumbers/>
      <w:spacing w:after="120" w:before="120"/>
      <w:contextualSpacing w:val="false"/>
    </w:pPr>
    <w:rPr>
      <w:rFonts w:cs="Tahoma"/>
      <w:i/>
      <w:iCs/>
    </w:rPr>
  </w:style>
  <w:style w:styleId="style79" w:type="paragraph">
    <w:name w:val="Normal1"/>
    <w:next w:val="style79"/>
    <w:pPr>
      <w:widowControl w:val="false"/>
      <w:suppressAutoHyphens w:val="true"/>
    </w:pPr>
    <w:rPr>
      <w:rFonts w:ascii="Times New Roman" w:cs="Calibri" w:eastAsia="Arial" w:hAnsi="Times New Roman"/>
      <w:color w:val="000000"/>
      <w:sz w:val="24"/>
      <w:szCs w:val="24"/>
      <w:lang w:bidi="ar-SA" w:eastAsia="pt-BR" w:val="pt-BR"/>
    </w:rPr>
  </w:style>
  <w:style w:styleId="style80" w:type="paragraph">
    <w:name w:val="Normal (Web)"/>
    <w:basedOn w:val="style0"/>
    <w:next w:val="style80"/>
    <w:pPr>
      <w:spacing w:after="100" w:before="100"/>
      <w:contextualSpacing w:val="false"/>
    </w:pPr>
    <w:rPr>
      <w:rFonts w:eastAsia="Times New Roman"/>
      <w:lang w:val="en-US"/>
    </w:rPr>
  </w:style>
  <w:style w:styleId="style81" w:type="paragraph">
    <w:name w:val="Conteúdo da tabela"/>
    <w:basedOn w:val="style0"/>
    <w:next w:val="style81"/>
    <w:pPr>
      <w:suppressLineNumbers/>
    </w:pPr>
    <w:rPr/>
  </w:style>
  <w:style w:styleId="style82" w:type="paragraph">
    <w:name w:val="Título da tabela"/>
    <w:basedOn w:val="style81"/>
    <w:next w:val="style82"/>
    <w:pPr>
      <w:jc w:val="center"/>
    </w:pPr>
    <w:rPr>
      <w:b/>
      <w:bCs/>
    </w:rPr>
  </w:style>
  <w:style w:styleId="style83" w:type="paragraph">
    <w:name w:val="Rodapé"/>
    <w:basedOn w:val="style0"/>
    <w:next w:val="style83"/>
    <w:pPr>
      <w:suppressLineNumbers/>
      <w:tabs>
        <w:tab w:leader="none" w:pos="4818" w:val="center"/>
        <w:tab w:leader="none" w:pos="9637" w:val="right"/>
      </w:tabs>
    </w:pPr>
    <w:rPr/>
  </w:style>
  <w:style w:styleId="style84" w:type="paragraph">
    <w:name w:val="footnote text"/>
    <w:basedOn w:val="style0"/>
    <w:next w:val="style84"/>
    <w:pPr>
      <w:suppressLineNumbers/>
      <w:ind w:hanging="283" w:left="283" w:right="0"/>
    </w:pPr>
    <w:rPr>
      <w:sz w:val="20"/>
      <w:szCs w:val="20"/>
    </w:rPr>
  </w:style>
  <w:style w:styleId="style85" w:type="paragraph">
    <w:name w:val="Balloon Text"/>
    <w:basedOn w:val="style0"/>
    <w:next w:val="style85"/>
    <w:pPr/>
    <w:rPr>
      <w:rFonts w:ascii="Tahoma" w:cs="Tahoma" w:hAnsi="Tahoma"/>
      <w:sz w:val="16"/>
      <w:szCs w:val="16"/>
    </w:rPr>
  </w:style>
  <w:style w:styleId="style86" w:type="paragraph">
    <w:name w:val="Título de tabela"/>
    <w:basedOn w:val="style81"/>
    <w:next w:val="style86"/>
    <w:pPr>
      <w:jc w:val="center"/>
    </w:pPr>
    <w:rPr>
      <w:b/>
      <w:bCs/>
    </w:rPr>
  </w:style>
  <w:style w:styleId="style87" w:type="paragraph">
    <w:name w:val="Texto sem Formatação1"/>
    <w:basedOn w:val="style0"/>
    <w:next w:val="style87"/>
    <w:pPr>
      <w:widowControl/>
      <w:suppressAutoHyphens w:val="false"/>
    </w:pPr>
    <w:rPr>
      <w:rFonts w:ascii="Consolas" w:cs="Consolas" w:eastAsia="Calibri" w:hAnsi="Consolas"/>
      <w:sz w:val="21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2013-10-24T12:21:00.00Z</dcterms:created>
  <dc:creator>revisor</dc:creator>
  <cp:lastModifiedBy>MMA</cp:lastModifiedBy>
  <cp:lastPrinted>2013-10-24T14:30:28.40Z</cp:lastPrinted>
  <dcterms:modified xsi:type="dcterms:W3CDTF">2013-10-24T12:21:00.00Z</dcterms:modified>
  <cp:revision>2</cp:revision>
  <dc:title>MINISTÉRIO DO MEIO AMBIENTE</dc:title>
</cp:coreProperties>
</file>