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518BD" w14:textId="77777777" w:rsidR="00397A9E" w:rsidRDefault="003210ED">
      <w:pPr>
        <w:pStyle w:val="Standard"/>
        <w:jc w:val="center"/>
      </w:pPr>
      <w:r>
        <w:rPr>
          <w:rFonts w:cs="Times New Roman"/>
          <w:noProof/>
          <w:lang w:eastAsia="pt-BR" w:bidi="ar-SA"/>
        </w:rPr>
        <w:drawing>
          <wp:inline distT="0" distB="0" distL="0" distR="0" wp14:anchorId="76AF2B69" wp14:editId="3921446B">
            <wp:extent cx="842400" cy="842400"/>
            <wp:effectExtent l="0" t="0" r="0" b="0"/>
            <wp:docPr id="1" name="Imagem 3" descr="Imagem relacionad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842400" cy="842400"/>
                    </a:xfrm>
                    <a:prstGeom prst="rect">
                      <a:avLst/>
                    </a:prstGeom>
                    <a:noFill/>
                    <a:ln>
                      <a:noFill/>
                      <a:prstDash/>
                    </a:ln>
                  </pic:spPr>
                </pic:pic>
              </a:graphicData>
            </a:graphic>
          </wp:inline>
        </w:drawing>
      </w:r>
    </w:p>
    <w:p w14:paraId="6AC2CEFE" w14:textId="77777777" w:rsidR="00397A9E" w:rsidRDefault="003210ED">
      <w:pPr>
        <w:pStyle w:val="Standard"/>
        <w:jc w:val="center"/>
        <w:rPr>
          <w:rFonts w:cs="Times New Roman"/>
          <w:b/>
          <w:bCs/>
        </w:rPr>
      </w:pPr>
      <w:r>
        <w:rPr>
          <w:rFonts w:cs="Times New Roman"/>
          <w:b/>
          <w:bCs/>
        </w:rPr>
        <w:t xml:space="preserve">Ministério do Desenvolvimento Regional </w:t>
      </w:r>
    </w:p>
    <w:p w14:paraId="4E8BD94A" w14:textId="77777777" w:rsidR="00397A9E" w:rsidRDefault="003210ED">
      <w:pPr>
        <w:pStyle w:val="Standard"/>
        <w:jc w:val="center"/>
        <w:rPr>
          <w:rFonts w:cs="Times New Roman"/>
          <w:b/>
          <w:bCs/>
        </w:rPr>
      </w:pPr>
      <w:r>
        <w:rPr>
          <w:rFonts w:cs="Times New Roman"/>
          <w:b/>
          <w:bCs/>
        </w:rPr>
        <w:t>Secretaria Executiva</w:t>
      </w:r>
    </w:p>
    <w:p w14:paraId="661BBEC0" w14:textId="77777777" w:rsidR="00F65A71" w:rsidRDefault="00F65A71" w:rsidP="00F65A71">
      <w:pPr>
        <w:widowControl/>
        <w:suppressAutoHyphens w:val="0"/>
        <w:autoSpaceDE w:val="0"/>
        <w:adjustRightInd w:val="0"/>
        <w:jc w:val="center"/>
        <w:textAlignment w:val="auto"/>
        <w:rPr>
          <w:rFonts w:cs="Times New Roman"/>
          <w:b/>
          <w:bCs/>
          <w:kern w:val="0"/>
          <w:lang w:bidi="ar-SA"/>
        </w:rPr>
      </w:pPr>
      <w:r>
        <w:rPr>
          <w:rFonts w:cs="Times New Roman"/>
          <w:b/>
          <w:bCs/>
          <w:kern w:val="0"/>
          <w:lang w:bidi="ar-SA"/>
        </w:rPr>
        <w:t>Secretaria de Coordenação Estrutural e Gestão Corporativa</w:t>
      </w:r>
    </w:p>
    <w:p w14:paraId="5171C7E8" w14:textId="77777777" w:rsidR="00F65A71" w:rsidRDefault="00F65A71" w:rsidP="00F65A71">
      <w:pPr>
        <w:widowControl/>
        <w:suppressAutoHyphens w:val="0"/>
        <w:autoSpaceDE w:val="0"/>
        <w:adjustRightInd w:val="0"/>
        <w:jc w:val="center"/>
        <w:textAlignment w:val="auto"/>
        <w:rPr>
          <w:rFonts w:cs="Times New Roman"/>
          <w:b/>
          <w:bCs/>
          <w:kern w:val="0"/>
          <w:lang w:bidi="ar-SA"/>
        </w:rPr>
      </w:pPr>
      <w:r>
        <w:rPr>
          <w:rFonts w:cs="Times New Roman"/>
          <w:b/>
          <w:bCs/>
          <w:kern w:val="0"/>
          <w:lang w:bidi="ar-SA"/>
        </w:rPr>
        <w:t>Diretoria de Orçamento e Finanças</w:t>
      </w:r>
    </w:p>
    <w:p w14:paraId="150EE84D" w14:textId="77777777" w:rsidR="00397A9E" w:rsidRDefault="00F65A71" w:rsidP="00F65A71">
      <w:pPr>
        <w:pStyle w:val="Standard"/>
        <w:jc w:val="center"/>
        <w:rPr>
          <w:rFonts w:cs="Times New Roman"/>
          <w:b/>
          <w:bCs/>
        </w:rPr>
      </w:pPr>
      <w:r>
        <w:rPr>
          <w:rFonts w:cs="Times New Roman"/>
          <w:b/>
          <w:bCs/>
          <w:kern w:val="0"/>
          <w:lang w:bidi="ar-SA"/>
        </w:rPr>
        <w:t>Coordenação de Contabilidade</w:t>
      </w:r>
    </w:p>
    <w:p w14:paraId="77F27D5A" w14:textId="77777777" w:rsidR="00397A9E" w:rsidRDefault="00397A9E">
      <w:pPr>
        <w:pStyle w:val="Standard"/>
        <w:jc w:val="center"/>
        <w:rPr>
          <w:rFonts w:cs="Times New Roman"/>
          <w:b/>
          <w:bCs/>
        </w:rPr>
      </w:pPr>
    </w:p>
    <w:p w14:paraId="2CBFEC6B" w14:textId="77777777" w:rsidR="00397A9E" w:rsidRDefault="00397A9E">
      <w:pPr>
        <w:pStyle w:val="Standard"/>
        <w:jc w:val="center"/>
        <w:rPr>
          <w:rFonts w:cs="Times New Roman"/>
          <w:b/>
          <w:bCs/>
        </w:rPr>
      </w:pPr>
    </w:p>
    <w:p w14:paraId="59DD8F20" w14:textId="77777777" w:rsidR="00397A9E" w:rsidRDefault="003210ED">
      <w:pPr>
        <w:pStyle w:val="Standard"/>
        <w:ind w:left="-426" w:right="-710"/>
        <w:jc w:val="center"/>
        <w:rPr>
          <w:rFonts w:cs="Times New Roman"/>
          <w:b/>
          <w:bCs/>
        </w:rPr>
      </w:pPr>
      <w:r>
        <w:rPr>
          <w:rFonts w:cs="Times New Roman"/>
          <w:b/>
          <w:bCs/>
        </w:rPr>
        <w:t>Notas Explicativas sobre às Demonstrações Contábeis do Ministério do Desenvolvimento Regional</w:t>
      </w:r>
    </w:p>
    <w:p w14:paraId="23C898B1" w14:textId="77777777" w:rsidR="00397A9E" w:rsidRPr="00403610" w:rsidRDefault="005C4D84">
      <w:pPr>
        <w:pStyle w:val="Standard"/>
        <w:ind w:left="-426" w:right="-710"/>
        <w:jc w:val="center"/>
        <w:rPr>
          <w:rFonts w:cs="Times New Roman"/>
          <w:b/>
          <w:bCs/>
        </w:rPr>
      </w:pPr>
      <w:r w:rsidRPr="00403610">
        <w:rPr>
          <w:rFonts w:cs="Times New Roman"/>
          <w:b/>
          <w:bCs/>
        </w:rPr>
        <w:t xml:space="preserve"> </w:t>
      </w:r>
      <w:r w:rsidR="005F2F57" w:rsidRPr="00403610">
        <w:rPr>
          <w:rFonts w:cs="Times New Roman"/>
          <w:b/>
          <w:bCs/>
        </w:rPr>
        <w:t>4</w:t>
      </w:r>
      <w:r w:rsidRPr="00403610">
        <w:rPr>
          <w:rFonts w:cs="Times New Roman"/>
          <w:b/>
          <w:bCs/>
        </w:rPr>
        <w:t>º trimestre de 2020</w:t>
      </w:r>
    </w:p>
    <w:p w14:paraId="61967E83" w14:textId="77777777" w:rsidR="00397A9E" w:rsidRDefault="00397A9E">
      <w:pPr>
        <w:pStyle w:val="Standard"/>
        <w:jc w:val="center"/>
      </w:pPr>
    </w:p>
    <w:p w14:paraId="65805AFA" w14:textId="77777777" w:rsidR="00397A9E" w:rsidRDefault="00397A9E">
      <w:pPr>
        <w:pStyle w:val="Standard"/>
        <w:ind w:left="-426"/>
        <w:jc w:val="both"/>
        <w:rPr>
          <w:rFonts w:cs="Times New Roman"/>
          <w:b/>
          <w:bCs/>
        </w:rPr>
      </w:pPr>
    </w:p>
    <w:p w14:paraId="082F1E89" w14:textId="77777777" w:rsidR="00251BD1" w:rsidRDefault="00251BD1" w:rsidP="00251BD1">
      <w:pPr>
        <w:pStyle w:val="Standard"/>
        <w:ind w:left="-426"/>
        <w:jc w:val="both"/>
        <w:rPr>
          <w:rFonts w:cs="Times New Roman"/>
          <w:b/>
          <w:bCs/>
        </w:rPr>
      </w:pPr>
      <w:proofErr w:type="gramStart"/>
      <w:r>
        <w:rPr>
          <w:rFonts w:cs="Times New Roman"/>
          <w:b/>
          <w:bCs/>
        </w:rPr>
        <w:t>1</w:t>
      </w:r>
      <w:proofErr w:type="gramEnd"/>
      <w:r>
        <w:rPr>
          <w:rFonts w:cs="Times New Roman"/>
          <w:b/>
          <w:bCs/>
        </w:rPr>
        <w:t>) Contexto Operacional – Apresentação do Órgão 53000</w:t>
      </w:r>
    </w:p>
    <w:p w14:paraId="7F1D47E3" w14:textId="77777777" w:rsidR="00251BD1" w:rsidRDefault="00251BD1" w:rsidP="00251BD1">
      <w:pPr>
        <w:pStyle w:val="Standard"/>
        <w:jc w:val="both"/>
        <w:rPr>
          <w:rFonts w:cs="Times New Roman"/>
          <w:b/>
          <w:bCs/>
        </w:rPr>
      </w:pPr>
    </w:p>
    <w:p w14:paraId="215BDC55" w14:textId="6D9931E1" w:rsidR="00251BD1" w:rsidRDefault="00251BD1" w:rsidP="00251BD1">
      <w:pPr>
        <w:pStyle w:val="Standard"/>
        <w:ind w:left="-142" w:right="-710" w:firstLine="851"/>
        <w:jc w:val="both"/>
        <w:rPr>
          <w:rFonts w:cs="Times New Roman"/>
        </w:rPr>
      </w:pPr>
      <w:r>
        <w:rPr>
          <w:rFonts w:cs="Times New Roman"/>
        </w:rPr>
        <w:t>O Ministério do Desenvolvimento Regional, órgão da Administração Direta, teve sua estrutura regimenta</w:t>
      </w:r>
      <w:r w:rsidR="00945B5D">
        <w:rPr>
          <w:rFonts w:cs="Times New Roman"/>
        </w:rPr>
        <w:t>l aprovada pelo Decreto nº 10.290 de 24 de março</w:t>
      </w:r>
      <w:r>
        <w:rPr>
          <w:rFonts w:cs="Times New Roman"/>
        </w:rPr>
        <w:t xml:space="preserve"> d</w:t>
      </w:r>
      <w:r w:rsidR="00945B5D">
        <w:rPr>
          <w:rFonts w:cs="Times New Roman"/>
        </w:rPr>
        <w:t>e 2020</w:t>
      </w:r>
      <w:r>
        <w:rPr>
          <w:rFonts w:cs="Times New Roman"/>
        </w:rPr>
        <w:t xml:space="preserve">, no qual consta a extinção dos Ministérios da Integração Nacional e do Ministério das Cidades, os quais foram transformados no MDR. Decreto este que também definiu competência ao novo Ministério para tratar sobre os seguintes temas: </w:t>
      </w:r>
    </w:p>
    <w:p w14:paraId="5C206EEF" w14:textId="77777777" w:rsidR="00251BD1" w:rsidRDefault="00251BD1" w:rsidP="00251BD1">
      <w:pPr>
        <w:pStyle w:val="Standard"/>
        <w:ind w:left="-142" w:right="-710" w:firstLine="851"/>
        <w:jc w:val="both"/>
        <w:rPr>
          <w:rFonts w:cs="Times New Roman"/>
        </w:rPr>
      </w:pPr>
    </w:p>
    <w:p w14:paraId="4672A44C" w14:textId="05617AB6" w:rsidR="00945B5D" w:rsidRDefault="00945B5D" w:rsidP="00945B5D">
      <w:pPr>
        <w:pStyle w:val="dou-paragraph"/>
        <w:jc w:val="both"/>
      </w:pPr>
      <w:r>
        <w:t>I - política nacional de desenvolvimento regional;</w:t>
      </w:r>
    </w:p>
    <w:p w14:paraId="5CA92815" w14:textId="1F286D29" w:rsidR="00945B5D" w:rsidRDefault="00945B5D" w:rsidP="00945B5D">
      <w:pPr>
        <w:pStyle w:val="dou-paragraph"/>
        <w:jc w:val="both"/>
      </w:pPr>
      <w:r>
        <w:t>II - política nacional de desenvolvimento urbano;</w:t>
      </w:r>
    </w:p>
    <w:p w14:paraId="4F59A7A3" w14:textId="5FA47666" w:rsidR="00945B5D" w:rsidRDefault="00945B5D" w:rsidP="00945B5D">
      <w:pPr>
        <w:pStyle w:val="dou-paragraph"/>
        <w:jc w:val="both"/>
      </w:pPr>
      <w:r>
        <w:t>III - política nacional de proteção e defesa civil;</w:t>
      </w:r>
    </w:p>
    <w:p w14:paraId="1A426D30" w14:textId="2EC921D4" w:rsidR="00945B5D" w:rsidRDefault="00945B5D" w:rsidP="00945B5D">
      <w:pPr>
        <w:pStyle w:val="dou-paragraph"/>
        <w:jc w:val="both"/>
      </w:pPr>
      <w:r>
        <w:t>IV - política nacional de recursos hídricos;</w:t>
      </w:r>
    </w:p>
    <w:p w14:paraId="618EC3EB" w14:textId="72DCA9B1" w:rsidR="00945B5D" w:rsidRDefault="00945B5D" w:rsidP="00945B5D">
      <w:pPr>
        <w:pStyle w:val="dou-paragraph"/>
        <w:jc w:val="both"/>
      </w:pPr>
      <w:r>
        <w:t>V - política nacional de segurança hídrica;</w:t>
      </w:r>
    </w:p>
    <w:p w14:paraId="1D3E58CE" w14:textId="04D00C57" w:rsidR="00945B5D" w:rsidRDefault="00945B5D" w:rsidP="00945B5D">
      <w:pPr>
        <w:pStyle w:val="dou-paragraph"/>
        <w:jc w:val="both"/>
      </w:pPr>
      <w:r>
        <w:t>VI - política nacional de irrigação, observadas as competências do Ministério da Agricultura, Pecuária e Abastecimento;</w:t>
      </w:r>
    </w:p>
    <w:p w14:paraId="1608564C" w14:textId="1845BC78" w:rsidR="00945B5D" w:rsidRDefault="00945B5D" w:rsidP="00945B5D">
      <w:pPr>
        <w:pStyle w:val="dou-paragraph"/>
        <w:jc w:val="both"/>
      </w:pPr>
      <w:r>
        <w:t>VII - política nacional de habitação;</w:t>
      </w:r>
    </w:p>
    <w:p w14:paraId="27C4D651" w14:textId="541FF7AA" w:rsidR="00945B5D" w:rsidRDefault="00945B5D" w:rsidP="00945B5D">
      <w:pPr>
        <w:pStyle w:val="dou-paragraph"/>
        <w:jc w:val="both"/>
      </w:pPr>
      <w:r>
        <w:t>VIII - política nacional de saneamento;</w:t>
      </w:r>
    </w:p>
    <w:p w14:paraId="5B3AD44B" w14:textId="1873EE25" w:rsidR="00945B5D" w:rsidRDefault="00945B5D" w:rsidP="00945B5D">
      <w:pPr>
        <w:pStyle w:val="dou-paragraph"/>
        <w:jc w:val="both"/>
      </w:pPr>
      <w:r>
        <w:t>IX - política nacional de mobilidade urbana;</w:t>
      </w:r>
    </w:p>
    <w:p w14:paraId="41E36D2E" w14:textId="023647BF" w:rsidR="00945B5D" w:rsidRDefault="00945B5D" w:rsidP="00945B5D">
      <w:pPr>
        <w:pStyle w:val="dou-paragraph"/>
        <w:jc w:val="both"/>
      </w:pPr>
      <w:r>
        <w:t>X - política de subsídio à habitação popular, ao saneamento e à mobilidade urbana;</w:t>
      </w:r>
    </w:p>
    <w:p w14:paraId="57F871F5" w14:textId="61013481" w:rsidR="00945B5D" w:rsidRDefault="00945B5D" w:rsidP="00945B5D">
      <w:pPr>
        <w:pStyle w:val="dou-paragraph"/>
        <w:jc w:val="both"/>
      </w:pPr>
      <w:r>
        <w:t>XI - política nacional de ordenamento territorial;</w:t>
      </w:r>
    </w:p>
    <w:p w14:paraId="288FC527" w14:textId="18B43607" w:rsidR="00945B5D" w:rsidRDefault="00945B5D" w:rsidP="00945B5D">
      <w:pPr>
        <w:pStyle w:val="dou-paragraph"/>
        <w:jc w:val="both"/>
      </w:pPr>
      <w:r>
        <w:t>XII - estabelecimento de diretrizes e prioridades na aplicação dos recursos:</w:t>
      </w:r>
    </w:p>
    <w:p w14:paraId="2E770255" w14:textId="548965F6" w:rsidR="00945B5D" w:rsidRDefault="00945B5D" w:rsidP="00945B5D">
      <w:pPr>
        <w:pStyle w:val="dou-paragraph"/>
        <w:ind w:left="709"/>
        <w:jc w:val="both"/>
      </w:pPr>
      <w:r>
        <w:t xml:space="preserve">a) dos programas de financiamento </w:t>
      </w:r>
      <w:proofErr w:type="gramStart"/>
      <w:r>
        <w:t>relativos ao Fundo Constitucional</w:t>
      </w:r>
      <w:proofErr w:type="gramEnd"/>
      <w:r>
        <w:t xml:space="preserve"> de Financi</w:t>
      </w:r>
      <w:r>
        <w:t>a</w:t>
      </w:r>
      <w:r>
        <w:t>mento do Norte - FNO, ao Fundo Constitucional de Financiamento do Nordeste - FNE e ao Fundo Constitucional de Financiamento do Centro-Oeste - FCO;</w:t>
      </w:r>
    </w:p>
    <w:p w14:paraId="1415C65E" w14:textId="361969C8" w:rsidR="00945B5D" w:rsidRDefault="00945B5D" w:rsidP="00945B5D">
      <w:pPr>
        <w:pStyle w:val="dou-paragraph"/>
        <w:ind w:left="709"/>
        <w:jc w:val="both"/>
      </w:pPr>
      <w:r>
        <w:t>b) dos programas de financiamento de que trata a alínea “c” do inciso I do caput do art. 159 da Constituição;</w:t>
      </w:r>
    </w:p>
    <w:p w14:paraId="7EE85335" w14:textId="07FBE837" w:rsidR="00945B5D" w:rsidRDefault="00945B5D" w:rsidP="00945B5D">
      <w:pPr>
        <w:pStyle w:val="dou-paragraph"/>
        <w:ind w:left="709"/>
        <w:jc w:val="both"/>
      </w:pPr>
      <w:r>
        <w:t>c) do Fundo de Desenvolvimento da Amazônia - FDA, do Fundo de Desenvolvime</w:t>
      </w:r>
      <w:r>
        <w:t>n</w:t>
      </w:r>
      <w:r>
        <w:t xml:space="preserve">to do Nordeste - FDNE e do Fundo de Desenvolvimento do Centro-Oeste - FDCO; </w:t>
      </w:r>
      <w:proofErr w:type="gramStart"/>
      <w:r>
        <w:t>e</w:t>
      </w:r>
      <w:proofErr w:type="gramEnd"/>
    </w:p>
    <w:p w14:paraId="25EABE56" w14:textId="54D1D71B" w:rsidR="00945B5D" w:rsidRDefault="00945B5D" w:rsidP="00076306">
      <w:pPr>
        <w:pStyle w:val="dou-paragraph"/>
        <w:ind w:firstLine="709"/>
        <w:jc w:val="both"/>
      </w:pPr>
      <w:r>
        <w:t>d) do Fundo Nacional de Habitaç</w:t>
      </w:r>
      <w:r w:rsidR="00076306">
        <w:t>ão de Interesse Social - FNHIS;</w:t>
      </w:r>
    </w:p>
    <w:p w14:paraId="3994B4C5" w14:textId="77777777" w:rsidR="00945B5D" w:rsidRDefault="00945B5D" w:rsidP="00945B5D">
      <w:pPr>
        <w:pStyle w:val="dou-paragraph"/>
        <w:jc w:val="both"/>
      </w:pPr>
      <w:r>
        <w:t>XIII - estabelecimento de normas para o cumprimento das programações orçamentárias do Fundo de Investimentos da Amazônia - Finam e do Fundo de Investimento do Nordeste - Finor;</w:t>
      </w:r>
    </w:p>
    <w:p w14:paraId="18E7C701" w14:textId="77777777" w:rsidR="00945B5D" w:rsidRDefault="00945B5D" w:rsidP="00945B5D">
      <w:pPr>
        <w:pStyle w:val="dou-paragraph"/>
        <w:jc w:val="both"/>
      </w:pPr>
    </w:p>
    <w:p w14:paraId="7EDC9C47" w14:textId="60F74423" w:rsidR="00945B5D" w:rsidRDefault="00945B5D" w:rsidP="00945B5D">
      <w:pPr>
        <w:pStyle w:val="dou-paragraph"/>
        <w:jc w:val="both"/>
      </w:pPr>
      <w:r>
        <w:lastRenderedPageBreak/>
        <w:t>XIV - estabelecimento de metas a serem alcançadas nos programas de habitação popular, saneamento básico e infraestrutura urbana realizados com aplicação de recursos do Fundo de Garantia</w:t>
      </w:r>
      <w:r w:rsidR="00076306">
        <w:t xml:space="preserve"> por Tempo de Serviço - FGTS; </w:t>
      </w:r>
      <w:proofErr w:type="gramStart"/>
      <w:r w:rsidR="00076306">
        <w:t>e</w:t>
      </w:r>
      <w:proofErr w:type="gramEnd"/>
    </w:p>
    <w:p w14:paraId="54521051" w14:textId="0E74748B" w:rsidR="00945B5D" w:rsidRDefault="00945B5D" w:rsidP="00945B5D">
      <w:pPr>
        <w:pStyle w:val="dou-paragraph"/>
        <w:jc w:val="both"/>
      </w:pPr>
      <w:r>
        <w:t xml:space="preserve">XV - planos, </w:t>
      </w:r>
      <w:r w:rsidR="00076306">
        <w:t>programas, projetos e ações de:</w:t>
      </w:r>
    </w:p>
    <w:p w14:paraId="622884AF" w14:textId="24A7A4B5" w:rsidR="00945B5D" w:rsidRDefault="00945B5D" w:rsidP="00076306">
      <w:pPr>
        <w:pStyle w:val="dou-paragraph"/>
        <w:ind w:firstLine="709"/>
        <w:jc w:val="both"/>
      </w:pPr>
      <w:r>
        <w:t>a) desenvolvimento regional, metropolitano e urbano;</w:t>
      </w:r>
    </w:p>
    <w:p w14:paraId="40918F12" w14:textId="4E666DAC" w:rsidR="00945B5D" w:rsidRDefault="00945B5D" w:rsidP="00076306">
      <w:pPr>
        <w:pStyle w:val="dou-paragraph"/>
        <w:ind w:firstLine="709"/>
        <w:jc w:val="both"/>
      </w:pPr>
      <w:r>
        <w:t>b) gestão de recursos hídricos;</w:t>
      </w:r>
    </w:p>
    <w:p w14:paraId="188DBC1A" w14:textId="4A8A48FC" w:rsidR="00945B5D" w:rsidRDefault="00945B5D" w:rsidP="00076306">
      <w:pPr>
        <w:pStyle w:val="dou-paragraph"/>
        <w:ind w:firstLine="709"/>
        <w:jc w:val="both"/>
      </w:pPr>
      <w:r>
        <w:t>c) infraestrutura e garantia da segurança hídrica;</w:t>
      </w:r>
    </w:p>
    <w:p w14:paraId="18A4E356" w14:textId="361EBBCC" w:rsidR="00945B5D" w:rsidRDefault="00945B5D" w:rsidP="00076306">
      <w:pPr>
        <w:pStyle w:val="dou-paragraph"/>
        <w:ind w:firstLine="709"/>
        <w:jc w:val="both"/>
      </w:pPr>
      <w:r>
        <w:t>d) irrigação;</w:t>
      </w:r>
    </w:p>
    <w:p w14:paraId="33C4C67F" w14:textId="54174931" w:rsidR="00945B5D" w:rsidRDefault="00945B5D" w:rsidP="00076306">
      <w:pPr>
        <w:pStyle w:val="dou-paragraph"/>
        <w:ind w:firstLine="709"/>
        <w:jc w:val="both"/>
      </w:pPr>
      <w:r>
        <w:t xml:space="preserve">e) proteção e defesa civil e de gestão de riscos e desastres; </w:t>
      </w:r>
      <w:proofErr w:type="gramStart"/>
      <w:r>
        <w:t>e</w:t>
      </w:r>
      <w:proofErr w:type="gramEnd"/>
    </w:p>
    <w:p w14:paraId="56170449" w14:textId="1D6D5495" w:rsidR="00945B5D" w:rsidRDefault="00945B5D" w:rsidP="00945B5D">
      <w:pPr>
        <w:pStyle w:val="dou-paragraph"/>
        <w:jc w:val="both"/>
      </w:pPr>
      <w:r>
        <w:t>f) habitação, saneamento,</w:t>
      </w:r>
      <w:r w:rsidR="00076306">
        <w:t xml:space="preserve"> mobilidade e serviços urbanos.</w:t>
      </w:r>
    </w:p>
    <w:p w14:paraId="2D710AFE" w14:textId="22F07113" w:rsidR="00945B5D" w:rsidRDefault="00945B5D" w:rsidP="00AD0AE5">
      <w:pPr>
        <w:pStyle w:val="dou-paragraph"/>
        <w:ind w:left="709"/>
        <w:jc w:val="both"/>
      </w:pPr>
      <w:r>
        <w:t>Parágrafo único.  A competência de que trata o inciso XI do caput será exercida em articulação com o Ministério da Defesa.</w:t>
      </w:r>
    </w:p>
    <w:p w14:paraId="5D3D0C50" w14:textId="77777777" w:rsidR="00251BD1" w:rsidRDefault="00251BD1" w:rsidP="00251BD1">
      <w:pPr>
        <w:widowControl/>
        <w:suppressAutoHyphens w:val="0"/>
        <w:spacing w:before="100" w:after="100"/>
        <w:ind w:right="-710"/>
        <w:jc w:val="both"/>
        <w:textAlignment w:val="auto"/>
        <w:rPr>
          <w:rFonts w:eastAsia="Times New Roman" w:cs="Times New Roman"/>
          <w:kern w:val="0"/>
          <w:lang w:eastAsia="pt-BR" w:bidi="ar-SA"/>
        </w:rPr>
      </w:pPr>
    </w:p>
    <w:p w14:paraId="0A0E44F6" w14:textId="77777777" w:rsidR="00251BD1" w:rsidRPr="00FE53F6" w:rsidRDefault="00251BD1" w:rsidP="00251BD1">
      <w:pPr>
        <w:pStyle w:val="Standard"/>
        <w:ind w:left="-426"/>
        <w:jc w:val="both"/>
        <w:rPr>
          <w:rFonts w:cs="Times New Roman"/>
          <w:b/>
          <w:bCs/>
        </w:rPr>
      </w:pPr>
      <w:proofErr w:type="gramStart"/>
      <w:r w:rsidRPr="00FE53F6">
        <w:rPr>
          <w:rFonts w:cs="Times New Roman"/>
          <w:b/>
          <w:bCs/>
        </w:rPr>
        <w:t>2</w:t>
      </w:r>
      <w:proofErr w:type="gramEnd"/>
      <w:r w:rsidRPr="00FE53F6">
        <w:rPr>
          <w:rFonts w:cs="Times New Roman"/>
          <w:b/>
          <w:bCs/>
        </w:rPr>
        <w:t>) Declaração do Contador</w:t>
      </w:r>
    </w:p>
    <w:p w14:paraId="60785A6C" w14:textId="77777777" w:rsidR="00251BD1" w:rsidRDefault="00251BD1" w:rsidP="00251BD1">
      <w:pPr>
        <w:pStyle w:val="Standard"/>
        <w:ind w:left="-426"/>
        <w:jc w:val="both"/>
        <w:rPr>
          <w:rFonts w:cs="Times New Roman"/>
          <w:b/>
          <w:bCs/>
        </w:rPr>
      </w:pPr>
    </w:p>
    <w:p w14:paraId="0431BEE6" w14:textId="77777777" w:rsidR="00FE53F6" w:rsidRDefault="00FE53F6" w:rsidP="00FE53F6">
      <w:pPr>
        <w:pStyle w:val="Standard"/>
        <w:ind w:left="-426"/>
        <w:jc w:val="both"/>
        <w:rPr>
          <w:rFonts w:cs="Times New Roman"/>
          <w:b/>
          <w:bCs/>
        </w:rPr>
      </w:pPr>
      <w:r>
        <w:rPr>
          <w:rFonts w:cs="Times New Roman"/>
          <w:b/>
          <w:bCs/>
        </w:rPr>
        <w:t>Declaração Sem Restrição – Órgão 53000</w:t>
      </w:r>
    </w:p>
    <w:p w14:paraId="037532FC" w14:textId="77777777" w:rsidR="00FE53F6" w:rsidRDefault="00FE53F6" w:rsidP="00FE53F6">
      <w:pPr>
        <w:pStyle w:val="Standard"/>
        <w:ind w:left="-426"/>
        <w:jc w:val="both"/>
        <w:rPr>
          <w:rFonts w:cs="Times New Roman"/>
          <w:b/>
          <w:bCs/>
        </w:rPr>
      </w:pPr>
    </w:p>
    <w:p w14:paraId="42318E37" w14:textId="77777777" w:rsidR="00FE53F6" w:rsidRDefault="00FE53F6" w:rsidP="00FE53F6">
      <w:pPr>
        <w:pStyle w:val="Standard"/>
        <w:ind w:left="-426" w:right="-708"/>
        <w:jc w:val="both"/>
      </w:pPr>
      <w:r>
        <w:rPr>
          <w:rFonts w:cs="Times New Roman"/>
          <w:b/>
          <w:bCs/>
        </w:rPr>
        <w:tab/>
      </w:r>
      <w:r>
        <w:rPr>
          <w:rFonts w:cs="Times New Roman"/>
          <w:bCs/>
        </w:rPr>
        <w:t>Esta declaração refere-se às demonstrações contábeis e suas notas explicativas de 31 de dezembro de 2020 do Ministério do Desenvolvimento Regional.</w:t>
      </w:r>
    </w:p>
    <w:p w14:paraId="0229B551" w14:textId="77777777" w:rsidR="00FE53F6" w:rsidRDefault="00FE53F6" w:rsidP="00FE53F6">
      <w:pPr>
        <w:pStyle w:val="Standard"/>
        <w:ind w:left="-426" w:right="-708"/>
        <w:jc w:val="both"/>
        <w:rPr>
          <w:rFonts w:cs="Times New Roman"/>
          <w:bCs/>
        </w:rPr>
      </w:pPr>
    </w:p>
    <w:p w14:paraId="151D9608" w14:textId="77777777" w:rsidR="00FE53F6" w:rsidRDefault="00FE53F6" w:rsidP="00FE53F6">
      <w:pPr>
        <w:pStyle w:val="Standard"/>
        <w:ind w:left="-426" w:right="-708"/>
        <w:jc w:val="both"/>
        <w:rPr>
          <w:rFonts w:cs="Times New Roman"/>
          <w:bCs/>
        </w:rPr>
      </w:pPr>
      <w:r>
        <w:rPr>
          <w:rFonts w:cs="Times New Roman"/>
          <w:bCs/>
        </w:rPr>
        <w:tab/>
        <w:t>Esta declaração reflete a conformidade contábil das demonstrações contábeis encerradas em 31 de dezembro de 2020 e é pautada na Macrofunção 020315 – Conformidade Contábil presente no Manual SIAFI – Sistema Integrado de Administração Financeira do Governo Federal.</w:t>
      </w:r>
    </w:p>
    <w:p w14:paraId="2B116DD4" w14:textId="77777777" w:rsidR="00FE53F6" w:rsidRDefault="00FE53F6" w:rsidP="00FE53F6">
      <w:pPr>
        <w:pStyle w:val="Standard"/>
        <w:ind w:left="-426" w:right="-708"/>
        <w:jc w:val="both"/>
        <w:rPr>
          <w:rFonts w:cs="Times New Roman"/>
          <w:bCs/>
        </w:rPr>
      </w:pPr>
    </w:p>
    <w:p w14:paraId="56AF1BFB" w14:textId="383E8278" w:rsidR="00FE53F6" w:rsidRDefault="00FE53F6" w:rsidP="00FE53F6">
      <w:pPr>
        <w:pStyle w:val="Standard"/>
        <w:ind w:left="-426" w:right="-708" w:firstLine="426"/>
        <w:jc w:val="both"/>
        <w:rPr>
          <w:rFonts w:cs="Times New Roman"/>
          <w:bCs/>
        </w:rPr>
      </w:pPr>
      <w:r>
        <w:rPr>
          <w:rFonts w:cs="Times New Roman"/>
          <w:bCs/>
        </w:rPr>
        <w:t>As demonstrações contábeis, Balanço Patrimonial, Demonstração de Variações Patrimoniais, Demonstração de Fluxo de Caixa, Demonstração das Mutações do Patrimônio Líquido, Balanço Orçamentário, Balanço Financeiro e suas notas explicativas, encerradas em 31 de dezembro de 2020, estão, em todos os aspectos relevantes, de acordo com a Lei 4.320/64, o Manual de Contabilidade Aplicada ao Setor Público e o Manual SIAFI, nas Unidades Gestoras:</w:t>
      </w:r>
    </w:p>
    <w:p w14:paraId="16D14E58" w14:textId="77777777" w:rsidR="00FE53F6" w:rsidRDefault="00FE53F6" w:rsidP="00FE53F6">
      <w:pPr>
        <w:pStyle w:val="Standard"/>
        <w:ind w:left="-426" w:right="-708" w:firstLine="426"/>
        <w:jc w:val="both"/>
        <w:rPr>
          <w:rFonts w:cs="Times New Roman"/>
          <w:bCs/>
        </w:rPr>
      </w:pPr>
    </w:p>
    <w:p w14:paraId="76B7377E" w14:textId="77777777" w:rsidR="00FE53F6" w:rsidRDefault="00FE53F6" w:rsidP="00FE53F6">
      <w:pPr>
        <w:pStyle w:val="Standard"/>
        <w:ind w:left="-426" w:right="-708" w:firstLine="426"/>
        <w:jc w:val="both"/>
        <w:rPr>
          <w:rFonts w:cs="Times New Roman"/>
          <w:bCs/>
        </w:rPr>
      </w:pPr>
      <w:r>
        <w:rPr>
          <w:rFonts w:cs="Times New Roman"/>
          <w:b/>
          <w:bCs/>
        </w:rPr>
        <w:t xml:space="preserve">530024 – </w:t>
      </w:r>
      <w:r>
        <w:rPr>
          <w:rFonts w:cs="Times New Roman"/>
          <w:bCs/>
        </w:rPr>
        <w:t>SPFI/MDR</w:t>
      </w:r>
    </w:p>
    <w:p w14:paraId="6DD8DF72" w14:textId="44E4C36A" w:rsidR="00FE53F6" w:rsidRDefault="00FE53F6" w:rsidP="00FE53F6">
      <w:pPr>
        <w:pStyle w:val="Standard"/>
        <w:ind w:left="-426" w:right="-708" w:firstLine="426"/>
        <w:jc w:val="both"/>
        <w:rPr>
          <w:rFonts w:cs="Times New Roman"/>
          <w:bCs/>
        </w:rPr>
      </w:pPr>
      <w:r>
        <w:rPr>
          <w:rFonts w:cs="Times New Roman"/>
          <w:b/>
          <w:bCs/>
        </w:rPr>
        <w:t>560007 -</w:t>
      </w:r>
      <w:r>
        <w:rPr>
          <w:rFonts w:cs="Times New Roman"/>
          <w:bCs/>
        </w:rPr>
        <w:t xml:space="preserve"> SNMU/MDR</w:t>
      </w:r>
    </w:p>
    <w:p w14:paraId="3401103A" w14:textId="77777777" w:rsidR="00FE53F6" w:rsidRDefault="00FE53F6" w:rsidP="00FE53F6">
      <w:pPr>
        <w:pStyle w:val="Standard"/>
        <w:ind w:left="-426" w:right="-708" w:firstLine="426"/>
        <w:jc w:val="both"/>
      </w:pPr>
      <w:r>
        <w:rPr>
          <w:rFonts w:cs="Times New Roman"/>
          <w:b/>
          <w:bCs/>
        </w:rPr>
        <w:t>560009</w:t>
      </w:r>
      <w:r>
        <w:rPr>
          <w:rFonts w:cs="Times New Roman"/>
          <w:bCs/>
        </w:rPr>
        <w:t xml:space="preserve"> – Programa Social de Saneamento </w:t>
      </w:r>
    </w:p>
    <w:p w14:paraId="27D845A2" w14:textId="77777777" w:rsidR="00FE53F6" w:rsidRDefault="00FE53F6" w:rsidP="00FE53F6">
      <w:pPr>
        <w:pStyle w:val="Standard"/>
        <w:ind w:left="-426" w:right="-708" w:firstLine="426"/>
        <w:jc w:val="both"/>
      </w:pPr>
      <w:r>
        <w:rPr>
          <w:rFonts w:cs="Times New Roman"/>
          <w:b/>
          <w:bCs/>
        </w:rPr>
        <w:t xml:space="preserve">560010 </w:t>
      </w:r>
      <w:r>
        <w:rPr>
          <w:rFonts w:cs="Times New Roman"/>
          <w:bCs/>
        </w:rPr>
        <w:t>– CGLOG/Cidades</w:t>
      </w:r>
    </w:p>
    <w:p w14:paraId="2EF4130C" w14:textId="77777777" w:rsidR="00FE53F6" w:rsidRDefault="00FE53F6" w:rsidP="00FE53F6">
      <w:pPr>
        <w:pStyle w:val="Standard"/>
        <w:ind w:left="-426" w:right="-708" w:firstLine="426"/>
        <w:jc w:val="both"/>
      </w:pPr>
      <w:r>
        <w:rPr>
          <w:rFonts w:cs="Times New Roman"/>
          <w:b/>
          <w:bCs/>
        </w:rPr>
        <w:t xml:space="preserve">560011 </w:t>
      </w:r>
      <w:r>
        <w:rPr>
          <w:rFonts w:cs="Times New Roman"/>
          <w:bCs/>
        </w:rPr>
        <w:t>– CGRH/Cidades</w:t>
      </w:r>
    </w:p>
    <w:p w14:paraId="648B79DD" w14:textId="77777777" w:rsidR="00FE53F6" w:rsidRDefault="00FE53F6" w:rsidP="00FE53F6">
      <w:pPr>
        <w:pStyle w:val="Standard"/>
        <w:ind w:left="-426" w:right="-708" w:firstLine="426"/>
        <w:jc w:val="both"/>
      </w:pPr>
      <w:r>
        <w:rPr>
          <w:rFonts w:cs="Times New Roman"/>
          <w:b/>
          <w:bCs/>
        </w:rPr>
        <w:t xml:space="preserve">560012 </w:t>
      </w:r>
      <w:r>
        <w:rPr>
          <w:rFonts w:cs="Times New Roman"/>
          <w:bCs/>
        </w:rPr>
        <w:t>– Projeto Habitar/BID</w:t>
      </w:r>
    </w:p>
    <w:p w14:paraId="55CF1090" w14:textId="77777777" w:rsidR="00FE53F6" w:rsidRDefault="00FE53F6" w:rsidP="00FE53F6">
      <w:pPr>
        <w:pStyle w:val="Standard"/>
        <w:ind w:left="-426" w:right="-708" w:firstLine="426"/>
        <w:jc w:val="both"/>
        <w:rPr>
          <w:rFonts w:cs="Times New Roman"/>
          <w:bCs/>
        </w:rPr>
      </w:pPr>
      <w:r>
        <w:rPr>
          <w:rFonts w:cs="Times New Roman"/>
          <w:b/>
          <w:bCs/>
        </w:rPr>
        <w:t xml:space="preserve">560013 </w:t>
      </w:r>
      <w:r>
        <w:rPr>
          <w:rFonts w:cs="Times New Roman"/>
          <w:bCs/>
        </w:rPr>
        <w:t>– Projeto PAT/PROSANEAR</w:t>
      </w:r>
    </w:p>
    <w:p w14:paraId="03BB5921" w14:textId="77777777" w:rsidR="00FE53F6" w:rsidRDefault="00FE53F6" w:rsidP="00FE53F6">
      <w:pPr>
        <w:pStyle w:val="Standard"/>
        <w:ind w:left="-426" w:right="-708" w:firstLine="426"/>
        <w:jc w:val="both"/>
      </w:pPr>
      <w:r>
        <w:rPr>
          <w:rFonts w:cs="Times New Roman"/>
          <w:b/>
          <w:bCs/>
        </w:rPr>
        <w:t xml:space="preserve">560015 </w:t>
      </w:r>
      <w:r>
        <w:t>- FNHIS/MDR</w:t>
      </w:r>
    </w:p>
    <w:p w14:paraId="45570148" w14:textId="77777777" w:rsidR="00FE53F6" w:rsidRDefault="00FE53F6" w:rsidP="00FE53F6">
      <w:pPr>
        <w:pStyle w:val="Standard"/>
        <w:ind w:left="-426" w:right="-708" w:firstLine="426"/>
        <w:jc w:val="both"/>
      </w:pPr>
      <w:r>
        <w:rPr>
          <w:rFonts w:cs="Times New Roman"/>
          <w:b/>
          <w:bCs/>
        </w:rPr>
        <w:t xml:space="preserve">560016 </w:t>
      </w:r>
      <w:r>
        <w:rPr>
          <w:rFonts w:cs="Times New Roman"/>
          <w:bCs/>
        </w:rPr>
        <w:t>– Programa PMSS/MDL</w:t>
      </w:r>
    </w:p>
    <w:p w14:paraId="35D90D22" w14:textId="77777777" w:rsidR="00FE53F6" w:rsidRDefault="00FE53F6" w:rsidP="00FE53F6">
      <w:pPr>
        <w:pStyle w:val="Standard"/>
        <w:ind w:left="-426" w:right="-708" w:firstLine="426"/>
        <w:jc w:val="both"/>
      </w:pPr>
      <w:r>
        <w:rPr>
          <w:rFonts w:cs="Times New Roman"/>
          <w:b/>
          <w:bCs/>
        </w:rPr>
        <w:t xml:space="preserve">560017 </w:t>
      </w:r>
      <w:r>
        <w:rPr>
          <w:rFonts w:cs="Times New Roman"/>
          <w:bCs/>
        </w:rPr>
        <w:t>– Projeto TAL/HABITAT/BIRD</w:t>
      </w:r>
    </w:p>
    <w:p w14:paraId="62D9B35B" w14:textId="77777777" w:rsidR="00FE53F6" w:rsidRDefault="00FE53F6" w:rsidP="00FE53F6">
      <w:pPr>
        <w:pStyle w:val="Standard"/>
        <w:ind w:left="-426" w:right="-708" w:firstLine="426"/>
        <w:jc w:val="both"/>
      </w:pPr>
      <w:r>
        <w:rPr>
          <w:rFonts w:cs="Times New Roman"/>
          <w:b/>
          <w:bCs/>
        </w:rPr>
        <w:t xml:space="preserve">560019 </w:t>
      </w:r>
      <w:r>
        <w:rPr>
          <w:rFonts w:cs="Times New Roman"/>
          <w:bCs/>
        </w:rPr>
        <w:t>– CAIXA – Programa Nacional de Habitação Urbana/PMCMV</w:t>
      </w:r>
    </w:p>
    <w:p w14:paraId="54C29A60" w14:textId="77777777" w:rsidR="00FE53F6" w:rsidRDefault="00FE53F6" w:rsidP="00FE53F6">
      <w:pPr>
        <w:pStyle w:val="Standard"/>
        <w:ind w:left="-426" w:right="-708" w:firstLine="426"/>
        <w:jc w:val="both"/>
      </w:pPr>
      <w:r>
        <w:rPr>
          <w:rFonts w:cs="Times New Roman"/>
          <w:b/>
          <w:bCs/>
        </w:rPr>
        <w:t>560020</w:t>
      </w:r>
      <w:r>
        <w:rPr>
          <w:rFonts w:cs="Times New Roman"/>
          <w:bCs/>
        </w:rPr>
        <w:t xml:space="preserve"> – CAIXA – Programa Nacional de Habitação Rural/PMCMV</w:t>
      </w:r>
    </w:p>
    <w:p w14:paraId="48A9396E" w14:textId="77777777" w:rsidR="00FE53F6" w:rsidRDefault="00FE53F6" w:rsidP="00FE53F6">
      <w:pPr>
        <w:pStyle w:val="Standard"/>
        <w:ind w:left="-426" w:right="-708" w:firstLine="426"/>
        <w:jc w:val="both"/>
      </w:pPr>
      <w:r>
        <w:rPr>
          <w:rFonts w:cs="Times New Roman"/>
          <w:b/>
          <w:bCs/>
        </w:rPr>
        <w:t xml:space="preserve">560021 </w:t>
      </w:r>
      <w:r>
        <w:rPr>
          <w:rFonts w:cs="Times New Roman"/>
          <w:bCs/>
        </w:rPr>
        <w:t>– Conselho das Cidades/</w:t>
      </w:r>
      <w:proofErr w:type="gramStart"/>
      <w:r>
        <w:rPr>
          <w:rFonts w:cs="Times New Roman"/>
          <w:bCs/>
        </w:rPr>
        <w:t>MCidades</w:t>
      </w:r>
      <w:proofErr w:type="gramEnd"/>
    </w:p>
    <w:p w14:paraId="51057BEC" w14:textId="77777777" w:rsidR="00FE53F6" w:rsidRDefault="00FE53F6" w:rsidP="00FE53F6">
      <w:pPr>
        <w:pStyle w:val="Standard"/>
        <w:jc w:val="both"/>
        <w:rPr>
          <w:rFonts w:cs="Times New Roman"/>
          <w:b/>
          <w:bCs/>
        </w:rPr>
      </w:pPr>
    </w:p>
    <w:p w14:paraId="3FB28B98" w14:textId="77777777" w:rsidR="00DB66D1" w:rsidRDefault="00DB66D1" w:rsidP="00AD0AE5">
      <w:pPr>
        <w:pStyle w:val="Standard"/>
        <w:jc w:val="both"/>
        <w:rPr>
          <w:rFonts w:cs="Times New Roman"/>
          <w:b/>
          <w:bCs/>
        </w:rPr>
      </w:pPr>
    </w:p>
    <w:p w14:paraId="482DC2B6" w14:textId="77777777" w:rsidR="00DB66D1" w:rsidRDefault="00DB66D1" w:rsidP="00FE53F6">
      <w:pPr>
        <w:pStyle w:val="Standard"/>
        <w:ind w:left="-426" w:firstLine="426"/>
        <w:jc w:val="both"/>
        <w:rPr>
          <w:rFonts w:cs="Times New Roman"/>
          <w:b/>
          <w:bCs/>
        </w:rPr>
      </w:pPr>
    </w:p>
    <w:p w14:paraId="5A6FEA2B" w14:textId="3FA215DE" w:rsidR="00FE53F6" w:rsidRDefault="00FE53F6" w:rsidP="00FE53F6">
      <w:pPr>
        <w:pStyle w:val="Standard"/>
        <w:ind w:left="-426" w:firstLine="426"/>
        <w:jc w:val="both"/>
        <w:rPr>
          <w:rFonts w:cs="Times New Roman"/>
          <w:b/>
          <w:bCs/>
        </w:rPr>
      </w:pPr>
      <w:r>
        <w:rPr>
          <w:rFonts w:cs="Times New Roman"/>
          <w:b/>
          <w:bCs/>
        </w:rPr>
        <w:t>Declaração Com Restrição – Órgão 53000</w:t>
      </w:r>
    </w:p>
    <w:p w14:paraId="127760DF" w14:textId="77777777" w:rsidR="00FE53F6" w:rsidRDefault="00FE53F6" w:rsidP="00FE53F6">
      <w:pPr>
        <w:pStyle w:val="Standard"/>
        <w:ind w:left="-426"/>
        <w:jc w:val="both"/>
        <w:rPr>
          <w:rFonts w:cs="Times New Roman"/>
          <w:b/>
          <w:bCs/>
        </w:rPr>
      </w:pPr>
    </w:p>
    <w:p w14:paraId="08CBF80C" w14:textId="77777777" w:rsidR="00FE53F6" w:rsidRDefault="00FE53F6" w:rsidP="00FE53F6">
      <w:pPr>
        <w:pStyle w:val="Standard"/>
        <w:ind w:left="-426" w:right="-708"/>
        <w:jc w:val="both"/>
      </w:pPr>
      <w:r>
        <w:rPr>
          <w:rFonts w:cs="Times New Roman"/>
          <w:b/>
          <w:bCs/>
        </w:rPr>
        <w:tab/>
      </w:r>
      <w:r>
        <w:rPr>
          <w:rFonts w:cs="Times New Roman"/>
          <w:bCs/>
        </w:rPr>
        <w:t>Esta declaração refere-se às demonstrações contábeis e suas notas explicativas de 31 de dezembro de 2020 do Ministério do Desenvolvimento Regional.</w:t>
      </w:r>
    </w:p>
    <w:p w14:paraId="13F79E35" w14:textId="77777777" w:rsidR="00FE53F6" w:rsidRDefault="00FE53F6" w:rsidP="00FE53F6">
      <w:pPr>
        <w:pStyle w:val="Standard"/>
        <w:ind w:left="-426" w:right="-708"/>
        <w:jc w:val="both"/>
        <w:rPr>
          <w:rFonts w:cs="Times New Roman"/>
          <w:bCs/>
        </w:rPr>
      </w:pPr>
    </w:p>
    <w:p w14:paraId="1D7D136C" w14:textId="77777777" w:rsidR="00FE53F6" w:rsidRDefault="00FE53F6" w:rsidP="00FE53F6">
      <w:pPr>
        <w:pStyle w:val="Standard"/>
        <w:ind w:left="-426" w:right="-708"/>
        <w:jc w:val="both"/>
        <w:rPr>
          <w:rFonts w:cs="Times New Roman"/>
          <w:bCs/>
        </w:rPr>
      </w:pPr>
      <w:r>
        <w:rPr>
          <w:rFonts w:cs="Times New Roman"/>
          <w:bCs/>
        </w:rPr>
        <w:lastRenderedPageBreak/>
        <w:tab/>
        <w:t>Esta declaração reflete a conformidade contábil das demonstrações contábeis encerradas em 31 de dezembro de 2020 e é pautada na Macrofunção 020315 – Conformidade Contábil presente no Manual SIAFI – Sistema Integrado de Administração Financeira do Governo Federal.</w:t>
      </w:r>
    </w:p>
    <w:p w14:paraId="625EEA9A" w14:textId="77777777" w:rsidR="00FE53F6" w:rsidRDefault="00FE53F6" w:rsidP="00FE53F6">
      <w:pPr>
        <w:pStyle w:val="Standard"/>
        <w:ind w:left="-426" w:right="-708"/>
        <w:jc w:val="both"/>
        <w:rPr>
          <w:rFonts w:cs="Times New Roman"/>
          <w:bCs/>
        </w:rPr>
      </w:pPr>
    </w:p>
    <w:p w14:paraId="6E5B0403" w14:textId="5069B7FD" w:rsidR="00FE53F6" w:rsidRDefault="00FE53F6" w:rsidP="00FE53F6">
      <w:pPr>
        <w:pStyle w:val="Standard"/>
        <w:ind w:left="-426" w:right="-708" w:firstLine="426"/>
        <w:jc w:val="both"/>
        <w:rPr>
          <w:rFonts w:cs="Times New Roman"/>
          <w:bCs/>
        </w:rPr>
      </w:pPr>
      <w:bookmarkStart w:id="0" w:name="_GoBack"/>
      <w:bookmarkEnd w:id="0"/>
      <w:r>
        <w:rPr>
          <w:rFonts w:cs="Times New Roman"/>
          <w:bCs/>
        </w:rPr>
        <w:t>As demonstrações contábeis, Balanço Patrimonial, Demonstração de Variações Patrimoniais, Demonstração de Fluxo de Caixa, Demonstração das Mutações do Patrimônio Líquido, Balanço Orçamentário, Balanço Financeiro e suas notas explicativas, encerradas em 31 de dezembro de 2020, estão, em todos os aspectos relevantes, de acordo com a Lei 4.320/64, o Manual de Contabilidade Aplicada ao Setor Público e o Manual SIAFI, exceto quanto os assuntos mencionados a seguir:</w:t>
      </w:r>
    </w:p>
    <w:p w14:paraId="34B5E0C6" w14:textId="77777777" w:rsidR="00FE53F6" w:rsidRDefault="00FE53F6" w:rsidP="00FE53F6">
      <w:pPr>
        <w:pStyle w:val="Standard"/>
        <w:ind w:left="-426" w:right="-708" w:firstLine="426"/>
        <w:jc w:val="both"/>
        <w:rPr>
          <w:rFonts w:cs="Times New Roman"/>
          <w:bCs/>
        </w:rPr>
      </w:pPr>
    </w:p>
    <w:p w14:paraId="407CE52B" w14:textId="77777777" w:rsidR="00FE53F6" w:rsidRDefault="00FE53F6" w:rsidP="00FE53F6">
      <w:pPr>
        <w:pStyle w:val="Standard"/>
        <w:ind w:left="-426" w:right="-708" w:firstLine="426"/>
        <w:jc w:val="both"/>
      </w:pPr>
      <w:r>
        <w:rPr>
          <w:rFonts w:cs="Times New Roman"/>
          <w:b/>
          <w:bCs/>
        </w:rPr>
        <w:t>53000</w:t>
      </w:r>
      <w:r>
        <w:rPr>
          <w:rFonts w:cs="Times New Roman"/>
          <w:bCs/>
        </w:rPr>
        <w:t xml:space="preserve"> – Ministério do Desenvolvimento Regional</w:t>
      </w:r>
    </w:p>
    <w:p w14:paraId="12708947" w14:textId="77777777" w:rsidR="00FE53F6" w:rsidRDefault="00FE53F6" w:rsidP="00FE53F6">
      <w:pPr>
        <w:pStyle w:val="Standard"/>
        <w:ind w:left="-426" w:right="-708" w:firstLine="426"/>
        <w:jc w:val="both"/>
        <w:rPr>
          <w:rFonts w:cs="Times New Roman"/>
          <w:bCs/>
        </w:rPr>
      </w:pPr>
    </w:p>
    <w:p w14:paraId="024F166E" w14:textId="77777777" w:rsidR="00FE53F6" w:rsidRDefault="00FE53F6" w:rsidP="00FE53F6">
      <w:pPr>
        <w:pStyle w:val="Standard"/>
        <w:ind w:left="-426" w:right="-708" w:firstLine="426"/>
        <w:jc w:val="both"/>
      </w:pPr>
      <w:r>
        <w:rPr>
          <w:rFonts w:cs="Times New Roman"/>
          <w:bCs/>
        </w:rPr>
        <w:t xml:space="preserve"> - </w:t>
      </w:r>
      <w:r>
        <w:rPr>
          <w:rFonts w:cs="Times New Roman"/>
          <w:bCs/>
          <w:i/>
        </w:rPr>
        <w:t>Falta de conformidade de registro de gestão;</w:t>
      </w:r>
    </w:p>
    <w:p w14:paraId="2F1C1ED4" w14:textId="77777777" w:rsidR="00FE53F6" w:rsidRDefault="00FE53F6" w:rsidP="00FE53F6">
      <w:pPr>
        <w:pStyle w:val="Standard"/>
        <w:ind w:left="-426" w:right="-708" w:firstLine="426"/>
        <w:jc w:val="both"/>
        <w:rPr>
          <w:rFonts w:cs="Times New Roman"/>
          <w:bCs/>
          <w:i/>
        </w:rPr>
      </w:pPr>
      <w:r>
        <w:rPr>
          <w:rFonts w:cs="Times New Roman"/>
          <w:bCs/>
          <w:i/>
        </w:rPr>
        <w:t xml:space="preserve"> - Não atendimento a orientações do Órgão de Contabilidade Setorial ou Central;</w:t>
      </w:r>
    </w:p>
    <w:p w14:paraId="64D76C94" w14:textId="77777777" w:rsidR="00FE53F6" w:rsidRDefault="00FE53F6" w:rsidP="00FE53F6">
      <w:pPr>
        <w:pStyle w:val="Standard"/>
        <w:ind w:left="-426" w:right="-708" w:firstLine="426"/>
        <w:jc w:val="both"/>
        <w:rPr>
          <w:rFonts w:cs="Times New Roman"/>
          <w:bCs/>
          <w:i/>
        </w:rPr>
      </w:pPr>
      <w:r>
        <w:rPr>
          <w:rFonts w:cs="Times New Roman"/>
          <w:bCs/>
          <w:i/>
        </w:rPr>
        <w:t xml:space="preserve"> - Outros Bens Imóveis registrados em conta de Ativo Permanente superior a 10% da conta sintética;</w:t>
      </w:r>
    </w:p>
    <w:p w14:paraId="376D5823" w14:textId="77777777" w:rsidR="00FE53F6" w:rsidRDefault="00FE53F6" w:rsidP="00FE53F6">
      <w:pPr>
        <w:pStyle w:val="Standard"/>
        <w:ind w:left="-426" w:right="-708" w:firstLine="426"/>
        <w:jc w:val="both"/>
        <w:rPr>
          <w:rFonts w:cs="Times New Roman"/>
          <w:bCs/>
          <w:i/>
        </w:rPr>
      </w:pPr>
      <w:r>
        <w:rPr>
          <w:rFonts w:cs="Times New Roman"/>
          <w:bCs/>
          <w:i/>
        </w:rPr>
        <w:t xml:space="preserve"> - Sld.Along/Indev.Contas Controle;</w:t>
      </w:r>
    </w:p>
    <w:p w14:paraId="78DAFF8B" w14:textId="598B1378" w:rsidR="00FE53F6" w:rsidRDefault="00FE53F6" w:rsidP="00FE53F6">
      <w:pPr>
        <w:pStyle w:val="Standard"/>
        <w:ind w:right="-708"/>
        <w:jc w:val="both"/>
        <w:rPr>
          <w:rFonts w:cs="Times New Roman"/>
          <w:bCs/>
          <w:i/>
        </w:rPr>
      </w:pPr>
      <w:r>
        <w:rPr>
          <w:rFonts w:cs="Times New Roman"/>
          <w:bCs/>
          <w:i/>
        </w:rPr>
        <w:t xml:space="preserve"> - Convênios a comprovar com data expirada;</w:t>
      </w:r>
    </w:p>
    <w:p w14:paraId="048A669E" w14:textId="6F91276C" w:rsidR="00FE53F6" w:rsidRDefault="00FE53F6" w:rsidP="00FE53F6">
      <w:pPr>
        <w:pStyle w:val="Standard"/>
        <w:ind w:right="-708"/>
        <w:jc w:val="both"/>
        <w:rPr>
          <w:rFonts w:cs="Times New Roman"/>
          <w:bCs/>
          <w:i/>
        </w:rPr>
      </w:pPr>
      <w:r>
        <w:rPr>
          <w:rFonts w:cs="Times New Roman"/>
          <w:bCs/>
          <w:i/>
        </w:rPr>
        <w:t xml:space="preserve"> - Convênios a aprovar com data expirada;</w:t>
      </w:r>
    </w:p>
    <w:p w14:paraId="4C8F7D43" w14:textId="1C1CDAF8" w:rsidR="00FE53F6" w:rsidRDefault="00FE53F6" w:rsidP="00FE53F6">
      <w:pPr>
        <w:pStyle w:val="Standard"/>
        <w:ind w:right="-708"/>
        <w:jc w:val="both"/>
        <w:rPr>
          <w:rFonts w:cs="Times New Roman"/>
          <w:bCs/>
          <w:i/>
        </w:rPr>
      </w:pPr>
      <w:r>
        <w:rPr>
          <w:rFonts w:cs="Times New Roman"/>
          <w:bCs/>
          <w:i/>
        </w:rPr>
        <w:t xml:space="preserve"> - Convênios a liberar com data expirada;</w:t>
      </w:r>
    </w:p>
    <w:p w14:paraId="37C54038" w14:textId="332FA3EE" w:rsidR="00FE53F6" w:rsidRDefault="00FE53F6" w:rsidP="00FE53F6">
      <w:pPr>
        <w:pStyle w:val="Standard"/>
        <w:ind w:right="-708"/>
        <w:jc w:val="both"/>
        <w:rPr>
          <w:rFonts w:cs="Times New Roman"/>
          <w:bCs/>
          <w:i/>
        </w:rPr>
      </w:pPr>
      <w:r>
        <w:rPr>
          <w:rFonts w:cs="Times New Roman"/>
          <w:bCs/>
          <w:i/>
        </w:rPr>
        <w:t xml:space="preserve"> - Contrato de repasse a comprovar com data expirada;</w:t>
      </w:r>
    </w:p>
    <w:p w14:paraId="253D65C2" w14:textId="604156C0" w:rsidR="00FE53F6" w:rsidRDefault="00FE53F6" w:rsidP="00FE53F6">
      <w:pPr>
        <w:pStyle w:val="Standard"/>
        <w:ind w:right="-708"/>
        <w:jc w:val="both"/>
        <w:rPr>
          <w:rFonts w:cs="Times New Roman"/>
          <w:bCs/>
          <w:i/>
        </w:rPr>
      </w:pPr>
      <w:r>
        <w:rPr>
          <w:rFonts w:cs="Times New Roman"/>
          <w:bCs/>
          <w:i/>
        </w:rPr>
        <w:t xml:space="preserve"> - Contrato de repasse a aprovar com data expirada;</w:t>
      </w:r>
    </w:p>
    <w:p w14:paraId="3F758CE8" w14:textId="62412078" w:rsidR="00FE53F6" w:rsidRDefault="00FE53F6" w:rsidP="00FE53F6">
      <w:pPr>
        <w:pStyle w:val="Standard"/>
        <w:ind w:right="-708"/>
        <w:jc w:val="both"/>
        <w:rPr>
          <w:rFonts w:cs="Times New Roman"/>
          <w:bCs/>
          <w:i/>
        </w:rPr>
      </w:pPr>
      <w:r>
        <w:rPr>
          <w:rFonts w:cs="Times New Roman"/>
          <w:bCs/>
          <w:i/>
        </w:rPr>
        <w:t xml:space="preserve"> - Contrato de repasse a liberar expirados;</w:t>
      </w:r>
    </w:p>
    <w:p w14:paraId="1BAB7A6C" w14:textId="77777777" w:rsidR="00FE53F6" w:rsidRDefault="00FE53F6" w:rsidP="00FE53F6">
      <w:pPr>
        <w:pStyle w:val="Standard"/>
        <w:ind w:left="-426" w:right="-708" w:firstLine="426"/>
        <w:jc w:val="both"/>
        <w:rPr>
          <w:rFonts w:cs="Times New Roman"/>
          <w:bCs/>
          <w:i/>
        </w:rPr>
      </w:pPr>
      <w:r>
        <w:rPr>
          <w:rFonts w:cs="Times New Roman"/>
          <w:bCs/>
          <w:i/>
        </w:rPr>
        <w:t>- Termo de parceria a liberar com vigência expirada;</w:t>
      </w:r>
    </w:p>
    <w:p w14:paraId="1C84486B" w14:textId="77777777" w:rsidR="00FE53F6" w:rsidRDefault="00FE53F6" w:rsidP="00FE53F6">
      <w:pPr>
        <w:pStyle w:val="Standard"/>
        <w:ind w:left="-426" w:right="-708" w:firstLine="426"/>
        <w:jc w:val="both"/>
        <w:rPr>
          <w:rFonts w:cs="Times New Roman"/>
          <w:bCs/>
          <w:i/>
        </w:rPr>
      </w:pPr>
      <w:r>
        <w:rPr>
          <w:rFonts w:cs="Times New Roman"/>
          <w:bCs/>
          <w:i/>
        </w:rPr>
        <w:t>- Termo de parceria a comprovar com vigência expirada;</w:t>
      </w:r>
    </w:p>
    <w:p w14:paraId="19DAF9C7" w14:textId="77777777" w:rsidR="00FE53F6" w:rsidRDefault="00FE53F6" w:rsidP="00FE53F6">
      <w:pPr>
        <w:pStyle w:val="Standard"/>
        <w:ind w:left="-426" w:right="-708" w:firstLine="426"/>
        <w:jc w:val="both"/>
        <w:rPr>
          <w:rFonts w:cs="Times New Roman"/>
          <w:bCs/>
          <w:i/>
        </w:rPr>
      </w:pPr>
      <w:r>
        <w:rPr>
          <w:rFonts w:cs="Times New Roman"/>
          <w:bCs/>
          <w:i/>
        </w:rPr>
        <w:t>- Termo de parceria a aprovar com vigência expirada;</w:t>
      </w:r>
    </w:p>
    <w:p w14:paraId="00AD1705" w14:textId="77777777" w:rsidR="00FE53F6" w:rsidRDefault="00FE53F6" w:rsidP="00FE53F6">
      <w:pPr>
        <w:pStyle w:val="Standard"/>
        <w:ind w:left="-426" w:right="-708" w:firstLine="426"/>
        <w:jc w:val="both"/>
        <w:rPr>
          <w:rFonts w:cs="Times New Roman"/>
          <w:bCs/>
          <w:i/>
        </w:rPr>
      </w:pPr>
      <w:r>
        <w:rPr>
          <w:rFonts w:cs="Times New Roman"/>
          <w:bCs/>
          <w:i/>
        </w:rPr>
        <w:t>- Acordo de cooperação técnica a comprovar com data expirada;</w:t>
      </w:r>
    </w:p>
    <w:p w14:paraId="0B58D87C" w14:textId="77777777" w:rsidR="00FE53F6" w:rsidRDefault="00FE53F6" w:rsidP="00FE53F6">
      <w:pPr>
        <w:pStyle w:val="Standard"/>
        <w:ind w:left="-426" w:right="-708" w:firstLine="426"/>
        <w:jc w:val="both"/>
        <w:rPr>
          <w:rFonts w:cs="Times New Roman"/>
          <w:bCs/>
          <w:i/>
        </w:rPr>
      </w:pPr>
      <w:r>
        <w:rPr>
          <w:rFonts w:cs="Times New Roman"/>
          <w:bCs/>
          <w:i/>
        </w:rPr>
        <w:t>- Acordo de cooperação técnica a liberar com data expirada;</w:t>
      </w:r>
    </w:p>
    <w:p w14:paraId="6A75D354" w14:textId="77777777" w:rsidR="00FE53F6" w:rsidRDefault="00FE53F6" w:rsidP="00FE53F6">
      <w:pPr>
        <w:pStyle w:val="Standard"/>
        <w:ind w:left="-426" w:right="-708" w:firstLine="426"/>
        <w:jc w:val="both"/>
        <w:rPr>
          <w:rFonts w:cs="Times New Roman"/>
          <w:bCs/>
          <w:i/>
        </w:rPr>
      </w:pPr>
      <w:r>
        <w:rPr>
          <w:rFonts w:cs="Times New Roman"/>
          <w:bCs/>
          <w:i/>
        </w:rPr>
        <w:t xml:space="preserve">- Saldo alongado em conta transitória do passivo circulante Diárias a Pagar e </w:t>
      </w:r>
      <w:proofErr w:type="spellStart"/>
      <w:r>
        <w:rPr>
          <w:rFonts w:cs="Times New Roman"/>
          <w:bCs/>
          <w:i/>
        </w:rPr>
        <w:t>Devol</w:t>
      </w:r>
      <w:proofErr w:type="spellEnd"/>
      <w:r>
        <w:rPr>
          <w:rFonts w:cs="Times New Roman"/>
          <w:bCs/>
          <w:i/>
        </w:rPr>
        <w:t>. Convênios;</w:t>
      </w:r>
    </w:p>
    <w:p w14:paraId="45393164" w14:textId="77777777" w:rsidR="00FE53F6" w:rsidRDefault="00FE53F6" w:rsidP="00FE53F6">
      <w:pPr>
        <w:pStyle w:val="Standard"/>
        <w:ind w:left="-426" w:right="-708" w:firstLine="426"/>
        <w:jc w:val="both"/>
        <w:rPr>
          <w:rFonts w:cs="Times New Roman"/>
          <w:bCs/>
          <w:i/>
        </w:rPr>
      </w:pPr>
      <w:r>
        <w:rPr>
          <w:rFonts w:cs="Times New Roman"/>
          <w:bCs/>
          <w:i/>
        </w:rPr>
        <w:t>- Falta ou atraso na retenção ou recolhimento de obrigações e tributos;</w:t>
      </w:r>
    </w:p>
    <w:p w14:paraId="3E28B2D4" w14:textId="14071D6F" w:rsidR="00FE53F6" w:rsidRDefault="00FE53F6" w:rsidP="00FE53F6">
      <w:pPr>
        <w:pStyle w:val="Standard"/>
        <w:ind w:left="-426" w:right="-708" w:firstLine="426"/>
        <w:jc w:val="both"/>
        <w:rPr>
          <w:rFonts w:cs="Times New Roman"/>
          <w:bCs/>
          <w:i/>
        </w:rPr>
      </w:pPr>
      <w:r>
        <w:rPr>
          <w:rFonts w:cs="Times New Roman"/>
          <w:bCs/>
          <w:i/>
        </w:rPr>
        <w:t>- Saldo invertido - Classe 8;</w:t>
      </w:r>
    </w:p>
    <w:p w14:paraId="3A613F44" w14:textId="77777777" w:rsidR="00FE53F6" w:rsidRDefault="00FE53F6" w:rsidP="00FE53F6">
      <w:pPr>
        <w:pStyle w:val="Standard"/>
        <w:ind w:left="-426" w:right="-708" w:firstLine="426"/>
        <w:jc w:val="both"/>
        <w:rPr>
          <w:rFonts w:cs="Times New Roman"/>
          <w:bCs/>
          <w:i/>
        </w:rPr>
      </w:pPr>
      <w:r>
        <w:rPr>
          <w:rFonts w:cs="Times New Roman"/>
          <w:bCs/>
          <w:i/>
        </w:rPr>
        <w:t>- Termo de execução descentralizada a repassar com data expirada;</w:t>
      </w:r>
    </w:p>
    <w:p w14:paraId="3FC4DBC9" w14:textId="77777777" w:rsidR="00FE53F6" w:rsidRDefault="00FE53F6" w:rsidP="00FE53F6">
      <w:pPr>
        <w:pStyle w:val="Standard"/>
        <w:ind w:left="-426" w:right="-708" w:firstLine="426"/>
        <w:jc w:val="both"/>
        <w:rPr>
          <w:rFonts w:cs="Times New Roman"/>
          <w:bCs/>
          <w:i/>
        </w:rPr>
      </w:pPr>
      <w:r>
        <w:rPr>
          <w:rFonts w:cs="Times New Roman"/>
          <w:bCs/>
          <w:i/>
        </w:rPr>
        <w:t>- Termos de execução descentralizadas a comprovar com data expirada.</w:t>
      </w:r>
    </w:p>
    <w:p w14:paraId="7E307DD1" w14:textId="77777777" w:rsidR="00FE53F6" w:rsidRDefault="00FE53F6" w:rsidP="00FE53F6">
      <w:pPr>
        <w:pStyle w:val="Standard"/>
        <w:ind w:right="-708"/>
        <w:jc w:val="both"/>
        <w:rPr>
          <w:rFonts w:cs="Times New Roman"/>
          <w:bCs/>
          <w:i/>
        </w:rPr>
      </w:pPr>
    </w:p>
    <w:p w14:paraId="2557A5ED" w14:textId="77777777" w:rsidR="00FE53F6" w:rsidRDefault="00FE53F6" w:rsidP="00FE53F6">
      <w:pPr>
        <w:pStyle w:val="Standard"/>
        <w:ind w:left="-426" w:right="-708" w:firstLine="426"/>
        <w:jc w:val="both"/>
        <w:rPr>
          <w:rFonts w:cs="Times New Roman"/>
          <w:bCs/>
        </w:rPr>
      </w:pPr>
      <w:r>
        <w:rPr>
          <w:rFonts w:cs="Times New Roman"/>
          <w:bCs/>
        </w:rPr>
        <w:t>As transferências expiradas em fase de prestação de contas ou de liberação permaneceram pendentes, em virtude de escassez de pessoal técnico, para evasão da quantidade de processos envolvidos a serem analisados em prazo hábil.</w:t>
      </w:r>
    </w:p>
    <w:p w14:paraId="2E853743" w14:textId="5BC79E0C" w:rsidR="00FE53F6" w:rsidRDefault="00FE53F6" w:rsidP="00FE53F6">
      <w:pPr>
        <w:pStyle w:val="Standard"/>
        <w:ind w:left="-426" w:right="-708" w:firstLine="426"/>
        <w:jc w:val="both"/>
        <w:rPr>
          <w:rFonts w:cs="Times New Roman"/>
          <w:bCs/>
        </w:rPr>
      </w:pPr>
      <w:r>
        <w:rPr>
          <w:rFonts w:cs="Times New Roman"/>
          <w:bCs/>
        </w:rPr>
        <w:t>Os bens imóveis são relativos ao recebimento do Ministério do Meio Ambiente, pela incorporação de uma unidade gestora na criação do Ministério do Desenvolvimento Regional, que ainda não foram totalmente identificados para reclassificação.</w:t>
      </w:r>
    </w:p>
    <w:p w14:paraId="47A5C7BA" w14:textId="77777777" w:rsidR="00FE53F6" w:rsidRDefault="00FE53F6" w:rsidP="00D53E74">
      <w:pPr>
        <w:pStyle w:val="Standard"/>
        <w:ind w:left="-426" w:right="-708" w:firstLine="426"/>
        <w:jc w:val="both"/>
        <w:rPr>
          <w:rFonts w:cs="Times New Roman"/>
          <w:bCs/>
        </w:rPr>
      </w:pPr>
      <w:r>
        <w:rPr>
          <w:rFonts w:cs="Times New Roman"/>
          <w:bCs/>
        </w:rPr>
        <w:t>As demais situações permaneceram com restrição por falta de atendimento às orientações emitidas pela Setorial Contábil de Órgão.</w:t>
      </w:r>
    </w:p>
    <w:p w14:paraId="3DEC01DD" w14:textId="77777777" w:rsidR="00FE53F6" w:rsidRDefault="00FE53F6" w:rsidP="00FE53F6">
      <w:pPr>
        <w:pStyle w:val="Standard"/>
        <w:ind w:left="-426" w:right="-708" w:firstLine="426"/>
        <w:jc w:val="both"/>
        <w:rPr>
          <w:rFonts w:cs="Times New Roman"/>
          <w:bCs/>
        </w:rPr>
      </w:pPr>
    </w:p>
    <w:p w14:paraId="65627808" w14:textId="77777777" w:rsidR="00FE53F6" w:rsidRDefault="00FE53F6" w:rsidP="00FE53F6">
      <w:pPr>
        <w:pStyle w:val="Standard"/>
        <w:rPr>
          <w:rFonts w:cs="Times New Roman"/>
          <w:bCs/>
        </w:rPr>
      </w:pPr>
    </w:p>
    <w:p w14:paraId="0DA3B2C3" w14:textId="77777777" w:rsidR="00FE53F6" w:rsidRDefault="00FE53F6" w:rsidP="00FE53F6">
      <w:pPr>
        <w:pStyle w:val="Standard"/>
        <w:ind w:left="-426" w:firstLine="426"/>
        <w:jc w:val="both"/>
        <w:rPr>
          <w:rFonts w:cs="Times New Roman"/>
          <w:b/>
          <w:bCs/>
        </w:rPr>
      </w:pPr>
      <w:r>
        <w:rPr>
          <w:rFonts w:cs="Times New Roman"/>
          <w:b/>
          <w:bCs/>
        </w:rPr>
        <w:t>Declaração Com Restrição – Órgão 56902</w:t>
      </w:r>
    </w:p>
    <w:p w14:paraId="5C0D8CE0" w14:textId="77777777" w:rsidR="00FE53F6" w:rsidRDefault="00FE53F6" w:rsidP="00FE53F6">
      <w:pPr>
        <w:pStyle w:val="Standard"/>
        <w:ind w:left="-426"/>
        <w:jc w:val="both"/>
        <w:rPr>
          <w:rFonts w:cs="Times New Roman"/>
          <w:b/>
          <w:bCs/>
        </w:rPr>
      </w:pPr>
    </w:p>
    <w:p w14:paraId="0EE24365" w14:textId="77777777" w:rsidR="00FE53F6" w:rsidRDefault="00FE53F6" w:rsidP="00FE53F6">
      <w:pPr>
        <w:pStyle w:val="Standard"/>
        <w:ind w:left="-426" w:right="-708"/>
        <w:jc w:val="both"/>
      </w:pPr>
      <w:r>
        <w:rPr>
          <w:rFonts w:cs="Times New Roman"/>
          <w:b/>
          <w:bCs/>
        </w:rPr>
        <w:tab/>
      </w:r>
      <w:r>
        <w:rPr>
          <w:rFonts w:cs="Times New Roman"/>
          <w:bCs/>
        </w:rPr>
        <w:t>Esta declaração refere-se às demonstrações contábeis e suas notas explicativas de 31 de dezembro de 2020 do Ministério do Desenvolvimento Regional.</w:t>
      </w:r>
    </w:p>
    <w:p w14:paraId="19404140" w14:textId="77777777" w:rsidR="00FE53F6" w:rsidRDefault="00FE53F6" w:rsidP="00FE53F6">
      <w:pPr>
        <w:pStyle w:val="Standard"/>
        <w:ind w:left="-426" w:right="-708"/>
        <w:jc w:val="both"/>
        <w:rPr>
          <w:rFonts w:cs="Times New Roman"/>
          <w:bCs/>
        </w:rPr>
      </w:pPr>
    </w:p>
    <w:p w14:paraId="5113F9A2" w14:textId="77777777" w:rsidR="00FE53F6" w:rsidRDefault="00FE53F6" w:rsidP="00FE53F6">
      <w:pPr>
        <w:pStyle w:val="Standard"/>
        <w:ind w:left="-426" w:right="-708"/>
        <w:jc w:val="both"/>
        <w:rPr>
          <w:rFonts w:cs="Times New Roman"/>
          <w:bCs/>
        </w:rPr>
      </w:pPr>
      <w:r>
        <w:rPr>
          <w:rFonts w:cs="Times New Roman"/>
          <w:bCs/>
        </w:rPr>
        <w:tab/>
        <w:t>Esta declaração reflete a conformidade contábil das demonstrações contábeis encerradas em 31 de dezembro de 2020 e é pautada na Macrofunção 020315 – Conformidade Contábil presente no Manual SIAFI – Sistema Integrado de Administração Financeira do Governo Federal.</w:t>
      </w:r>
    </w:p>
    <w:p w14:paraId="065C9D56" w14:textId="77777777" w:rsidR="00FE53F6" w:rsidRDefault="00FE53F6" w:rsidP="00FE53F6">
      <w:pPr>
        <w:pStyle w:val="Standard"/>
        <w:ind w:left="-426" w:right="-708"/>
        <w:jc w:val="both"/>
        <w:rPr>
          <w:rFonts w:cs="Times New Roman"/>
          <w:bCs/>
        </w:rPr>
      </w:pPr>
    </w:p>
    <w:p w14:paraId="2A0CABC8" w14:textId="77777777" w:rsidR="00FE53F6" w:rsidRDefault="00403610" w:rsidP="00FE53F6">
      <w:pPr>
        <w:pStyle w:val="Standard"/>
        <w:ind w:left="-426" w:right="-708" w:firstLine="426"/>
        <w:jc w:val="both"/>
        <w:rPr>
          <w:rFonts w:cs="Times New Roman"/>
          <w:bCs/>
        </w:rPr>
      </w:pPr>
      <w:r>
        <w:rPr>
          <w:rFonts w:cs="Times New Roman"/>
          <w:bCs/>
        </w:rPr>
        <w:t xml:space="preserve">     </w:t>
      </w:r>
      <w:r w:rsidR="00FE53F6">
        <w:rPr>
          <w:rFonts w:cs="Times New Roman"/>
          <w:bCs/>
        </w:rPr>
        <w:t xml:space="preserve">As demonstrações contábeis, Balanço Patrimonial, Demonstração de Variações Patrimoniais, Demonstração de Fluxo de Caixa, Demonstração das Mutações do Patrimônio Líquido, Balanço </w:t>
      </w:r>
      <w:r w:rsidR="00FE53F6">
        <w:rPr>
          <w:rFonts w:cs="Times New Roman"/>
          <w:bCs/>
        </w:rPr>
        <w:lastRenderedPageBreak/>
        <w:t>Orçamentário, Balanço Financeiro e suas notas explicativas, encerradas em 31 de dezembro de 2020, estão, em todos os aspectos relevantes, de acordo com a Lei 4.320/64, o Manual de Contabilidade Aplicada ao Setor Público e o Manual SIAFI, exceto quanto os assuntos mencionados a seguir:</w:t>
      </w:r>
    </w:p>
    <w:p w14:paraId="4326F2B2" w14:textId="77777777" w:rsidR="00FE53F6" w:rsidRDefault="00FE53F6" w:rsidP="00FE53F6">
      <w:pPr>
        <w:pStyle w:val="Standard"/>
        <w:ind w:left="-426" w:right="-708" w:firstLine="426"/>
        <w:jc w:val="both"/>
        <w:rPr>
          <w:rFonts w:cs="Times New Roman"/>
          <w:bCs/>
        </w:rPr>
      </w:pPr>
    </w:p>
    <w:p w14:paraId="483964BD" w14:textId="77777777" w:rsidR="00FE53F6" w:rsidRDefault="00FE53F6" w:rsidP="00FE53F6">
      <w:pPr>
        <w:pStyle w:val="Standard"/>
        <w:ind w:left="-426" w:right="-708" w:firstLine="426"/>
        <w:jc w:val="both"/>
      </w:pPr>
      <w:r>
        <w:rPr>
          <w:rFonts w:cs="Times New Roman"/>
          <w:b/>
          <w:bCs/>
        </w:rPr>
        <w:t>56902</w:t>
      </w:r>
      <w:r>
        <w:rPr>
          <w:rFonts w:cs="Times New Roman"/>
          <w:bCs/>
        </w:rPr>
        <w:t xml:space="preserve"> – Fundo Nacional de Habitação e Interesse Social</w:t>
      </w:r>
    </w:p>
    <w:p w14:paraId="5CDA8AD6" w14:textId="77777777" w:rsidR="00FE53F6" w:rsidRDefault="00FE53F6" w:rsidP="00FE53F6">
      <w:pPr>
        <w:pStyle w:val="Standard"/>
        <w:rPr>
          <w:rFonts w:cs="Times New Roman"/>
          <w:bCs/>
          <w:i/>
        </w:rPr>
      </w:pPr>
    </w:p>
    <w:p w14:paraId="470D2E53" w14:textId="77777777" w:rsidR="00FE53F6" w:rsidRDefault="00FE53F6" w:rsidP="00403610">
      <w:pPr>
        <w:pStyle w:val="Standard"/>
        <w:ind w:right="-708" w:firstLine="709"/>
        <w:jc w:val="both"/>
        <w:rPr>
          <w:rFonts w:cs="Times New Roman"/>
          <w:bCs/>
          <w:i/>
        </w:rPr>
      </w:pPr>
      <w:r>
        <w:rPr>
          <w:rFonts w:cs="Times New Roman"/>
          <w:bCs/>
          <w:i/>
        </w:rPr>
        <w:t>- Contrato de repasse a comprovar com data expirada;</w:t>
      </w:r>
    </w:p>
    <w:p w14:paraId="5FB70649" w14:textId="77777777" w:rsidR="00FE53F6" w:rsidRDefault="00FE53F6" w:rsidP="00403610">
      <w:pPr>
        <w:pStyle w:val="Standard"/>
        <w:ind w:right="-708" w:firstLine="709"/>
        <w:jc w:val="both"/>
        <w:rPr>
          <w:rFonts w:cs="Times New Roman"/>
          <w:bCs/>
          <w:i/>
        </w:rPr>
      </w:pPr>
      <w:r>
        <w:rPr>
          <w:rFonts w:cs="Times New Roman"/>
          <w:bCs/>
          <w:i/>
        </w:rPr>
        <w:t>- Contrato de repasse a aprovar com data expirada;</w:t>
      </w:r>
    </w:p>
    <w:p w14:paraId="0B78FA16" w14:textId="77777777" w:rsidR="00FE53F6" w:rsidRDefault="00FE53F6" w:rsidP="00403610">
      <w:pPr>
        <w:pStyle w:val="Standard"/>
        <w:ind w:right="-708" w:firstLine="709"/>
        <w:jc w:val="both"/>
        <w:rPr>
          <w:rFonts w:cs="Times New Roman"/>
          <w:bCs/>
          <w:i/>
        </w:rPr>
      </w:pPr>
      <w:r>
        <w:rPr>
          <w:rFonts w:cs="Times New Roman"/>
          <w:bCs/>
          <w:i/>
        </w:rPr>
        <w:t>- Contrato de repasse a liberar expirados.</w:t>
      </w:r>
    </w:p>
    <w:p w14:paraId="3B1ED01F" w14:textId="77777777" w:rsidR="00FE53F6" w:rsidRDefault="00FE53F6" w:rsidP="00FE53F6">
      <w:pPr>
        <w:pStyle w:val="Standard"/>
        <w:ind w:left="-426" w:right="-708" w:firstLine="426"/>
        <w:jc w:val="both"/>
        <w:rPr>
          <w:rFonts w:cs="Times New Roman"/>
          <w:bCs/>
        </w:rPr>
      </w:pPr>
    </w:p>
    <w:p w14:paraId="2822FC98" w14:textId="77777777" w:rsidR="00FE53F6" w:rsidRDefault="00FE53F6" w:rsidP="00FE53F6">
      <w:pPr>
        <w:pStyle w:val="Standard"/>
        <w:ind w:left="-426" w:right="-708" w:firstLine="426"/>
        <w:jc w:val="both"/>
        <w:rPr>
          <w:rFonts w:cs="Times New Roman"/>
          <w:bCs/>
        </w:rPr>
      </w:pPr>
      <w:r>
        <w:rPr>
          <w:rFonts w:cs="Times New Roman"/>
          <w:bCs/>
        </w:rPr>
        <w:t>As transferências expiradas em fase de prestação de contas permaneceram pendentes em virtude de escassez de pessoal técnico para evasão da quantidade de processos envolvidos a serem analisados em prazo hábil.</w:t>
      </w:r>
    </w:p>
    <w:p w14:paraId="61412A0F" w14:textId="77777777" w:rsidR="00FE53F6" w:rsidRDefault="00FE53F6" w:rsidP="00FE53F6">
      <w:pPr>
        <w:pStyle w:val="Standard"/>
        <w:jc w:val="both"/>
        <w:rPr>
          <w:rFonts w:cs="Times New Roman"/>
          <w:bCs/>
        </w:rPr>
      </w:pPr>
    </w:p>
    <w:p w14:paraId="1BF76F4C" w14:textId="77777777" w:rsidR="00403610" w:rsidRDefault="00403610" w:rsidP="00FE53F6">
      <w:pPr>
        <w:pStyle w:val="Standard"/>
        <w:jc w:val="both"/>
        <w:rPr>
          <w:rFonts w:cs="Times New Roman"/>
          <w:b/>
          <w:bCs/>
        </w:rPr>
      </w:pPr>
    </w:p>
    <w:p w14:paraId="7E757505" w14:textId="77777777" w:rsidR="00FE53F6" w:rsidRDefault="00FE53F6" w:rsidP="00FE53F6">
      <w:pPr>
        <w:pStyle w:val="Standard"/>
        <w:ind w:left="-426" w:firstLine="426"/>
        <w:jc w:val="both"/>
        <w:rPr>
          <w:rFonts w:cs="Times New Roman"/>
          <w:b/>
          <w:bCs/>
        </w:rPr>
      </w:pPr>
      <w:r>
        <w:rPr>
          <w:rFonts w:cs="Times New Roman"/>
          <w:b/>
          <w:bCs/>
        </w:rPr>
        <w:t>Declaração Com Restrição – Órgão Superior 53000</w:t>
      </w:r>
    </w:p>
    <w:p w14:paraId="7B174CC7" w14:textId="77777777" w:rsidR="00FE53F6" w:rsidRDefault="00FE53F6" w:rsidP="00FE53F6">
      <w:pPr>
        <w:pStyle w:val="Standard"/>
        <w:ind w:left="-426"/>
        <w:jc w:val="both"/>
        <w:rPr>
          <w:rFonts w:cs="Times New Roman"/>
          <w:b/>
          <w:bCs/>
        </w:rPr>
      </w:pPr>
    </w:p>
    <w:p w14:paraId="47E97A2F" w14:textId="77777777" w:rsidR="00FE53F6" w:rsidRDefault="00FE53F6" w:rsidP="00FE53F6">
      <w:pPr>
        <w:pStyle w:val="Standard"/>
        <w:ind w:left="-426" w:right="-708"/>
        <w:jc w:val="both"/>
      </w:pPr>
      <w:r>
        <w:rPr>
          <w:rFonts w:cs="Times New Roman"/>
          <w:b/>
          <w:bCs/>
        </w:rPr>
        <w:tab/>
      </w:r>
      <w:r>
        <w:rPr>
          <w:rFonts w:cs="Times New Roman"/>
          <w:bCs/>
        </w:rPr>
        <w:t>Esta declaração refere-se às demonstrações contábeis e suas notas explicativas de 31 de dezembro de 2020 do Ministério do Desenvolvimento Regional.</w:t>
      </w:r>
    </w:p>
    <w:p w14:paraId="63013BB5" w14:textId="77777777" w:rsidR="00FE53F6" w:rsidRDefault="00FE53F6" w:rsidP="00FE53F6">
      <w:pPr>
        <w:pStyle w:val="Standard"/>
        <w:ind w:left="-426" w:right="-708"/>
        <w:jc w:val="both"/>
        <w:rPr>
          <w:rFonts w:cs="Times New Roman"/>
          <w:bCs/>
        </w:rPr>
      </w:pPr>
    </w:p>
    <w:p w14:paraId="415C7867" w14:textId="77777777" w:rsidR="00FE53F6" w:rsidRDefault="00FE53F6" w:rsidP="00FE53F6">
      <w:pPr>
        <w:pStyle w:val="Standard"/>
        <w:ind w:left="-426" w:right="-708"/>
        <w:jc w:val="both"/>
        <w:rPr>
          <w:rFonts w:cs="Times New Roman"/>
          <w:bCs/>
        </w:rPr>
      </w:pPr>
      <w:r>
        <w:rPr>
          <w:rFonts w:cs="Times New Roman"/>
          <w:bCs/>
        </w:rPr>
        <w:tab/>
        <w:t>Esta declaração reflete a conformidade contábil das demonstrações contábeis encerradas em 31 de dezembro de 2020 e é pautada na Macrofunção 020315 – Conformidade Contábil presente no Manual SIAFI – Sistema Integrado de Administração Financeira do Governo Federal.</w:t>
      </w:r>
    </w:p>
    <w:p w14:paraId="1383E59B" w14:textId="77777777" w:rsidR="00FE53F6" w:rsidRDefault="00FE53F6" w:rsidP="00FE53F6">
      <w:pPr>
        <w:pStyle w:val="Standard"/>
        <w:ind w:left="-426" w:right="-708"/>
        <w:jc w:val="both"/>
        <w:rPr>
          <w:rFonts w:cs="Times New Roman"/>
          <w:bCs/>
        </w:rPr>
      </w:pPr>
    </w:p>
    <w:p w14:paraId="460C2B26" w14:textId="77777777" w:rsidR="00FE53F6" w:rsidRDefault="00403610" w:rsidP="00FE53F6">
      <w:pPr>
        <w:pStyle w:val="Standard"/>
        <w:ind w:left="-426" w:right="-708" w:firstLine="426"/>
        <w:jc w:val="both"/>
        <w:rPr>
          <w:rFonts w:cs="Times New Roman"/>
          <w:bCs/>
        </w:rPr>
      </w:pPr>
      <w:r>
        <w:rPr>
          <w:rFonts w:cs="Times New Roman"/>
          <w:bCs/>
        </w:rPr>
        <w:t xml:space="preserve">     </w:t>
      </w:r>
      <w:r w:rsidR="00FE53F6">
        <w:rPr>
          <w:rFonts w:cs="Times New Roman"/>
          <w:bCs/>
        </w:rPr>
        <w:t>As demonstrações contábeis, Balanço Patrimonial, Demonstração de Variações Patrimoniais, Demonstração de Fluxo de Caixa, Demonstração das Mutações do Patrimônio Líquido, Balanço Orçamentário, Balanço Financeiro e suas notas explicativas, encerradas em 31 de dezembro de 2020, estão, em todos os aspectos relevantes, de acordo com a Lei 4.320/64, o Manual de Contabilidade Aplicada ao Setor Público e o Manual SIAFI, exceto quanto os assuntos mencionados a seguir, nos Órgãos relacionados:</w:t>
      </w:r>
    </w:p>
    <w:p w14:paraId="5BE0215A" w14:textId="77777777" w:rsidR="00FE53F6" w:rsidRDefault="00FE53F6" w:rsidP="00FE53F6">
      <w:pPr>
        <w:pStyle w:val="Standard"/>
        <w:ind w:left="-426" w:right="-708" w:firstLine="426"/>
        <w:jc w:val="both"/>
        <w:rPr>
          <w:rFonts w:cs="Times New Roman"/>
          <w:bCs/>
        </w:rPr>
      </w:pPr>
    </w:p>
    <w:p w14:paraId="406C5DA6" w14:textId="77777777" w:rsidR="00FE53F6" w:rsidRDefault="00FE53F6" w:rsidP="00FE53F6">
      <w:pPr>
        <w:pStyle w:val="Standard"/>
        <w:ind w:left="-426" w:right="-708" w:firstLine="426"/>
        <w:jc w:val="both"/>
      </w:pPr>
      <w:r>
        <w:rPr>
          <w:rFonts w:cs="Times New Roman"/>
          <w:b/>
          <w:bCs/>
        </w:rPr>
        <w:t>20601</w:t>
      </w:r>
      <w:r>
        <w:rPr>
          <w:rFonts w:cs="Times New Roman"/>
          <w:bCs/>
        </w:rPr>
        <w:t xml:space="preserve"> – </w:t>
      </w:r>
      <w:proofErr w:type="spellStart"/>
      <w:r>
        <w:rPr>
          <w:rFonts w:cs="Times New Roman"/>
          <w:bCs/>
        </w:rPr>
        <w:t>Superintendêndia</w:t>
      </w:r>
      <w:proofErr w:type="spellEnd"/>
      <w:r>
        <w:rPr>
          <w:rFonts w:cs="Times New Roman"/>
          <w:bCs/>
        </w:rPr>
        <w:t xml:space="preserve"> do Desenvolvimento do Nordeste (Extinta)</w:t>
      </w:r>
    </w:p>
    <w:p w14:paraId="18518EFC" w14:textId="77777777" w:rsidR="00FE53F6" w:rsidRDefault="00FE53F6" w:rsidP="00FE53F6">
      <w:pPr>
        <w:pStyle w:val="Standard"/>
        <w:ind w:left="-426" w:right="-708" w:firstLine="426"/>
        <w:jc w:val="both"/>
        <w:rPr>
          <w:rFonts w:cs="Times New Roman"/>
          <w:b/>
          <w:bCs/>
        </w:rPr>
      </w:pPr>
    </w:p>
    <w:p w14:paraId="0BE71FAF" w14:textId="77777777" w:rsidR="00FE53F6" w:rsidRDefault="00FE53F6" w:rsidP="00FE53F6">
      <w:pPr>
        <w:pStyle w:val="Standard"/>
        <w:ind w:left="-426" w:right="-708" w:firstLine="426"/>
        <w:jc w:val="both"/>
      </w:pPr>
      <w:r>
        <w:rPr>
          <w:rFonts w:cs="Times New Roman"/>
          <w:bCs/>
        </w:rPr>
        <w:t xml:space="preserve">- </w:t>
      </w:r>
      <w:r>
        <w:rPr>
          <w:rFonts w:cs="Times New Roman"/>
          <w:bCs/>
          <w:i/>
        </w:rPr>
        <w:t>Falta de registro da conformidade contábil</w:t>
      </w:r>
      <w:r>
        <w:rPr>
          <w:rFonts w:cs="Times New Roman"/>
          <w:bCs/>
        </w:rPr>
        <w:t>.</w:t>
      </w:r>
    </w:p>
    <w:p w14:paraId="3CB730A6" w14:textId="77777777" w:rsidR="00FE53F6" w:rsidRDefault="00FE53F6" w:rsidP="00FE53F6">
      <w:pPr>
        <w:pStyle w:val="Standard"/>
        <w:ind w:left="-426" w:right="-708" w:firstLine="426"/>
        <w:jc w:val="both"/>
        <w:rPr>
          <w:rFonts w:cs="Times New Roman"/>
          <w:bCs/>
        </w:rPr>
      </w:pPr>
    </w:p>
    <w:p w14:paraId="5AD2335C" w14:textId="77777777" w:rsidR="00FE53F6" w:rsidRDefault="00403610" w:rsidP="00FE53F6">
      <w:pPr>
        <w:pStyle w:val="Standard"/>
        <w:ind w:left="-426" w:right="-708" w:firstLine="426"/>
        <w:jc w:val="both"/>
        <w:rPr>
          <w:rFonts w:cs="Times New Roman"/>
          <w:bCs/>
        </w:rPr>
      </w:pPr>
      <w:r>
        <w:rPr>
          <w:rFonts w:cs="Times New Roman"/>
          <w:bCs/>
        </w:rPr>
        <w:t xml:space="preserve">     </w:t>
      </w:r>
      <w:r w:rsidR="00FE53F6">
        <w:rPr>
          <w:rFonts w:cs="Times New Roman"/>
          <w:bCs/>
        </w:rPr>
        <w:t>A permanência de restrição contábil no encerramento do exercício se deu em virtude da falta de registro de conformidade contábil em Órgão Extinto e que ainda possui saldos contábeis a serem baixados no SIAFI. A regularização dos saldos contábeis desse Órgão depende de nomeação de grupo de trabalho para destinação da conta de depósitos compulsórios e a devida identificação das empresas referente à conta de Investimentos/Participações Permanentes daquele Órgão. Salientamos que o grupo técnico de inventariança não concluiu os trabalhos dentro do prazo previsto na Portaria de Designação deste Ministério. Com a nomeação de novos gestores, as perspectivas são de retomada dos trabalhos de encerramento definitivo desse Órgão.</w:t>
      </w:r>
    </w:p>
    <w:p w14:paraId="4D092F35" w14:textId="77777777" w:rsidR="00FE53F6" w:rsidRDefault="00FE53F6" w:rsidP="00FE53F6">
      <w:pPr>
        <w:pStyle w:val="Standard"/>
        <w:ind w:left="-426" w:right="-708" w:firstLine="426"/>
        <w:jc w:val="both"/>
        <w:rPr>
          <w:rFonts w:cs="Times New Roman"/>
          <w:bCs/>
        </w:rPr>
      </w:pPr>
    </w:p>
    <w:p w14:paraId="7464D579" w14:textId="77777777" w:rsidR="00FE53F6" w:rsidRDefault="00FE53F6" w:rsidP="00FE53F6">
      <w:pPr>
        <w:pStyle w:val="Standard"/>
        <w:ind w:left="-426" w:right="-708" w:firstLine="426"/>
        <w:jc w:val="both"/>
      </w:pPr>
      <w:r>
        <w:rPr>
          <w:rFonts w:cs="Times New Roman"/>
          <w:b/>
          <w:bCs/>
        </w:rPr>
        <w:t>22203</w:t>
      </w:r>
      <w:r>
        <w:rPr>
          <w:rFonts w:cs="Times New Roman"/>
          <w:bCs/>
        </w:rPr>
        <w:t xml:space="preserve"> – Companhia de desenvolvimento dos Vales do São Francisco e do Parnaíba</w:t>
      </w:r>
    </w:p>
    <w:p w14:paraId="5B5E7F43" w14:textId="77777777" w:rsidR="00FE53F6" w:rsidRDefault="00FE53F6" w:rsidP="00FE53F6">
      <w:pPr>
        <w:pStyle w:val="Standard"/>
        <w:ind w:left="-426" w:right="-708" w:firstLine="426"/>
        <w:jc w:val="both"/>
        <w:rPr>
          <w:rFonts w:cs="Times New Roman"/>
          <w:bCs/>
        </w:rPr>
      </w:pPr>
    </w:p>
    <w:p w14:paraId="5345145E" w14:textId="77777777" w:rsidR="00FE53F6" w:rsidRDefault="00FE53F6" w:rsidP="00FE53F6">
      <w:pPr>
        <w:pStyle w:val="Standard"/>
        <w:ind w:left="-426" w:right="-708" w:firstLine="426"/>
        <w:jc w:val="both"/>
      </w:pPr>
      <w:r>
        <w:rPr>
          <w:rFonts w:cs="Times New Roman"/>
          <w:bCs/>
        </w:rPr>
        <w:t xml:space="preserve">- </w:t>
      </w:r>
      <w:r>
        <w:rPr>
          <w:rFonts w:cs="Times New Roman"/>
          <w:bCs/>
          <w:i/>
        </w:rPr>
        <w:t>Falta de conformidade de registro de gestão;</w:t>
      </w:r>
    </w:p>
    <w:p w14:paraId="1C2B2AA0" w14:textId="77777777" w:rsidR="00FE53F6" w:rsidRDefault="00FE53F6" w:rsidP="00FE53F6">
      <w:pPr>
        <w:pStyle w:val="Standard"/>
        <w:ind w:left="-426" w:right="-708" w:firstLine="426"/>
        <w:jc w:val="both"/>
        <w:rPr>
          <w:rFonts w:cs="Times New Roman"/>
          <w:bCs/>
          <w:i/>
        </w:rPr>
      </w:pPr>
      <w:r>
        <w:rPr>
          <w:rFonts w:cs="Times New Roman"/>
          <w:bCs/>
          <w:i/>
        </w:rPr>
        <w:t>- Convênios a comprovar com data expirada;</w:t>
      </w:r>
    </w:p>
    <w:p w14:paraId="3F0EF2C0" w14:textId="77777777" w:rsidR="00FE53F6" w:rsidRDefault="00FE53F6" w:rsidP="00FE53F6">
      <w:pPr>
        <w:pStyle w:val="Standard"/>
        <w:ind w:left="-426" w:right="-708" w:firstLine="426"/>
        <w:jc w:val="both"/>
        <w:rPr>
          <w:rFonts w:cs="Times New Roman"/>
          <w:bCs/>
          <w:i/>
        </w:rPr>
      </w:pPr>
      <w:r>
        <w:rPr>
          <w:rFonts w:cs="Times New Roman"/>
          <w:bCs/>
          <w:i/>
        </w:rPr>
        <w:t>- Convênios a aprovar com data expirada;</w:t>
      </w:r>
    </w:p>
    <w:p w14:paraId="3B837330" w14:textId="77777777" w:rsidR="00FE53F6" w:rsidRDefault="00FE53F6" w:rsidP="00FE53F6">
      <w:pPr>
        <w:pStyle w:val="Standard"/>
        <w:ind w:left="-426" w:right="-708" w:firstLine="426"/>
        <w:jc w:val="both"/>
        <w:rPr>
          <w:rFonts w:cs="Times New Roman"/>
          <w:bCs/>
          <w:i/>
        </w:rPr>
      </w:pPr>
      <w:r>
        <w:rPr>
          <w:rFonts w:cs="Times New Roman"/>
          <w:bCs/>
          <w:i/>
        </w:rPr>
        <w:t>- Convênios a liberar com data expirada;</w:t>
      </w:r>
    </w:p>
    <w:p w14:paraId="3CE6BE32" w14:textId="77777777" w:rsidR="00FE53F6" w:rsidRDefault="00FE53F6" w:rsidP="00FE53F6">
      <w:pPr>
        <w:pStyle w:val="Standard"/>
        <w:ind w:left="-426" w:right="-708" w:firstLine="426"/>
        <w:jc w:val="both"/>
        <w:rPr>
          <w:rFonts w:cs="Times New Roman"/>
          <w:bCs/>
          <w:i/>
        </w:rPr>
      </w:pPr>
      <w:r>
        <w:rPr>
          <w:rFonts w:cs="Times New Roman"/>
          <w:bCs/>
          <w:i/>
        </w:rPr>
        <w:t>- Falta ou atraso na retenção ou recolhimento de obrigações e tributos;</w:t>
      </w:r>
    </w:p>
    <w:p w14:paraId="7B1B621F" w14:textId="77777777" w:rsidR="00FE53F6" w:rsidRDefault="00FE53F6" w:rsidP="00FE53F6">
      <w:pPr>
        <w:pStyle w:val="Standard"/>
        <w:ind w:left="-426" w:right="-708" w:firstLine="426"/>
        <w:jc w:val="both"/>
        <w:rPr>
          <w:rFonts w:cs="Times New Roman"/>
          <w:bCs/>
          <w:i/>
        </w:rPr>
      </w:pPr>
      <w:r>
        <w:rPr>
          <w:rFonts w:cs="Times New Roman"/>
          <w:bCs/>
          <w:i/>
        </w:rPr>
        <w:t>- Termos de execução descentralizadas a comprovar com data expirada;</w:t>
      </w:r>
    </w:p>
    <w:p w14:paraId="649036EC" w14:textId="77777777" w:rsidR="00FE53F6" w:rsidRDefault="00FE53F6" w:rsidP="00FE53F6">
      <w:pPr>
        <w:pStyle w:val="Standard"/>
        <w:ind w:left="-426" w:right="-708" w:firstLine="426"/>
        <w:jc w:val="both"/>
        <w:rPr>
          <w:rFonts w:cs="Times New Roman"/>
          <w:bCs/>
          <w:i/>
        </w:rPr>
      </w:pPr>
      <w:r>
        <w:rPr>
          <w:rFonts w:cs="Times New Roman"/>
          <w:bCs/>
          <w:i/>
        </w:rPr>
        <w:t>- Termos de execução descentralizadas a repassar com data expirada.</w:t>
      </w:r>
    </w:p>
    <w:p w14:paraId="0B97D8B9" w14:textId="77777777" w:rsidR="00FE53F6" w:rsidRDefault="00FE53F6" w:rsidP="00FE53F6">
      <w:pPr>
        <w:pStyle w:val="Standard"/>
        <w:ind w:left="-426" w:right="-708" w:firstLine="426"/>
        <w:jc w:val="both"/>
        <w:rPr>
          <w:rFonts w:cs="Times New Roman"/>
          <w:bCs/>
        </w:rPr>
      </w:pPr>
    </w:p>
    <w:p w14:paraId="5B61F4A4" w14:textId="77777777" w:rsidR="00FE53F6" w:rsidRDefault="00FE53F6" w:rsidP="00FE53F6">
      <w:pPr>
        <w:pStyle w:val="Standard"/>
        <w:ind w:left="-426" w:right="-708" w:firstLine="426"/>
        <w:jc w:val="both"/>
        <w:rPr>
          <w:rFonts w:cs="Times New Roman"/>
          <w:bCs/>
        </w:rPr>
      </w:pPr>
      <w:r>
        <w:rPr>
          <w:rFonts w:cs="Times New Roman"/>
          <w:bCs/>
        </w:rPr>
        <w:t xml:space="preserve">As transferências expiradas em fase de prestação de contas ou de liberação permanecem pendentes </w:t>
      </w:r>
      <w:r>
        <w:rPr>
          <w:rFonts w:cs="Times New Roman"/>
          <w:bCs/>
        </w:rPr>
        <w:lastRenderedPageBreak/>
        <w:t xml:space="preserve">em virtude de escassez de pessoal técnico para evasão da quantidade de processos envolvidos a serem analisados em prazo hábil. </w:t>
      </w:r>
    </w:p>
    <w:p w14:paraId="57F323B3" w14:textId="77777777" w:rsidR="00FE53F6" w:rsidRDefault="00FE53F6" w:rsidP="00FE53F6">
      <w:pPr>
        <w:pStyle w:val="Standard"/>
        <w:ind w:left="-426" w:right="-708" w:firstLine="426"/>
        <w:jc w:val="both"/>
        <w:rPr>
          <w:rFonts w:cs="Times New Roman"/>
          <w:bCs/>
        </w:rPr>
      </w:pPr>
      <w:r>
        <w:rPr>
          <w:rFonts w:cs="Times New Roman"/>
          <w:bCs/>
        </w:rPr>
        <w:t>A falta de conformidade de gestão, bem como o atraso no recolhimento de tributos ocorreu por falta de atendimento às orientações emitidas pela Setorial Contábil de Órgão Superior.</w:t>
      </w:r>
    </w:p>
    <w:p w14:paraId="25AD67FD" w14:textId="77777777" w:rsidR="00FE53F6" w:rsidRDefault="00FE53F6" w:rsidP="00FE53F6">
      <w:pPr>
        <w:pStyle w:val="Standard"/>
        <w:ind w:left="-426" w:right="-708"/>
        <w:jc w:val="both"/>
        <w:rPr>
          <w:rFonts w:cs="Times New Roman"/>
          <w:bCs/>
        </w:rPr>
      </w:pPr>
    </w:p>
    <w:p w14:paraId="087B2636" w14:textId="77777777" w:rsidR="00FE53F6" w:rsidRDefault="00FE53F6" w:rsidP="00FE53F6">
      <w:pPr>
        <w:pStyle w:val="Standard"/>
        <w:ind w:left="-426" w:right="-708"/>
        <w:jc w:val="both"/>
        <w:rPr>
          <w:rFonts w:cs="Times New Roman"/>
          <w:bCs/>
        </w:rPr>
      </w:pPr>
    </w:p>
    <w:p w14:paraId="77759C29" w14:textId="77777777" w:rsidR="00FE53F6" w:rsidRDefault="00FE53F6" w:rsidP="00FE53F6">
      <w:pPr>
        <w:pStyle w:val="Standard"/>
        <w:ind w:left="-426" w:right="-708" w:firstLine="426"/>
        <w:jc w:val="both"/>
      </w:pPr>
      <w:r>
        <w:rPr>
          <w:rFonts w:cs="Times New Roman"/>
          <w:b/>
          <w:bCs/>
        </w:rPr>
        <w:t>22204</w:t>
      </w:r>
      <w:r>
        <w:rPr>
          <w:rFonts w:cs="Times New Roman"/>
          <w:bCs/>
        </w:rPr>
        <w:t xml:space="preserve"> – Departamento Nacional de Obras Contra a Seca</w:t>
      </w:r>
    </w:p>
    <w:p w14:paraId="75F4DA16" w14:textId="77777777" w:rsidR="00FE53F6" w:rsidRDefault="00FE53F6" w:rsidP="00FE53F6">
      <w:pPr>
        <w:pStyle w:val="Standard"/>
        <w:ind w:left="-426" w:right="-708" w:firstLine="426"/>
        <w:jc w:val="both"/>
        <w:rPr>
          <w:rFonts w:cs="Times New Roman"/>
          <w:bCs/>
        </w:rPr>
      </w:pPr>
    </w:p>
    <w:p w14:paraId="4D5F6E4F" w14:textId="77777777" w:rsidR="00FE53F6" w:rsidRDefault="00FE53F6" w:rsidP="00FE53F6">
      <w:pPr>
        <w:pStyle w:val="Standard"/>
        <w:ind w:left="-426" w:right="-708" w:firstLine="426"/>
        <w:jc w:val="both"/>
      </w:pPr>
      <w:r>
        <w:rPr>
          <w:rFonts w:cs="Times New Roman"/>
          <w:bCs/>
        </w:rPr>
        <w:t xml:space="preserve">- </w:t>
      </w:r>
      <w:r>
        <w:rPr>
          <w:rFonts w:cs="Times New Roman"/>
          <w:bCs/>
          <w:i/>
        </w:rPr>
        <w:t>Falta de conformidade de registro de gestão;</w:t>
      </w:r>
    </w:p>
    <w:p w14:paraId="6117B154" w14:textId="77777777" w:rsidR="00FE53F6" w:rsidRDefault="00FE53F6" w:rsidP="00FE53F6">
      <w:pPr>
        <w:pStyle w:val="Standard"/>
        <w:ind w:left="-426" w:right="-708" w:firstLine="426"/>
        <w:jc w:val="both"/>
        <w:rPr>
          <w:rFonts w:cs="Times New Roman"/>
          <w:bCs/>
          <w:i/>
        </w:rPr>
      </w:pPr>
      <w:r>
        <w:rPr>
          <w:rFonts w:cs="Times New Roman"/>
          <w:bCs/>
          <w:i/>
        </w:rPr>
        <w:t>- Convênios a comprovar com data expirada;</w:t>
      </w:r>
    </w:p>
    <w:p w14:paraId="64FABB2E" w14:textId="77777777" w:rsidR="00FE53F6" w:rsidRDefault="00FE53F6" w:rsidP="00FE53F6">
      <w:pPr>
        <w:pStyle w:val="Standard"/>
        <w:ind w:right="-708"/>
        <w:jc w:val="both"/>
        <w:rPr>
          <w:rFonts w:cs="Times New Roman"/>
          <w:bCs/>
          <w:i/>
        </w:rPr>
      </w:pPr>
      <w:r>
        <w:rPr>
          <w:rFonts w:cs="Times New Roman"/>
          <w:bCs/>
          <w:i/>
        </w:rPr>
        <w:t>- Convênios a aprovar com data expirada;</w:t>
      </w:r>
    </w:p>
    <w:p w14:paraId="01EBC17C" w14:textId="77777777" w:rsidR="00FE53F6" w:rsidRDefault="00FE53F6" w:rsidP="00FE53F6">
      <w:pPr>
        <w:pStyle w:val="Standard"/>
        <w:ind w:left="-426" w:right="-708" w:firstLine="426"/>
        <w:jc w:val="both"/>
        <w:rPr>
          <w:rFonts w:cs="Times New Roman"/>
          <w:bCs/>
          <w:i/>
        </w:rPr>
      </w:pPr>
      <w:r>
        <w:rPr>
          <w:rFonts w:cs="Times New Roman"/>
          <w:bCs/>
          <w:i/>
        </w:rPr>
        <w:t>- Demais Incoerências;</w:t>
      </w:r>
    </w:p>
    <w:p w14:paraId="4C6A697E" w14:textId="77777777" w:rsidR="00FE53F6" w:rsidRDefault="00FE53F6" w:rsidP="00FE53F6">
      <w:pPr>
        <w:pStyle w:val="Standard"/>
        <w:ind w:right="-708"/>
        <w:jc w:val="both"/>
        <w:rPr>
          <w:rFonts w:cs="Times New Roman"/>
          <w:bCs/>
          <w:i/>
        </w:rPr>
      </w:pPr>
      <w:r>
        <w:rPr>
          <w:rFonts w:cs="Times New Roman"/>
          <w:bCs/>
          <w:i/>
        </w:rPr>
        <w:t>- Termos de execução descentralizadas a repassar com data expirada.</w:t>
      </w:r>
    </w:p>
    <w:p w14:paraId="295DF080" w14:textId="77777777" w:rsidR="00FE53F6" w:rsidRDefault="00FE53F6" w:rsidP="00FE53F6">
      <w:pPr>
        <w:pStyle w:val="Standard"/>
        <w:ind w:left="-426" w:right="-708" w:firstLine="426"/>
        <w:jc w:val="both"/>
        <w:rPr>
          <w:rFonts w:cs="Times New Roman"/>
          <w:bCs/>
        </w:rPr>
      </w:pPr>
    </w:p>
    <w:p w14:paraId="13E0344C" w14:textId="77777777" w:rsidR="00FE53F6" w:rsidRDefault="00FE53F6" w:rsidP="00FE53F6">
      <w:pPr>
        <w:pStyle w:val="Standard"/>
        <w:ind w:left="-426" w:right="-708" w:firstLine="426"/>
        <w:jc w:val="both"/>
        <w:rPr>
          <w:rFonts w:cs="Times New Roman"/>
          <w:bCs/>
        </w:rPr>
      </w:pPr>
      <w:r>
        <w:rPr>
          <w:rFonts w:cs="Times New Roman"/>
          <w:bCs/>
        </w:rPr>
        <w:t xml:space="preserve">As transferências expiradas em fase de prestação de contas ou de liberação permaneceram pendentes, em virtude de escassez de pessoal técnico para evasão da quantidade de processos envolvidos a serem analisados em prazo hábil. </w:t>
      </w:r>
    </w:p>
    <w:p w14:paraId="1B42FA43" w14:textId="77777777" w:rsidR="00FE53F6" w:rsidRDefault="00FE53F6" w:rsidP="00FE53F6">
      <w:pPr>
        <w:pStyle w:val="Standard"/>
        <w:ind w:left="-426" w:right="-708" w:firstLine="426"/>
        <w:jc w:val="both"/>
        <w:rPr>
          <w:rFonts w:cs="Times New Roman"/>
          <w:bCs/>
        </w:rPr>
      </w:pPr>
      <w:r>
        <w:rPr>
          <w:rFonts w:cs="Times New Roman"/>
          <w:bCs/>
        </w:rPr>
        <w:t>As demais situações permaneceram com restrição por falta de atendimento às orientações emitidas pela Setorial Contábil de Órgão Superior.</w:t>
      </w:r>
    </w:p>
    <w:p w14:paraId="7387AE15" w14:textId="77777777" w:rsidR="00FE53F6" w:rsidRDefault="00FE53F6" w:rsidP="00FE53F6">
      <w:pPr>
        <w:pStyle w:val="Standard"/>
        <w:ind w:left="-426" w:right="-708"/>
        <w:jc w:val="both"/>
        <w:rPr>
          <w:rFonts w:cs="Times New Roman"/>
          <w:bCs/>
        </w:rPr>
      </w:pPr>
    </w:p>
    <w:p w14:paraId="372E625A" w14:textId="77777777" w:rsidR="00FE53F6" w:rsidRDefault="00FE53F6" w:rsidP="00FE53F6">
      <w:pPr>
        <w:pStyle w:val="Standard"/>
        <w:ind w:left="-426" w:right="-708"/>
        <w:jc w:val="both"/>
        <w:rPr>
          <w:rFonts w:cs="Times New Roman"/>
          <w:bCs/>
        </w:rPr>
      </w:pPr>
    </w:p>
    <w:p w14:paraId="097FE0F4" w14:textId="77777777" w:rsidR="00FE53F6" w:rsidRDefault="00FE53F6" w:rsidP="00FE53F6">
      <w:pPr>
        <w:pStyle w:val="Standard"/>
        <w:ind w:left="-426" w:right="-708" w:firstLine="426"/>
        <w:jc w:val="both"/>
        <w:rPr>
          <w:color w:val="FF0000"/>
        </w:rPr>
      </w:pPr>
      <w:r>
        <w:rPr>
          <w:rFonts w:cs="Times New Roman"/>
          <w:b/>
          <w:bCs/>
        </w:rPr>
        <w:t>53000</w:t>
      </w:r>
      <w:r>
        <w:rPr>
          <w:rFonts w:cs="Times New Roman"/>
          <w:bCs/>
        </w:rPr>
        <w:t xml:space="preserve"> – Ministério do Desenvolvimento Regional</w:t>
      </w:r>
    </w:p>
    <w:p w14:paraId="09E5A458" w14:textId="77777777" w:rsidR="00FE53F6" w:rsidRDefault="00FE53F6" w:rsidP="00FE53F6">
      <w:pPr>
        <w:pStyle w:val="Standard"/>
        <w:ind w:left="-426" w:right="-708" w:firstLine="426"/>
        <w:jc w:val="both"/>
        <w:rPr>
          <w:rFonts w:cs="Times New Roman"/>
          <w:bCs/>
        </w:rPr>
      </w:pPr>
    </w:p>
    <w:p w14:paraId="49DE842F" w14:textId="77777777" w:rsidR="00FE53F6" w:rsidRDefault="00FE53F6" w:rsidP="00FE53F6">
      <w:pPr>
        <w:pStyle w:val="Standard"/>
        <w:ind w:left="-426" w:right="-708" w:firstLine="426"/>
        <w:jc w:val="both"/>
      </w:pPr>
      <w:r>
        <w:rPr>
          <w:rFonts w:cs="Times New Roman"/>
          <w:bCs/>
        </w:rPr>
        <w:t xml:space="preserve">- </w:t>
      </w:r>
      <w:r>
        <w:rPr>
          <w:rFonts w:cs="Times New Roman"/>
          <w:bCs/>
          <w:i/>
        </w:rPr>
        <w:t>Falta de conformidade de registro de gestão;</w:t>
      </w:r>
    </w:p>
    <w:p w14:paraId="7881CC19" w14:textId="77777777" w:rsidR="00FE53F6" w:rsidRDefault="00FE53F6" w:rsidP="00FE53F6">
      <w:pPr>
        <w:pStyle w:val="Standard"/>
        <w:ind w:left="-426" w:right="-708" w:firstLine="426"/>
        <w:jc w:val="both"/>
        <w:rPr>
          <w:rFonts w:cs="Times New Roman"/>
          <w:bCs/>
          <w:i/>
        </w:rPr>
      </w:pPr>
      <w:r>
        <w:rPr>
          <w:rFonts w:cs="Times New Roman"/>
          <w:bCs/>
          <w:i/>
        </w:rPr>
        <w:t>- Falta de registro de depreciação, amortização ou exaustão do ativo imobilizado;</w:t>
      </w:r>
    </w:p>
    <w:p w14:paraId="267FD0CC" w14:textId="77777777" w:rsidR="00FE53F6" w:rsidRDefault="00FE53F6" w:rsidP="00FE53F6">
      <w:pPr>
        <w:pStyle w:val="Standard"/>
        <w:ind w:left="-426" w:right="-708" w:firstLine="426"/>
        <w:jc w:val="both"/>
        <w:rPr>
          <w:rFonts w:cs="Times New Roman"/>
          <w:bCs/>
          <w:i/>
        </w:rPr>
      </w:pPr>
      <w:r>
        <w:rPr>
          <w:rFonts w:cs="Times New Roman"/>
          <w:bCs/>
          <w:i/>
        </w:rPr>
        <w:t>- Outros Bens Imóveis registrados em conta de Ativo Permanente superior a 10% da conta sintética;</w:t>
      </w:r>
    </w:p>
    <w:p w14:paraId="1079E360" w14:textId="77777777" w:rsidR="00FE53F6" w:rsidRDefault="00FE53F6" w:rsidP="00FE53F6">
      <w:pPr>
        <w:pStyle w:val="Standard"/>
        <w:ind w:left="-426" w:right="-708" w:firstLine="426"/>
        <w:jc w:val="both"/>
        <w:rPr>
          <w:rFonts w:cs="Times New Roman"/>
          <w:bCs/>
          <w:i/>
        </w:rPr>
      </w:pPr>
      <w:r>
        <w:rPr>
          <w:rFonts w:cs="Times New Roman"/>
          <w:bCs/>
          <w:i/>
        </w:rPr>
        <w:t>- Saldo Alongado indevido conta de controle;</w:t>
      </w:r>
    </w:p>
    <w:p w14:paraId="2F14955F" w14:textId="15FD0847" w:rsidR="00FE53F6" w:rsidRDefault="00FE53F6" w:rsidP="00FE53F6">
      <w:pPr>
        <w:pStyle w:val="Standard"/>
        <w:ind w:right="-708"/>
        <w:jc w:val="both"/>
        <w:rPr>
          <w:rFonts w:cs="Times New Roman"/>
          <w:bCs/>
          <w:i/>
        </w:rPr>
      </w:pPr>
      <w:r>
        <w:rPr>
          <w:rFonts w:cs="Times New Roman"/>
          <w:bCs/>
          <w:i/>
        </w:rPr>
        <w:t>- Convênios a comprovar com data expirada;</w:t>
      </w:r>
    </w:p>
    <w:p w14:paraId="43B31988" w14:textId="7EEF20F0" w:rsidR="00FE53F6" w:rsidRDefault="00FE53F6" w:rsidP="00FE53F6">
      <w:pPr>
        <w:pStyle w:val="Standard"/>
        <w:ind w:right="-708"/>
        <w:jc w:val="both"/>
        <w:rPr>
          <w:rFonts w:cs="Times New Roman"/>
          <w:bCs/>
          <w:i/>
        </w:rPr>
      </w:pPr>
      <w:r>
        <w:rPr>
          <w:rFonts w:cs="Times New Roman"/>
          <w:bCs/>
          <w:i/>
        </w:rPr>
        <w:t>- Convênios a aprovar com data expirada;</w:t>
      </w:r>
    </w:p>
    <w:p w14:paraId="48E73CD7" w14:textId="11EDBE9C" w:rsidR="00FE53F6" w:rsidRDefault="00FE53F6" w:rsidP="00FE53F6">
      <w:pPr>
        <w:pStyle w:val="Standard"/>
        <w:ind w:right="-708"/>
        <w:jc w:val="both"/>
        <w:rPr>
          <w:rFonts w:cs="Times New Roman"/>
          <w:bCs/>
          <w:i/>
        </w:rPr>
      </w:pPr>
      <w:r>
        <w:rPr>
          <w:rFonts w:cs="Times New Roman"/>
          <w:bCs/>
          <w:i/>
        </w:rPr>
        <w:t>- Convênios a liberar com data expirada;</w:t>
      </w:r>
    </w:p>
    <w:p w14:paraId="6A15D40D" w14:textId="10A3DE60" w:rsidR="00FE53F6" w:rsidRDefault="00FE53F6" w:rsidP="00FE53F6">
      <w:pPr>
        <w:pStyle w:val="Standard"/>
        <w:ind w:right="-708"/>
        <w:jc w:val="both"/>
        <w:rPr>
          <w:rFonts w:cs="Times New Roman"/>
          <w:bCs/>
          <w:i/>
        </w:rPr>
      </w:pPr>
      <w:r>
        <w:rPr>
          <w:rFonts w:cs="Times New Roman"/>
          <w:bCs/>
          <w:i/>
        </w:rPr>
        <w:t>- Contrato de repasse a comprovar com data expirada;</w:t>
      </w:r>
    </w:p>
    <w:p w14:paraId="6274EFA8" w14:textId="74B6C668" w:rsidR="00FE53F6" w:rsidRDefault="00403610" w:rsidP="00FE53F6">
      <w:pPr>
        <w:pStyle w:val="Standard"/>
        <w:ind w:right="-708"/>
        <w:jc w:val="both"/>
        <w:rPr>
          <w:rFonts w:cs="Times New Roman"/>
          <w:bCs/>
          <w:i/>
        </w:rPr>
      </w:pPr>
      <w:r>
        <w:rPr>
          <w:rFonts w:cs="Times New Roman"/>
          <w:bCs/>
          <w:i/>
        </w:rPr>
        <w:t xml:space="preserve"> </w:t>
      </w:r>
      <w:r w:rsidR="00FE53F6">
        <w:rPr>
          <w:rFonts w:cs="Times New Roman"/>
          <w:bCs/>
          <w:i/>
        </w:rPr>
        <w:t>- Contrato de repasse a liberar expirados;</w:t>
      </w:r>
    </w:p>
    <w:p w14:paraId="3B1AE051" w14:textId="77777777" w:rsidR="00FE53F6" w:rsidRDefault="00FE53F6" w:rsidP="00FE53F6">
      <w:pPr>
        <w:pStyle w:val="Standard"/>
        <w:ind w:left="-426" w:right="-708" w:firstLine="426"/>
        <w:jc w:val="both"/>
        <w:rPr>
          <w:rFonts w:cs="Times New Roman"/>
          <w:bCs/>
          <w:i/>
        </w:rPr>
      </w:pPr>
      <w:r>
        <w:rPr>
          <w:rFonts w:cs="Times New Roman"/>
          <w:bCs/>
          <w:i/>
        </w:rPr>
        <w:t>- Termo de parceria a liberar com vigência expirada;</w:t>
      </w:r>
    </w:p>
    <w:p w14:paraId="111C4691" w14:textId="77777777" w:rsidR="00FE53F6" w:rsidRDefault="00FE53F6" w:rsidP="00FE53F6">
      <w:pPr>
        <w:pStyle w:val="Standard"/>
        <w:ind w:left="-426" w:right="-708" w:firstLine="426"/>
        <w:jc w:val="both"/>
        <w:rPr>
          <w:rFonts w:cs="Times New Roman"/>
          <w:bCs/>
          <w:i/>
        </w:rPr>
      </w:pPr>
      <w:r>
        <w:rPr>
          <w:rFonts w:cs="Times New Roman"/>
          <w:bCs/>
          <w:i/>
        </w:rPr>
        <w:t>- Termo de parceria a comprovar com vigência expirada;</w:t>
      </w:r>
    </w:p>
    <w:p w14:paraId="04CBD291" w14:textId="77777777" w:rsidR="00FE53F6" w:rsidRDefault="00FE53F6" w:rsidP="00FE53F6">
      <w:pPr>
        <w:pStyle w:val="Standard"/>
        <w:ind w:left="-426" w:right="-708" w:firstLine="426"/>
        <w:jc w:val="both"/>
        <w:rPr>
          <w:rFonts w:cs="Times New Roman"/>
          <w:bCs/>
          <w:i/>
        </w:rPr>
      </w:pPr>
      <w:r>
        <w:rPr>
          <w:rFonts w:cs="Times New Roman"/>
          <w:bCs/>
          <w:i/>
        </w:rPr>
        <w:t>- Termo de parceria a aprovar com vigência expirada;</w:t>
      </w:r>
    </w:p>
    <w:p w14:paraId="1A59A665" w14:textId="77777777" w:rsidR="00FE53F6" w:rsidRDefault="00FE53F6" w:rsidP="00FE53F6">
      <w:pPr>
        <w:pStyle w:val="Standard"/>
        <w:ind w:left="-426" w:right="-708" w:firstLine="426"/>
        <w:jc w:val="both"/>
        <w:rPr>
          <w:rFonts w:cs="Times New Roman"/>
          <w:bCs/>
          <w:i/>
        </w:rPr>
      </w:pPr>
      <w:r>
        <w:rPr>
          <w:rFonts w:cs="Times New Roman"/>
          <w:bCs/>
          <w:i/>
        </w:rPr>
        <w:t>- Acordo de cooperação técnica a comprovar com data expirada;</w:t>
      </w:r>
    </w:p>
    <w:p w14:paraId="7C51407D" w14:textId="77777777" w:rsidR="00FE53F6" w:rsidRDefault="00FE53F6" w:rsidP="00FE53F6">
      <w:pPr>
        <w:pStyle w:val="Standard"/>
        <w:ind w:left="-426" w:right="-708" w:firstLine="426"/>
        <w:jc w:val="both"/>
        <w:rPr>
          <w:rFonts w:cs="Times New Roman"/>
          <w:bCs/>
          <w:i/>
        </w:rPr>
      </w:pPr>
      <w:r>
        <w:rPr>
          <w:rFonts w:cs="Times New Roman"/>
          <w:bCs/>
          <w:i/>
        </w:rPr>
        <w:t>- Acordo de cooperação técnica a liberar com data expirada;</w:t>
      </w:r>
    </w:p>
    <w:p w14:paraId="5423E668" w14:textId="77777777" w:rsidR="00FE53F6" w:rsidRDefault="00FE53F6" w:rsidP="00FE53F6">
      <w:pPr>
        <w:pStyle w:val="Standard"/>
        <w:ind w:left="-426" w:right="-708" w:firstLine="426"/>
        <w:jc w:val="both"/>
        <w:rPr>
          <w:rFonts w:cs="Times New Roman"/>
          <w:bCs/>
          <w:i/>
        </w:rPr>
      </w:pPr>
      <w:r>
        <w:rPr>
          <w:rFonts w:cs="Times New Roman"/>
          <w:bCs/>
          <w:i/>
        </w:rPr>
        <w:t>- Falta ou atraso na retenção ou recolhimento de obrigações e tributos;</w:t>
      </w:r>
    </w:p>
    <w:p w14:paraId="004B0C4F" w14:textId="77777777" w:rsidR="00FE53F6" w:rsidRDefault="00FE53F6" w:rsidP="00FE53F6">
      <w:pPr>
        <w:pStyle w:val="Standard"/>
        <w:ind w:left="-426" w:right="-708" w:firstLine="426"/>
        <w:jc w:val="both"/>
        <w:rPr>
          <w:rFonts w:cs="Times New Roman"/>
          <w:bCs/>
          <w:i/>
        </w:rPr>
      </w:pPr>
      <w:r>
        <w:rPr>
          <w:rFonts w:cs="Times New Roman"/>
          <w:bCs/>
          <w:i/>
        </w:rPr>
        <w:t>- Saldo Invertido – Classe 8;</w:t>
      </w:r>
    </w:p>
    <w:p w14:paraId="5A23F516" w14:textId="77777777" w:rsidR="00FE53F6" w:rsidRDefault="00FE53F6" w:rsidP="00FE53F6">
      <w:pPr>
        <w:pStyle w:val="Standard"/>
        <w:ind w:left="-426" w:right="-708" w:firstLine="426"/>
        <w:jc w:val="both"/>
        <w:rPr>
          <w:rFonts w:cs="Times New Roman"/>
          <w:bCs/>
          <w:i/>
        </w:rPr>
      </w:pPr>
      <w:r>
        <w:rPr>
          <w:rFonts w:cs="Times New Roman"/>
          <w:bCs/>
          <w:i/>
        </w:rPr>
        <w:t>- Termo de execução descentralizada a repassar com data expirada;</w:t>
      </w:r>
    </w:p>
    <w:p w14:paraId="307E2449" w14:textId="77777777" w:rsidR="00FE53F6" w:rsidRDefault="00FE53F6" w:rsidP="00FE53F6">
      <w:pPr>
        <w:pStyle w:val="Standard"/>
        <w:ind w:left="-426" w:right="-708" w:firstLine="426"/>
        <w:jc w:val="both"/>
        <w:rPr>
          <w:rFonts w:cs="Times New Roman"/>
          <w:bCs/>
          <w:i/>
        </w:rPr>
      </w:pPr>
      <w:r>
        <w:rPr>
          <w:rFonts w:cs="Times New Roman"/>
          <w:bCs/>
          <w:i/>
        </w:rPr>
        <w:t>- Termos de execução descentralizadas a comprovar com data expirada.</w:t>
      </w:r>
    </w:p>
    <w:p w14:paraId="7242DDD5" w14:textId="77777777" w:rsidR="00FE53F6" w:rsidRDefault="00FE53F6" w:rsidP="00FE53F6">
      <w:pPr>
        <w:pStyle w:val="Standard"/>
        <w:ind w:left="-426" w:right="-708" w:firstLine="426"/>
        <w:jc w:val="both"/>
        <w:rPr>
          <w:rFonts w:cs="Times New Roman"/>
          <w:bCs/>
          <w:i/>
        </w:rPr>
      </w:pPr>
    </w:p>
    <w:p w14:paraId="0A452201" w14:textId="77777777" w:rsidR="00FE53F6" w:rsidRDefault="00FE53F6" w:rsidP="00FE53F6">
      <w:pPr>
        <w:pStyle w:val="Standard"/>
        <w:ind w:left="-426" w:right="-708" w:firstLine="426"/>
        <w:jc w:val="both"/>
        <w:rPr>
          <w:rFonts w:cs="Times New Roman"/>
          <w:bCs/>
          <w:i/>
        </w:rPr>
      </w:pPr>
    </w:p>
    <w:p w14:paraId="193629F4" w14:textId="77777777" w:rsidR="00FE53F6" w:rsidRDefault="00FE53F6" w:rsidP="00FE53F6">
      <w:pPr>
        <w:pStyle w:val="Standard"/>
        <w:ind w:left="-426" w:right="-708" w:firstLine="426"/>
        <w:jc w:val="both"/>
        <w:rPr>
          <w:rFonts w:cs="Times New Roman"/>
          <w:bCs/>
        </w:rPr>
      </w:pPr>
      <w:r>
        <w:rPr>
          <w:rFonts w:cs="Times New Roman"/>
          <w:bCs/>
        </w:rPr>
        <w:t>As transferências expiradas em fase de prestação de contas ou de liberação permaneceram pendentes, em virtude de escassez de pessoal técnico para evasão da quantidade de processos envolvidos a serem analisados em prazo hábil.</w:t>
      </w:r>
    </w:p>
    <w:p w14:paraId="4DF421D9" w14:textId="77777777" w:rsidR="00FE53F6" w:rsidRDefault="00FE53F6" w:rsidP="00FE53F6">
      <w:pPr>
        <w:pStyle w:val="Standard"/>
        <w:ind w:left="-426" w:right="-708" w:firstLine="426"/>
        <w:jc w:val="both"/>
        <w:rPr>
          <w:rFonts w:cs="Times New Roman"/>
          <w:bCs/>
        </w:rPr>
      </w:pPr>
      <w:r>
        <w:rPr>
          <w:rFonts w:cs="Times New Roman"/>
          <w:bCs/>
        </w:rPr>
        <w:t>Os bens imóveis são relativos ao recebimento do Ministério do Meio Ambiente, pela incorporação de uma unidade gestora na criação do Ministério do Desenvolvimento Regional, que ainda não foram totalmente identificados para e reclassificação.</w:t>
      </w:r>
    </w:p>
    <w:p w14:paraId="29C3621E" w14:textId="77777777" w:rsidR="00FE53F6" w:rsidRDefault="00FE53F6" w:rsidP="00FE53F6">
      <w:pPr>
        <w:pStyle w:val="Standard"/>
        <w:ind w:left="-426" w:right="-708" w:firstLine="426"/>
        <w:jc w:val="both"/>
        <w:rPr>
          <w:rFonts w:cs="Times New Roman"/>
          <w:bCs/>
        </w:rPr>
      </w:pPr>
      <w:r>
        <w:rPr>
          <w:rFonts w:cs="Times New Roman"/>
          <w:bCs/>
        </w:rPr>
        <w:t>As demais situações permaneceram com restrição por falta de atendimento às orientações emitidas pela Setorial Contábil de Órgão.</w:t>
      </w:r>
    </w:p>
    <w:p w14:paraId="4797DC09" w14:textId="77777777" w:rsidR="00FE53F6" w:rsidRDefault="00FE53F6" w:rsidP="00FE53F6">
      <w:pPr>
        <w:pStyle w:val="Standard"/>
        <w:ind w:left="-426" w:right="-708" w:firstLine="426"/>
        <w:jc w:val="both"/>
        <w:rPr>
          <w:rFonts w:cs="Times New Roman"/>
          <w:bCs/>
        </w:rPr>
      </w:pPr>
    </w:p>
    <w:p w14:paraId="27E11585" w14:textId="77777777" w:rsidR="00FE53F6" w:rsidRDefault="00FE53F6" w:rsidP="00403610">
      <w:pPr>
        <w:pStyle w:val="Standard"/>
        <w:ind w:firstLine="709"/>
      </w:pPr>
      <w:r>
        <w:rPr>
          <w:rFonts w:cs="Times New Roman"/>
          <w:b/>
          <w:bCs/>
        </w:rPr>
        <w:t>56902</w:t>
      </w:r>
      <w:r>
        <w:rPr>
          <w:rFonts w:cs="Times New Roman"/>
          <w:bCs/>
        </w:rPr>
        <w:t xml:space="preserve"> – Fundo Nacional de Habitação e Interesse Social</w:t>
      </w:r>
    </w:p>
    <w:p w14:paraId="01035767" w14:textId="77777777" w:rsidR="00FE53F6" w:rsidRDefault="00FE53F6" w:rsidP="00FE53F6">
      <w:pPr>
        <w:pStyle w:val="Standard"/>
        <w:rPr>
          <w:rFonts w:cs="Times New Roman"/>
          <w:bCs/>
        </w:rPr>
      </w:pPr>
    </w:p>
    <w:p w14:paraId="783CB3DA" w14:textId="77777777" w:rsidR="00FE53F6" w:rsidRDefault="00FE53F6" w:rsidP="00403610">
      <w:pPr>
        <w:pStyle w:val="Standard"/>
        <w:ind w:right="-708" w:firstLine="709"/>
        <w:jc w:val="both"/>
        <w:rPr>
          <w:rFonts w:cs="Times New Roman"/>
          <w:bCs/>
          <w:i/>
        </w:rPr>
      </w:pPr>
      <w:r>
        <w:rPr>
          <w:rFonts w:cs="Times New Roman"/>
          <w:bCs/>
          <w:i/>
        </w:rPr>
        <w:lastRenderedPageBreak/>
        <w:t>- Contrato de repasse a comprovar com data expirada;</w:t>
      </w:r>
    </w:p>
    <w:p w14:paraId="4BCC9D32" w14:textId="77777777" w:rsidR="00FE53F6" w:rsidRDefault="00FE53F6" w:rsidP="00403610">
      <w:pPr>
        <w:pStyle w:val="Standard"/>
        <w:ind w:right="-708" w:firstLine="709"/>
        <w:jc w:val="both"/>
        <w:rPr>
          <w:rFonts w:cs="Times New Roman"/>
          <w:bCs/>
          <w:i/>
        </w:rPr>
      </w:pPr>
      <w:r>
        <w:rPr>
          <w:rFonts w:cs="Times New Roman"/>
          <w:bCs/>
          <w:i/>
        </w:rPr>
        <w:t>- Contrato de repasse a aprovar com data expirada;</w:t>
      </w:r>
    </w:p>
    <w:p w14:paraId="03B754DE" w14:textId="77777777" w:rsidR="00FE53F6" w:rsidRDefault="00FE53F6" w:rsidP="00403610">
      <w:pPr>
        <w:pStyle w:val="Standard"/>
        <w:ind w:right="-708" w:firstLine="709"/>
        <w:jc w:val="both"/>
        <w:rPr>
          <w:rFonts w:cs="Times New Roman"/>
          <w:bCs/>
          <w:i/>
        </w:rPr>
      </w:pPr>
      <w:r>
        <w:rPr>
          <w:rFonts w:cs="Times New Roman"/>
          <w:bCs/>
          <w:i/>
        </w:rPr>
        <w:t>- Contrato de repasse a liberar expirados.</w:t>
      </w:r>
    </w:p>
    <w:p w14:paraId="2B3F89FD" w14:textId="77777777" w:rsidR="00FE53F6" w:rsidRDefault="00FE53F6" w:rsidP="00FE53F6">
      <w:pPr>
        <w:pStyle w:val="Standard"/>
        <w:rPr>
          <w:rFonts w:cs="Times New Roman"/>
          <w:bCs/>
          <w:i/>
        </w:rPr>
      </w:pPr>
    </w:p>
    <w:p w14:paraId="3F9D715F" w14:textId="77777777" w:rsidR="00FE53F6" w:rsidRDefault="00FE53F6" w:rsidP="00FE53F6">
      <w:pPr>
        <w:pStyle w:val="Standard"/>
        <w:ind w:left="-426" w:right="-708" w:firstLine="426"/>
        <w:jc w:val="both"/>
        <w:rPr>
          <w:rFonts w:cs="Times New Roman"/>
          <w:bCs/>
        </w:rPr>
      </w:pPr>
      <w:r>
        <w:rPr>
          <w:rFonts w:cs="Times New Roman"/>
          <w:bCs/>
        </w:rPr>
        <w:t>As transferências expiradas em fase de prestação de contas permaneceram pendentes, em virtude de escassez de pessoal técnico para evasão da quantidade de processos envolvidos a serem analisados em prazo hábil.</w:t>
      </w:r>
    </w:p>
    <w:p w14:paraId="161327C6" w14:textId="77777777" w:rsidR="00FE53F6" w:rsidRDefault="00FE53F6" w:rsidP="00FE53F6">
      <w:pPr>
        <w:pStyle w:val="Standard"/>
        <w:ind w:left="-426" w:right="-708" w:firstLine="426"/>
        <w:jc w:val="both"/>
        <w:rPr>
          <w:rFonts w:cs="Times New Roman"/>
          <w:bCs/>
        </w:rPr>
      </w:pPr>
    </w:p>
    <w:p w14:paraId="77E99DBC" w14:textId="77777777" w:rsidR="00FE53F6" w:rsidRDefault="00FE53F6" w:rsidP="00FE53F6">
      <w:pPr>
        <w:pStyle w:val="Standard"/>
        <w:ind w:right="-708"/>
        <w:jc w:val="both"/>
        <w:rPr>
          <w:rFonts w:cs="Times New Roman"/>
          <w:bCs/>
        </w:rPr>
      </w:pPr>
    </w:p>
    <w:p w14:paraId="58552816" w14:textId="77777777" w:rsidR="00FE53F6" w:rsidRDefault="00FE53F6" w:rsidP="00403610">
      <w:pPr>
        <w:pStyle w:val="Standard"/>
        <w:ind w:firstLine="709"/>
      </w:pPr>
      <w:r>
        <w:rPr>
          <w:rFonts w:cs="Times New Roman"/>
          <w:b/>
          <w:bCs/>
        </w:rPr>
        <w:t>53202</w:t>
      </w:r>
      <w:r>
        <w:rPr>
          <w:rFonts w:cs="Times New Roman"/>
          <w:bCs/>
        </w:rPr>
        <w:t xml:space="preserve"> – Superintendência do Desenvolvimento da Amazônia</w:t>
      </w:r>
    </w:p>
    <w:p w14:paraId="55EFB852" w14:textId="77777777" w:rsidR="00FE53F6" w:rsidRDefault="00FE53F6" w:rsidP="00FE53F6">
      <w:pPr>
        <w:pStyle w:val="Standard"/>
        <w:rPr>
          <w:rFonts w:cs="Times New Roman"/>
          <w:bCs/>
        </w:rPr>
      </w:pPr>
    </w:p>
    <w:p w14:paraId="687F03F1" w14:textId="77777777" w:rsidR="00FE53F6" w:rsidRDefault="00FE53F6" w:rsidP="00403610">
      <w:pPr>
        <w:pStyle w:val="Standard"/>
        <w:ind w:firstLine="709"/>
        <w:rPr>
          <w:rFonts w:cs="Times New Roman"/>
          <w:bCs/>
          <w:i/>
        </w:rPr>
      </w:pPr>
      <w:r>
        <w:rPr>
          <w:rFonts w:cs="Times New Roman"/>
          <w:bCs/>
          <w:i/>
        </w:rPr>
        <w:t>- Convênios a aprovar com data expirada;</w:t>
      </w:r>
    </w:p>
    <w:p w14:paraId="6BC732CD" w14:textId="77777777" w:rsidR="00FE53F6" w:rsidRDefault="00FE53F6" w:rsidP="00403610">
      <w:pPr>
        <w:pStyle w:val="Standard"/>
        <w:ind w:firstLine="709"/>
        <w:rPr>
          <w:rFonts w:cs="Times New Roman"/>
          <w:bCs/>
          <w:i/>
        </w:rPr>
      </w:pPr>
      <w:r>
        <w:rPr>
          <w:rFonts w:cs="Times New Roman"/>
          <w:bCs/>
          <w:i/>
        </w:rPr>
        <w:t>- Termos de execução descentralizadas a comprovar com data expirada.</w:t>
      </w:r>
    </w:p>
    <w:p w14:paraId="53F4E526" w14:textId="77777777" w:rsidR="00FE53F6" w:rsidRDefault="00FE53F6" w:rsidP="00FE53F6">
      <w:pPr>
        <w:pStyle w:val="Standard"/>
        <w:rPr>
          <w:rFonts w:cs="Times New Roman"/>
          <w:bCs/>
          <w:i/>
        </w:rPr>
      </w:pPr>
    </w:p>
    <w:p w14:paraId="7507B440" w14:textId="77777777" w:rsidR="00FE53F6" w:rsidRDefault="00FE53F6" w:rsidP="00FE53F6">
      <w:pPr>
        <w:pStyle w:val="Standard"/>
        <w:rPr>
          <w:rFonts w:cs="Times New Roman"/>
          <w:bCs/>
          <w:i/>
        </w:rPr>
      </w:pPr>
    </w:p>
    <w:p w14:paraId="439AE619" w14:textId="77777777" w:rsidR="00FE53F6" w:rsidRDefault="00FE53F6" w:rsidP="00FE53F6">
      <w:pPr>
        <w:pStyle w:val="Standard"/>
        <w:ind w:left="-426" w:right="-708" w:firstLine="426"/>
        <w:jc w:val="both"/>
        <w:rPr>
          <w:rFonts w:cs="Times New Roman"/>
          <w:bCs/>
        </w:rPr>
      </w:pPr>
      <w:r>
        <w:rPr>
          <w:rFonts w:cs="Times New Roman"/>
          <w:bCs/>
        </w:rPr>
        <w:t>As transferências expiradas em fase de prestação de contas permaneceram pendentes, em virtude de escassez de pessoal técnico para evasão da quantidade de processos envolvidos a serem analisados em prazo hábil.</w:t>
      </w:r>
    </w:p>
    <w:p w14:paraId="287A27D2" w14:textId="77777777" w:rsidR="00FE53F6" w:rsidRDefault="00FE53F6" w:rsidP="00FE53F6">
      <w:pPr>
        <w:pStyle w:val="Standard"/>
        <w:rPr>
          <w:rFonts w:cs="Times New Roman"/>
          <w:bCs/>
        </w:rPr>
      </w:pPr>
    </w:p>
    <w:p w14:paraId="71567BDA" w14:textId="77777777" w:rsidR="00FE53F6" w:rsidRDefault="00FE53F6" w:rsidP="00403610">
      <w:pPr>
        <w:pStyle w:val="Standard"/>
        <w:ind w:firstLine="709"/>
      </w:pPr>
      <w:r>
        <w:rPr>
          <w:rFonts w:cs="Times New Roman"/>
          <w:b/>
          <w:bCs/>
        </w:rPr>
        <w:t>53203</w:t>
      </w:r>
      <w:r>
        <w:rPr>
          <w:rFonts w:cs="Times New Roman"/>
          <w:bCs/>
        </w:rPr>
        <w:t xml:space="preserve"> – Superintendência do Desenvolvimento do Nordeste</w:t>
      </w:r>
    </w:p>
    <w:p w14:paraId="1DDA4EDC" w14:textId="77777777" w:rsidR="00FE53F6" w:rsidRDefault="00FE53F6" w:rsidP="00FE53F6">
      <w:pPr>
        <w:pStyle w:val="Standard"/>
        <w:rPr>
          <w:rFonts w:cs="Times New Roman"/>
          <w:bCs/>
        </w:rPr>
      </w:pPr>
    </w:p>
    <w:p w14:paraId="5B1020B7" w14:textId="77777777" w:rsidR="00FE53F6" w:rsidRDefault="00FE53F6" w:rsidP="00403610">
      <w:pPr>
        <w:pStyle w:val="Standard"/>
        <w:ind w:firstLine="709"/>
        <w:rPr>
          <w:rFonts w:cs="Times New Roman"/>
          <w:bCs/>
          <w:i/>
        </w:rPr>
      </w:pPr>
      <w:r>
        <w:rPr>
          <w:rFonts w:cs="Times New Roman"/>
          <w:bCs/>
          <w:i/>
        </w:rPr>
        <w:t>- Saldo Alongado indevido contas de controle;</w:t>
      </w:r>
    </w:p>
    <w:p w14:paraId="14C401AC" w14:textId="77777777" w:rsidR="00FE53F6" w:rsidRDefault="00FE53F6" w:rsidP="00403610">
      <w:pPr>
        <w:pStyle w:val="Standard"/>
        <w:ind w:firstLine="709"/>
        <w:rPr>
          <w:rFonts w:cs="Times New Roman"/>
          <w:bCs/>
          <w:i/>
        </w:rPr>
      </w:pPr>
      <w:r>
        <w:rPr>
          <w:rFonts w:cs="Times New Roman"/>
          <w:bCs/>
          <w:i/>
        </w:rPr>
        <w:t>- Convênios a comprovar com data expirada;</w:t>
      </w:r>
    </w:p>
    <w:p w14:paraId="3E80DA42" w14:textId="77777777" w:rsidR="00FE53F6" w:rsidRDefault="00FE53F6" w:rsidP="00403610">
      <w:pPr>
        <w:pStyle w:val="Standard"/>
        <w:ind w:firstLine="709"/>
        <w:rPr>
          <w:rFonts w:cs="Times New Roman"/>
          <w:bCs/>
          <w:i/>
        </w:rPr>
      </w:pPr>
      <w:r>
        <w:rPr>
          <w:rFonts w:cs="Times New Roman"/>
          <w:bCs/>
          <w:i/>
        </w:rPr>
        <w:t>- Convênios a aprovar com data expirada;</w:t>
      </w:r>
    </w:p>
    <w:p w14:paraId="7041E759" w14:textId="77777777" w:rsidR="00FE53F6" w:rsidRDefault="00FE53F6" w:rsidP="00403610">
      <w:pPr>
        <w:pStyle w:val="Standard"/>
        <w:ind w:firstLine="709"/>
        <w:rPr>
          <w:rFonts w:cs="Times New Roman"/>
          <w:bCs/>
          <w:i/>
        </w:rPr>
      </w:pPr>
      <w:r>
        <w:rPr>
          <w:rFonts w:cs="Times New Roman"/>
          <w:bCs/>
          <w:i/>
        </w:rPr>
        <w:t>- Termos de execução descentralizadas a comprovar com data expirada;</w:t>
      </w:r>
    </w:p>
    <w:p w14:paraId="2B552537" w14:textId="77777777" w:rsidR="00FE53F6" w:rsidRDefault="00FE53F6" w:rsidP="00403610">
      <w:pPr>
        <w:pStyle w:val="Standard"/>
        <w:ind w:firstLine="709"/>
        <w:rPr>
          <w:rFonts w:cs="Times New Roman"/>
          <w:bCs/>
          <w:i/>
        </w:rPr>
      </w:pPr>
      <w:r>
        <w:rPr>
          <w:rFonts w:cs="Times New Roman"/>
          <w:bCs/>
          <w:i/>
        </w:rPr>
        <w:t>- Termos de execução descentralizadas a repassar expirados.</w:t>
      </w:r>
    </w:p>
    <w:p w14:paraId="7C816766" w14:textId="77777777" w:rsidR="00FE53F6" w:rsidRDefault="00FE53F6" w:rsidP="00FE53F6">
      <w:pPr>
        <w:pStyle w:val="Standard"/>
        <w:rPr>
          <w:rFonts w:cs="Times New Roman"/>
          <w:bCs/>
          <w:i/>
        </w:rPr>
      </w:pPr>
    </w:p>
    <w:p w14:paraId="0B68ABA5" w14:textId="77777777" w:rsidR="00FE53F6" w:rsidRDefault="00FE53F6" w:rsidP="00FE53F6">
      <w:pPr>
        <w:pStyle w:val="Standard"/>
        <w:rPr>
          <w:rFonts w:cs="Times New Roman"/>
          <w:bCs/>
          <w:i/>
        </w:rPr>
      </w:pPr>
    </w:p>
    <w:p w14:paraId="498D8885" w14:textId="77777777" w:rsidR="00FE53F6" w:rsidRDefault="00FE53F6" w:rsidP="00FE53F6">
      <w:pPr>
        <w:pStyle w:val="Standard"/>
        <w:ind w:left="-426" w:right="-708" w:firstLine="426"/>
        <w:jc w:val="both"/>
        <w:rPr>
          <w:rFonts w:cs="Times New Roman"/>
          <w:bCs/>
        </w:rPr>
      </w:pPr>
      <w:r>
        <w:rPr>
          <w:rFonts w:cs="Times New Roman"/>
          <w:bCs/>
        </w:rPr>
        <w:t>As transferências expiradas em fase de prestação de contas permaneceram pendentes, em virtude de escassez de pessoal técnico para evasão da quantidade de processos envolvidos a serem analisados em prazo hábil.</w:t>
      </w:r>
    </w:p>
    <w:p w14:paraId="55BB3D44" w14:textId="77777777" w:rsidR="00FE53F6" w:rsidRDefault="00FE53F6" w:rsidP="00FE53F6">
      <w:pPr>
        <w:pStyle w:val="Standard"/>
        <w:ind w:left="-426" w:right="-708" w:firstLine="426"/>
        <w:jc w:val="both"/>
        <w:rPr>
          <w:rFonts w:cs="Times New Roman"/>
          <w:bCs/>
        </w:rPr>
      </w:pPr>
    </w:p>
    <w:p w14:paraId="0B2A4993" w14:textId="77777777" w:rsidR="00FE53F6" w:rsidRDefault="00FE53F6" w:rsidP="00403610">
      <w:pPr>
        <w:pStyle w:val="Standard"/>
        <w:ind w:firstLine="709"/>
      </w:pPr>
      <w:r>
        <w:rPr>
          <w:rFonts w:cs="Times New Roman"/>
          <w:b/>
          <w:bCs/>
        </w:rPr>
        <w:t>53207</w:t>
      </w:r>
      <w:r>
        <w:rPr>
          <w:rFonts w:cs="Times New Roman"/>
          <w:bCs/>
        </w:rPr>
        <w:t xml:space="preserve"> – Superintendência do Desenvolvimento do Centro-Oeste</w:t>
      </w:r>
    </w:p>
    <w:p w14:paraId="70554725" w14:textId="77777777" w:rsidR="00FE53F6" w:rsidRDefault="00FE53F6" w:rsidP="00FE53F6">
      <w:pPr>
        <w:pStyle w:val="Standard"/>
        <w:rPr>
          <w:rFonts w:cs="Times New Roman"/>
          <w:bCs/>
        </w:rPr>
      </w:pPr>
    </w:p>
    <w:p w14:paraId="12973FDE" w14:textId="77777777" w:rsidR="00FE53F6" w:rsidRDefault="00FE53F6" w:rsidP="00403610">
      <w:pPr>
        <w:pStyle w:val="Standard"/>
        <w:ind w:firstLine="709"/>
        <w:rPr>
          <w:rFonts w:cs="Times New Roman"/>
          <w:bCs/>
          <w:i/>
        </w:rPr>
      </w:pPr>
      <w:r>
        <w:rPr>
          <w:rFonts w:cs="Times New Roman"/>
          <w:bCs/>
          <w:i/>
        </w:rPr>
        <w:t>- Falta de conformidade de registro de gestão;</w:t>
      </w:r>
    </w:p>
    <w:p w14:paraId="4F79F101" w14:textId="77777777" w:rsidR="00FE53F6" w:rsidRDefault="00FE53F6" w:rsidP="00403610">
      <w:pPr>
        <w:pStyle w:val="Standard"/>
        <w:ind w:firstLine="709"/>
        <w:rPr>
          <w:rFonts w:cs="Times New Roman"/>
          <w:bCs/>
          <w:i/>
        </w:rPr>
      </w:pPr>
      <w:r>
        <w:rPr>
          <w:rFonts w:cs="Times New Roman"/>
          <w:bCs/>
          <w:i/>
        </w:rPr>
        <w:t>- Convênios a aprovar com data expirada;</w:t>
      </w:r>
    </w:p>
    <w:p w14:paraId="141F8689" w14:textId="77777777" w:rsidR="00FE53F6" w:rsidRDefault="00FE53F6" w:rsidP="00403610">
      <w:pPr>
        <w:pStyle w:val="Standard"/>
        <w:ind w:firstLine="709"/>
        <w:rPr>
          <w:rFonts w:cs="Times New Roman"/>
          <w:bCs/>
          <w:i/>
        </w:rPr>
      </w:pPr>
      <w:r>
        <w:rPr>
          <w:rFonts w:cs="Times New Roman"/>
          <w:bCs/>
          <w:i/>
        </w:rPr>
        <w:t>- Termos de execução descentralizadas a comprovar com data expirada.</w:t>
      </w:r>
    </w:p>
    <w:p w14:paraId="18790113" w14:textId="77777777" w:rsidR="00FE53F6" w:rsidRDefault="00FE53F6" w:rsidP="00FE53F6">
      <w:pPr>
        <w:pStyle w:val="Standard"/>
        <w:rPr>
          <w:rFonts w:cs="Times New Roman"/>
          <w:bCs/>
          <w:i/>
        </w:rPr>
      </w:pPr>
    </w:p>
    <w:p w14:paraId="752AFE6E" w14:textId="77777777" w:rsidR="00FE53F6" w:rsidRDefault="00FE53F6" w:rsidP="00FE53F6">
      <w:pPr>
        <w:pStyle w:val="Standard"/>
        <w:ind w:left="-426" w:right="-708" w:firstLine="426"/>
        <w:jc w:val="both"/>
        <w:rPr>
          <w:rFonts w:cs="Times New Roman"/>
          <w:bCs/>
        </w:rPr>
      </w:pPr>
      <w:r>
        <w:rPr>
          <w:rFonts w:cs="Times New Roman"/>
          <w:bCs/>
        </w:rPr>
        <w:t>As transferências expiradas em fase de prestação de contas permaneceram pendentes, em virtude de escassez de pessoal técnico para evasão da quantidade de processos envolvidos a serem analisados em prazo hábil.</w:t>
      </w:r>
    </w:p>
    <w:p w14:paraId="0D6FBB93" w14:textId="77777777" w:rsidR="00FE53F6" w:rsidRDefault="00FE53F6" w:rsidP="00FE53F6">
      <w:pPr>
        <w:pStyle w:val="Standard"/>
        <w:ind w:left="-426" w:right="-708" w:firstLine="426"/>
        <w:jc w:val="both"/>
        <w:rPr>
          <w:rFonts w:cs="Times New Roman"/>
          <w:bCs/>
        </w:rPr>
      </w:pPr>
      <w:r>
        <w:rPr>
          <w:rFonts w:cs="Times New Roman"/>
          <w:bCs/>
        </w:rPr>
        <w:t>A falta de conformidade de gestão ficou registra em virtude de perda de prazo para o registro.</w:t>
      </w:r>
    </w:p>
    <w:p w14:paraId="127BA263" w14:textId="77777777" w:rsidR="00FE53F6" w:rsidRDefault="00FE53F6" w:rsidP="00FE53F6">
      <w:pPr>
        <w:pStyle w:val="Standard"/>
        <w:ind w:left="-426" w:right="-708" w:firstLine="426"/>
        <w:jc w:val="both"/>
        <w:rPr>
          <w:rFonts w:cs="Times New Roman"/>
          <w:bCs/>
        </w:rPr>
      </w:pPr>
    </w:p>
    <w:p w14:paraId="2C117B58" w14:textId="77777777" w:rsidR="00FE53F6" w:rsidRDefault="00FE53F6" w:rsidP="00403610">
      <w:pPr>
        <w:pStyle w:val="Standard"/>
        <w:ind w:firstLine="709"/>
      </w:pPr>
      <w:r>
        <w:rPr>
          <w:rFonts w:cs="Times New Roman"/>
          <w:b/>
          <w:bCs/>
        </w:rPr>
        <w:t>53901</w:t>
      </w:r>
      <w:r>
        <w:rPr>
          <w:rFonts w:cs="Times New Roman"/>
          <w:bCs/>
        </w:rPr>
        <w:t xml:space="preserve"> – Fundo Constitucional do Norte</w:t>
      </w:r>
    </w:p>
    <w:p w14:paraId="35B5AE78" w14:textId="77777777" w:rsidR="00FE53F6" w:rsidRDefault="00FE53F6" w:rsidP="00FE53F6">
      <w:pPr>
        <w:pStyle w:val="Standard"/>
        <w:rPr>
          <w:rFonts w:cs="Times New Roman"/>
          <w:bCs/>
        </w:rPr>
      </w:pPr>
    </w:p>
    <w:p w14:paraId="15F300B9" w14:textId="77777777" w:rsidR="00FE53F6" w:rsidRDefault="00FE53F6" w:rsidP="00FE53F6">
      <w:pPr>
        <w:pStyle w:val="Standard"/>
        <w:rPr>
          <w:rFonts w:cs="Times New Roman"/>
          <w:bCs/>
          <w:i/>
        </w:rPr>
      </w:pPr>
      <w:r>
        <w:rPr>
          <w:rFonts w:cs="Times New Roman"/>
          <w:bCs/>
          <w:i/>
        </w:rPr>
        <w:t>- Falta de conformidade de registro de gestão.</w:t>
      </w:r>
    </w:p>
    <w:p w14:paraId="266F657E" w14:textId="77777777" w:rsidR="00FE53F6" w:rsidRDefault="00FE53F6" w:rsidP="00FE53F6">
      <w:pPr>
        <w:pStyle w:val="Standard"/>
        <w:rPr>
          <w:rFonts w:cs="Times New Roman"/>
          <w:bCs/>
          <w:i/>
        </w:rPr>
      </w:pPr>
    </w:p>
    <w:p w14:paraId="1A9553AA" w14:textId="77777777" w:rsidR="00FE53F6" w:rsidRDefault="00FE53F6" w:rsidP="00FE53F6">
      <w:pPr>
        <w:pStyle w:val="Standard"/>
        <w:ind w:left="-426" w:right="-708" w:firstLine="426"/>
        <w:jc w:val="both"/>
        <w:rPr>
          <w:rFonts w:cs="Times New Roman"/>
          <w:bCs/>
        </w:rPr>
      </w:pPr>
      <w:r>
        <w:rPr>
          <w:rFonts w:cs="Times New Roman"/>
          <w:bCs/>
        </w:rPr>
        <w:t>A falta de conformidade de gestão ficou registra em virtude de perda de prazo para o registro.</w:t>
      </w:r>
    </w:p>
    <w:p w14:paraId="6DB75FC5" w14:textId="77777777" w:rsidR="00FE53F6" w:rsidRDefault="00FE53F6" w:rsidP="00FE53F6">
      <w:pPr>
        <w:pStyle w:val="Standard"/>
        <w:ind w:left="-426" w:right="-708" w:firstLine="426"/>
        <w:jc w:val="both"/>
        <w:rPr>
          <w:rFonts w:cs="Times New Roman"/>
          <w:bCs/>
        </w:rPr>
      </w:pPr>
    </w:p>
    <w:p w14:paraId="2EE1FF8E" w14:textId="27B7AD3D" w:rsidR="00FE53F6" w:rsidRDefault="00403610" w:rsidP="00403610">
      <w:pPr>
        <w:pStyle w:val="Standard"/>
        <w:ind w:left="-426" w:right="-708" w:firstLine="426"/>
        <w:jc w:val="both"/>
        <w:rPr>
          <w:rFonts w:cs="Times New Roman"/>
          <w:b/>
          <w:bCs/>
        </w:rPr>
      </w:pPr>
      <w:r>
        <w:rPr>
          <w:rFonts w:cs="Times New Roman"/>
          <w:b/>
          <w:bCs/>
        </w:rPr>
        <w:t xml:space="preserve">    </w:t>
      </w:r>
      <w:r w:rsidR="00DB66D1">
        <w:rPr>
          <w:rFonts w:cs="Times New Roman"/>
          <w:b/>
          <w:bCs/>
        </w:rPr>
        <w:t xml:space="preserve">      </w:t>
      </w:r>
      <w:r>
        <w:rPr>
          <w:rFonts w:cs="Times New Roman"/>
          <w:b/>
          <w:bCs/>
        </w:rPr>
        <w:t xml:space="preserve"> </w:t>
      </w:r>
      <w:r w:rsidR="00FE53F6">
        <w:rPr>
          <w:rFonts w:cs="Times New Roman"/>
          <w:b/>
          <w:bCs/>
        </w:rPr>
        <w:t xml:space="preserve">53902 – </w:t>
      </w:r>
      <w:r w:rsidR="00FE53F6">
        <w:rPr>
          <w:rFonts w:cs="Times New Roman"/>
          <w:bCs/>
        </w:rPr>
        <w:t>Fundo Constitucional do Centro-Oeste</w:t>
      </w:r>
    </w:p>
    <w:p w14:paraId="2F15AF26" w14:textId="77777777" w:rsidR="00FE53F6" w:rsidRDefault="00FE53F6" w:rsidP="00FE53F6">
      <w:pPr>
        <w:pStyle w:val="Standard"/>
        <w:ind w:left="-426" w:right="-708" w:firstLine="426"/>
        <w:jc w:val="both"/>
        <w:rPr>
          <w:rFonts w:cs="Times New Roman"/>
          <w:bCs/>
        </w:rPr>
      </w:pPr>
    </w:p>
    <w:p w14:paraId="6DECFFFF" w14:textId="77777777" w:rsidR="00FE53F6" w:rsidRDefault="00FE53F6" w:rsidP="00403610">
      <w:pPr>
        <w:pStyle w:val="Standard"/>
        <w:ind w:firstLine="709"/>
        <w:rPr>
          <w:rFonts w:cs="Times New Roman"/>
          <w:bCs/>
          <w:i/>
        </w:rPr>
      </w:pPr>
      <w:r>
        <w:rPr>
          <w:rFonts w:cs="Times New Roman"/>
          <w:bCs/>
          <w:i/>
        </w:rPr>
        <w:t>- Falta de conformidade de registro de gestão.</w:t>
      </w:r>
    </w:p>
    <w:p w14:paraId="3825C682" w14:textId="77777777" w:rsidR="00FE53F6" w:rsidRDefault="00FE53F6" w:rsidP="00FE53F6">
      <w:pPr>
        <w:pStyle w:val="Standard"/>
        <w:rPr>
          <w:rFonts w:cs="Times New Roman"/>
          <w:bCs/>
          <w:i/>
        </w:rPr>
      </w:pPr>
    </w:p>
    <w:p w14:paraId="1C3D4039" w14:textId="77777777" w:rsidR="00FE53F6" w:rsidRDefault="00FE53F6" w:rsidP="00FE53F6">
      <w:pPr>
        <w:pStyle w:val="Standard"/>
        <w:ind w:left="-426" w:right="-708" w:firstLine="426"/>
        <w:jc w:val="both"/>
        <w:rPr>
          <w:rFonts w:cs="Times New Roman"/>
          <w:bCs/>
        </w:rPr>
      </w:pPr>
      <w:r>
        <w:rPr>
          <w:rFonts w:cs="Times New Roman"/>
          <w:bCs/>
        </w:rPr>
        <w:t>A falta de conformidade de gestão ficou registra em virtude de perda de prazo para o registro.</w:t>
      </w:r>
    </w:p>
    <w:p w14:paraId="74D579C2" w14:textId="77777777" w:rsidR="00FE53F6" w:rsidRDefault="00FE53F6" w:rsidP="00FE53F6">
      <w:pPr>
        <w:pStyle w:val="Standard"/>
        <w:ind w:left="-426" w:right="-708" w:firstLine="426"/>
        <w:jc w:val="both"/>
        <w:rPr>
          <w:rFonts w:cs="Times New Roman"/>
          <w:bCs/>
        </w:rPr>
      </w:pPr>
    </w:p>
    <w:p w14:paraId="3CAD0A60" w14:textId="3E64A703" w:rsidR="00FE53F6" w:rsidRDefault="00403610" w:rsidP="00FE53F6">
      <w:pPr>
        <w:pStyle w:val="Standard"/>
        <w:ind w:left="-426" w:right="-708" w:firstLine="426"/>
        <w:jc w:val="both"/>
        <w:rPr>
          <w:rFonts w:cs="Times New Roman"/>
          <w:bCs/>
        </w:rPr>
      </w:pPr>
      <w:r>
        <w:rPr>
          <w:rFonts w:cs="Times New Roman"/>
          <w:b/>
          <w:bCs/>
        </w:rPr>
        <w:lastRenderedPageBreak/>
        <w:t xml:space="preserve">  </w:t>
      </w:r>
      <w:r w:rsidR="00DB66D1">
        <w:rPr>
          <w:rFonts w:cs="Times New Roman"/>
          <w:b/>
          <w:bCs/>
        </w:rPr>
        <w:t xml:space="preserve">      </w:t>
      </w:r>
      <w:r>
        <w:rPr>
          <w:rFonts w:cs="Times New Roman"/>
          <w:b/>
          <w:bCs/>
        </w:rPr>
        <w:t xml:space="preserve">  </w:t>
      </w:r>
      <w:r w:rsidR="00FE53F6">
        <w:rPr>
          <w:rFonts w:cs="Times New Roman"/>
          <w:b/>
          <w:bCs/>
        </w:rPr>
        <w:t xml:space="preserve">53903 – </w:t>
      </w:r>
      <w:r w:rsidR="00FE53F6">
        <w:rPr>
          <w:rFonts w:cs="Times New Roman"/>
          <w:bCs/>
        </w:rPr>
        <w:t>Fundo Constitucional do Nordeste</w:t>
      </w:r>
    </w:p>
    <w:p w14:paraId="5573EB4D" w14:textId="77777777" w:rsidR="00FE53F6" w:rsidRDefault="00FE53F6" w:rsidP="00FE53F6">
      <w:pPr>
        <w:pStyle w:val="Standard"/>
        <w:ind w:left="-426" w:right="-708" w:firstLine="426"/>
        <w:jc w:val="both"/>
        <w:rPr>
          <w:rFonts w:cs="Times New Roman"/>
          <w:bCs/>
        </w:rPr>
      </w:pPr>
    </w:p>
    <w:p w14:paraId="5B16CE6D" w14:textId="77777777" w:rsidR="00FE53F6" w:rsidRDefault="00FE53F6" w:rsidP="00403610">
      <w:pPr>
        <w:pStyle w:val="Standard"/>
        <w:ind w:firstLine="709"/>
        <w:rPr>
          <w:rFonts w:cs="Times New Roman"/>
          <w:bCs/>
          <w:i/>
        </w:rPr>
      </w:pPr>
      <w:r>
        <w:rPr>
          <w:rFonts w:cs="Times New Roman"/>
          <w:bCs/>
          <w:i/>
        </w:rPr>
        <w:t>- Falta de conformidade de registro de gestão.</w:t>
      </w:r>
    </w:p>
    <w:p w14:paraId="14FA0331" w14:textId="77777777" w:rsidR="00FE53F6" w:rsidRDefault="00FE53F6" w:rsidP="00FE53F6">
      <w:pPr>
        <w:pStyle w:val="Standard"/>
        <w:rPr>
          <w:rFonts w:cs="Times New Roman"/>
          <w:bCs/>
          <w:i/>
        </w:rPr>
      </w:pPr>
    </w:p>
    <w:p w14:paraId="56592F3D" w14:textId="77777777" w:rsidR="00FE53F6" w:rsidRDefault="00FE53F6" w:rsidP="00FE53F6">
      <w:pPr>
        <w:pStyle w:val="Standard"/>
        <w:ind w:left="-426" w:right="-708" w:firstLine="426"/>
        <w:jc w:val="both"/>
        <w:rPr>
          <w:rFonts w:cs="Times New Roman"/>
          <w:bCs/>
        </w:rPr>
      </w:pPr>
      <w:r>
        <w:rPr>
          <w:rFonts w:cs="Times New Roman"/>
          <w:bCs/>
        </w:rPr>
        <w:t>A falta de conformidade de gestão ficou registra em virtude de perda de prazo para o registro.</w:t>
      </w:r>
    </w:p>
    <w:p w14:paraId="36761918" w14:textId="77777777" w:rsidR="00FE53F6" w:rsidRDefault="00FE53F6" w:rsidP="00FE53F6">
      <w:pPr>
        <w:pStyle w:val="Standard"/>
        <w:ind w:left="-426" w:right="-708" w:firstLine="426"/>
        <w:jc w:val="both"/>
        <w:rPr>
          <w:rFonts w:cs="Times New Roman"/>
          <w:bCs/>
        </w:rPr>
      </w:pPr>
    </w:p>
    <w:p w14:paraId="6BAD70B4" w14:textId="77777777" w:rsidR="00FE53F6" w:rsidRDefault="00FE53F6" w:rsidP="00FE53F6">
      <w:pPr>
        <w:pStyle w:val="Standard"/>
        <w:ind w:left="-426" w:right="-708" w:firstLine="426"/>
        <w:jc w:val="both"/>
        <w:rPr>
          <w:rFonts w:cs="Times New Roman"/>
          <w:bCs/>
        </w:rPr>
      </w:pPr>
    </w:p>
    <w:p w14:paraId="77C99210" w14:textId="77777777" w:rsidR="00FE53F6" w:rsidRDefault="00FE53F6" w:rsidP="00403610">
      <w:pPr>
        <w:pStyle w:val="Standard"/>
        <w:ind w:firstLine="709"/>
      </w:pPr>
      <w:r>
        <w:rPr>
          <w:rFonts w:cs="Times New Roman"/>
          <w:b/>
          <w:bCs/>
        </w:rPr>
        <w:t>29205</w:t>
      </w:r>
      <w:r>
        <w:rPr>
          <w:rFonts w:cs="Times New Roman"/>
          <w:bCs/>
        </w:rPr>
        <w:t xml:space="preserve"> – Empresa de Trens Urbanos de Porto Alegre</w:t>
      </w:r>
    </w:p>
    <w:p w14:paraId="0AF56694" w14:textId="77777777" w:rsidR="00FE53F6" w:rsidRDefault="00FE53F6" w:rsidP="00FE53F6">
      <w:pPr>
        <w:pStyle w:val="Standard"/>
        <w:rPr>
          <w:rFonts w:cs="Times New Roman"/>
          <w:bCs/>
        </w:rPr>
      </w:pPr>
    </w:p>
    <w:p w14:paraId="036CEB80" w14:textId="77777777" w:rsidR="00FE53F6" w:rsidRDefault="00FE53F6" w:rsidP="00403610">
      <w:pPr>
        <w:pStyle w:val="Standard"/>
        <w:ind w:firstLine="709"/>
        <w:rPr>
          <w:rFonts w:cs="Times New Roman"/>
          <w:bCs/>
          <w:i/>
        </w:rPr>
      </w:pPr>
      <w:r>
        <w:rPr>
          <w:rFonts w:cs="Times New Roman"/>
          <w:bCs/>
          <w:i/>
        </w:rPr>
        <w:t>- Falta de conformidade de registro de gestão;</w:t>
      </w:r>
    </w:p>
    <w:p w14:paraId="049335AA" w14:textId="77777777" w:rsidR="00FE53F6" w:rsidRDefault="00FE53F6" w:rsidP="00403610">
      <w:pPr>
        <w:pStyle w:val="Standard"/>
        <w:ind w:firstLine="709"/>
        <w:rPr>
          <w:rFonts w:cs="Times New Roman"/>
          <w:bCs/>
          <w:i/>
        </w:rPr>
      </w:pPr>
      <w:r>
        <w:rPr>
          <w:rFonts w:cs="Times New Roman"/>
          <w:bCs/>
          <w:i/>
        </w:rPr>
        <w:t>- Outros Passivos circulantes de provisão registrados em 10% superior ao total da conta sintética;</w:t>
      </w:r>
    </w:p>
    <w:p w14:paraId="1E7E7C06" w14:textId="77777777" w:rsidR="00FE53F6" w:rsidRDefault="00FE53F6" w:rsidP="00403610">
      <w:pPr>
        <w:pStyle w:val="Standard"/>
        <w:ind w:firstLine="709"/>
        <w:rPr>
          <w:rFonts w:cs="Times New Roman"/>
          <w:bCs/>
          <w:i/>
        </w:rPr>
      </w:pPr>
      <w:r>
        <w:rPr>
          <w:rFonts w:cs="Times New Roman"/>
          <w:bCs/>
          <w:i/>
        </w:rPr>
        <w:t>- Falta ou atraso na retenção ou recolhimento de obrigações e tributos;</w:t>
      </w:r>
    </w:p>
    <w:p w14:paraId="7568ADAB" w14:textId="77777777" w:rsidR="00FE53F6" w:rsidRDefault="00FE53F6" w:rsidP="00403610">
      <w:pPr>
        <w:pStyle w:val="Standard"/>
        <w:ind w:firstLine="709"/>
        <w:rPr>
          <w:rFonts w:cs="Times New Roman"/>
          <w:bCs/>
          <w:i/>
        </w:rPr>
      </w:pPr>
      <w:r>
        <w:rPr>
          <w:rFonts w:cs="Times New Roman"/>
          <w:bCs/>
          <w:i/>
        </w:rPr>
        <w:t>- Outros Passivos não circulantes de provisão registrados em 10% superior ao total da conta sintética;</w:t>
      </w:r>
    </w:p>
    <w:p w14:paraId="4BDB81DD" w14:textId="77777777" w:rsidR="00FE53F6" w:rsidRDefault="00FE53F6" w:rsidP="00403610">
      <w:pPr>
        <w:pStyle w:val="Standard"/>
        <w:ind w:right="-708" w:firstLine="709"/>
        <w:jc w:val="both"/>
        <w:rPr>
          <w:rFonts w:cs="Times New Roman"/>
          <w:bCs/>
          <w:i/>
        </w:rPr>
      </w:pPr>
      <w:r>
        <w:rPr>
          <w:rFonts w:cs="Times New Roman"/>
          <w:bCs/>
          <w:i/>
        </w:rPr>
        <w:t>- Saldo invertido em conta de Receita realizada;</w:t>
      </w:r>
    </w:p>
    <w:p w14:paraId="3F11E828" w14:textId="77777777" w:rsidR="00FE53F6" w:rsidRDefault="00FE53F6" w:rsidP="00403610">
      <w:pPr>
        <w:pStyle w:val="Standard"/>
        <w:ind w:right="-708" w:firstLine="709"/>
        <w:jc w:val="both"/>
        <w:rPr>
          <w:rFonts w:cs="Times New Roman"/>
          <w:bCs/>
          <w:i/>
        </w:rPr>
      </w:pPr>
      <w:r>
        <w:rPr>
          <w:rFonts w:cs="Times New Roman"/>
          <w:bCs/>
          <w:i/>
        </w:rPr>
        <w:t>- Saldo invertido em conta de Controle de arrecadação;</w:t>
      </w:r>
    </w:p>
    <w:p w14:paraId="2D041D73" w14:textId="77777777" w:rsidR="00FE53F6" w:rsidRDefault="00FE53F6" w:rsidP="00403610">
      <w:pPr>
        <w:pStyle w:val="Standard"/>
        <w:ind w:right="-708" w:firstLine="709"/>
        <w:jc w:val="both"/>
      </w:pPr>
      <w:r>
        <w:rPr>
          <w:rFonts w:cs="Times New Roman"/>
          <w:bCs/>
          <w:i/>
        </w:rPr>
        <w:t>- Demais incoerência em Disponibilidade por fonte de recursos.</w:t>
      </w:r>
    </w:p>
    <w:p w14:paraId="11EA933B" w14:textId="77777777" w:rsidR="00FE53F6" w:rsidRDefault="00FE53F6" w:rsidP="00FE53F6">
      <w:pPr>
        <w:pStyle w:val="Standard"/>
        <w:ind w:left="-426" w:right="-708" w:firstLine="426"/>
        <w:jc w:val="both"/>
        <w:rPr>
          <w:rFonts w:cs="Times New Roman"/>
          <w:bCs/>
        </w:rPr>
      </w:pPr>
    </w:p>
    <w:p w14:paraId="6F1EF8BA" w14:textId="77777777" w:rsidR="00FE53F6" w:rsidRDefault="00FE53F6" w:rsidP="00FE53F6">
      <w:pPr>
        <w:pStyle w:val="Standard"/>
        <w:ind w:left="-426" w:right="-708" w:firstLine="426"/>
        <w:jc w:val="both"/>
        <w:rPr>
          <w:rFonts w:cs="Times New Roman"/>
          <w:bCs/>
        </w:rPr>
      </w:pPr>
      <w:r>
        <w:rPr>
          <w:rFonts w:cs="Times New Roman"/>
          <w:bCs/>
        </w:rPr>
        <w:t>As restrições relativas às disponibilidades por fonte de recursos ocorreram em virtude de lançamentos por nota de lançamento de receitas de provisões de valores financeiros e arrecadação antecipada, com reconhecimento de receita na efetivação da prestação do serviço. Será feita gestão junto à Secretaria do Tesouro Nacional para criação de rotina apropriada para os registros.</w:t>
      </w:r>
    </w:p>
    <w:p w14:paraId="1238DD8D" w14:textId="77777777" w:rsidR="00FE53F6" w:rsidRDefault="00FE53F6" w:rsidP="00FE53F6">
      <w:pPr>
        <w:pStyle w:val="Standard"/>
        <w:ind w:left="-426" w:right="-708" w:firstLine="426"/>
        <w:jc w:val="both"/>
        <w:rPr>
          <w:rFonts w:cs="Times New Roman"/>
          <w:bCs/>
        </w:rPr>
      </w:pPr>
    </w:p>
    <w:p w14:paraId="2A9825F1" w14:textId="77777777" w:rsidR="00FE53F6" w:rsidRDefault="00FE53F6" w:rsidP="00FE53F6">
      <w:pPr>
        <w:pStyle w:val="Standard"/>
        <w:ind w:left="-426" w:right="-708" w:firstLine="426"/>
        <w:jc w:val="both"/>
        <w:rPr>
          <w:rFonts w:cs="Times New Roman"/>
          <w:bCs/>
        </w:rPr>
      </w:pPr>
      <w:r>
        <w:rPr>
          <w:rFonts w:cs="Times New Roman"/>
          <w:bCs/>
        </w:rPr>
        <w:t>As demais situações permaneceram com restrição por falta de atendimento às orientações emitidas pela Setorial Contábil de Órgão Superior.</w:t>
      </w:r>
    </w:p>
    <w:p w14:paraId="29F45F7A" w14:textId="77777777" w:rsidR="00FE53F6" w:rsidRDefault="00FE53F6" w:rsidP="00FE53F6">
      <w:pPr>
        <w:pStyle w:val="Standard"/>
        <w:rPr>
          <w:rFonts w:cs="Times New Roman"/>
          <w:bCs/>
        </w:rPr>
      </w:pPr>
    </w:p>
    <w:p w14:paraId="1EFF8564" w14:textId="77777777" w:rsidR="00FE53F6" w:rsidRDefault="00FE53F6" w:rsidP="00403610">
      <w:pPr>
        <w:pStyle w:val="Standard"/>
        <w:ind w:firstLine="709"/>
      </w:pPr>
      <w:r>
        <w:rPr>
          <w:rFonts w:cs="Times New Roman"/>
          <w:b/>
          <w:bCs/>
        </w:rPr>
        <w:t>29214</w:t>
      </w:r>
      <w:r>
        <w:rPr>
          <w:rFonts w:cs="Times New Roman"/>
          <w:bCs/>
        </w:rPr>
        <w:t xml:space="preserve"> – Companhia Brasileira de Trens Urbanos</w:t>
      </w:r>
    </w:p>
    <w:p w14:paraId="4BAD1E66" w14:textId="77777777" w:rsidR="00FE53F6" w:rsidRDefault="00FE53F6" w:rsidP="00FE53F6">
      <w:pPr>
        <w:pStyle w:val="Standard"/>
        <w:rPr>
          <w:rFonts w:cs="Times New Roman"/>
          <w:bCs/>
        </w:rPr>
      </w:pPr>
    </w:p>
    <w:p w14:paraId="4B741D6C" w14:textId="77777777" w:rsidR="00FE53F6" w:rsidRDefault="00FE53F6" w:rsidP="00403610">
      <w:pPr>
        <w:pStyle w:val="Standard"/>
        <w:ind w:firstLine="709"/>
        <w:rPr>
          <w:rFonts w:cs="Times New Roman"/>
          <w:bCs/>
          <w:i/>
        </w:rPr>
      </w:pPr>
      <w:r>
        <w:rPr>
          <w:rFonts w:cs="Times New Roman"/>
          <w:bCs/>
          <w:i/>
        </w:rPr>
        <w:t>- Falta de conformidade de registro de gestão;</w:t>
      </w:r>
    </w:p>
    <w:p w14:paraId="4099A76E" w14:textId="77777777" w:rsidR="00FE53F6" w:rsidRDefault="00FE53F6" w:rsidP="00403610">
      <w:pPr>
        <w:pStyle w:val="Standard"/>
        <w:ind w:firstLine="709"/>
        <w:rPr>
          <w:rFonts w:cs="Times New Roman"/>
          <w:bCs/>
          <w:i/>
        </w:rPr>
      </w:pPr>
      <w:r>
        <w:rPr>
          <w:rFonts w:cs="Times New Roman"/>
          <w:bCs/>
          <w:i/>
        </w:rPr>
        <w:t>- Não atendimento a orientações do Órgão de Contabilidade Setorial ou Central;</w:t>
      </w:r>
    </w:p>
    <w:p w14:paraId="61B8EFB7" w14:textId="77777777" w:rsidR="00FE53F6" w:rsidRDefault="00FE53F6" w:rsidP="00403610">
      <w:pPr>
        <w:pStyle w:val="Standard"/>
        <w:ind w:firstLine="709"/>
        <w:rPr>
          <w:rFonts w:cs="Times New Roman"/>
          <w:bCs/>
          <w:i/>
        </w:rPr>
      </w:pPr>
      <w:r>
        <w:rPr>
          <w:rFonts w:cs="Times New Roman"/>
          <w:bCs/>
          <w:i/>
        </w:rPr>
        <w:t>- Saldo invertido em ativo circulante de resgate de aplicações financeira;</w:t>
      </w:r>
    </w:p>
    <w:p w14:paraId="0ED127A2" w14:textId="77777777" w:rsidR="00FE53F6" w:rsidRDefault="00FE53F6" w:rsidP="00403610">
      <w:pPr>
        <w:pStyle w:val="Standard"/>
        <w:ind w:firstLine="709"/>
        <w:rPr>
          <w:rFonts w:cs="Times New Roman"/>
          <w:bCs/>
          <w:i/>
        </w:rPr>
      </w:pPr>
      <w:r>
        <w:rPr>
          <w:rFonts w:cs="Times New Roman"/>
          <w:bCs/>
          <w:i/>
        </w:rPr>
        <w:t>- Falta de registro de depreciação, amortização ou exaustão do ativo imobilizado;</w:t>
      </w:r>
    </w:p>
    <w:p w14:paraId="08EA37C3" w14:textId="77777777" w:rsidR="00FE53F6" w:rsidRDefault="00FE53F6" w:rsidP="00403610">
      <w:pPr>
        <w:pStyle w:val="Standard"/>
        <w:ind w:firstLine="709"/>
        <w:rPr>
          <w:rFonts w:cs="Times New Roman"/>
          <w:bCs/>
          <w:i/>
        </w:rPr>
      </w:pPr>
      <w:r>
        <w:rPr>
          <w:rFonts w:cs="Times New Roman"/>
          <w:bCs/>
          <w:i/>
        </w:rPr>
        <w:t>- Saldo alongado no passivo circulante de devolução de convênios;</w:t>
      </w:r>
    </w:p>
    <w:p w14:paraId="1C69F960" w14:textId="77777777" w:rsidR="00FE53F6" w:rsidRDefault="00FE53F6" w:rsidP="00403610">
      <w:pPr>
        <w:pStyle w:val="Standard"/>
        <w:ind w:firstLine="709"/>
        <w:rPr>
          <w:rFonts w:cs="Times New Roman"/>
          <w:bCs/>
          <w:i/>
        </w:rPr>
      </w:pPr>
      <w:r>
        <w:rPr>
          <w:rFonts w:cs="Times New Roman"/>
          <w:bCs/>
          <w:i/>
        </w:rPr>
        <w:t>- Falta ou atraso na retenção ou recolhimento de obrigações e tributos;</w:t>
      </w:r>
    </w:p>
    <w:p w14:paraId="2890A0EF" w14:textId="77777777" w:rsidR="00FE53F6" w:rsidRDefault="00FE53F6" w:rsidP="00403610">
      <w:pPr>
        <w:pStyle w:val="Standard"/>
        <w:ind w:firstLine="709"/>
        <w:rPr>
          <w:rFonts w:cs="Times New Roman"/>
          <w:bCs/>
          <w:i/>
        </w:rPr>
      </w:pPr>
      <w:r>
        <w:rPr>
          <w:rFonts w:cs="Times New Roman"/>
          <w:bCs/>
          <w:i/>
        </w:rPr>
        <w:t>- Regularização indevida de valores recebidos por guia de recolhimento da União;</w:t>
      </w:r>
    </w:p>
    <w:p w14:paraId="4F7AA81F" w14:textId="77777777" w:rsidR="00FE53F6" w:rsidRDefault="00FE53F6" w:rsidP="00403610">
      <w:pPr>
        <w:pStyle w:val="Standard"/>
        <w:ind w:right="-708" w:firstLine="709"/>
        <w:jc w:val="both"/>
        <w:rPr>
          <w:rFonts w:cs="Times New Roman"/>
          <w:bCs/>
          <w:i/>
        </w:rPr>
      </w:pPr>
      <w:r>
        <w:rPr>
          <w:rFonts w:cs="Times New Roman"/>
          <w:bCs/>
          <w:i/>
        </w:rPr>
        <w:t>- Saldo invertido em conta de Receita realizada e Crédito bloqueado para remanejamento;</w:t>
      </w:r>
    </w:p>
    <w:p w14:paraId="2F90890D" w14:textId="113AFD5A" w:rsidR="00FE53F6" w:rsidRDefault="00403610" w:rsidP="00403610">
      <w:pPr>
        <w:pStyle w:val="Standard"/>
        <w:ind w:left="-426" w:right="-708" w:firstLine="426"/>
        <w:jc w:val="both"/>
        <w:rPr>
          <w:rFonts w:cs="Times New Roman"/>
          <w:bCs/>
          <w:i/>
        </w:rPr>
      </w:pPr>
      <w:r>
        <w:rPr>
          <w:rFonts w:cs="Times New Roman"/>
          <w:bCs/>
          <w:i/>
        </w:rPr>
        <w:t xml:space="preserve">     </w:t>
      </w:r>
      <w:r w:rsidR="00D53E74">
        <w:rPr>
          <w:rFonts w:cs="Times New Roman"/>
          <w:bCs/>
          <w:i/>
        </w:rPr>
        <w:t xml:space="preserve">       </w:t>
      </w:r>
      <w:r w:rsidR="00FE53F6">
        <w:rPr>
          <w:rFonts w:cs="Times New Roman"/>
          <w:bCs/>
          <w:i/>
        </w:rPr>
        <w:t>- Saldo alongado ou indevido em disponibilidade por fonte de recursos;</w:t>
      </w:r>
    </w:p>
    <w:p w14:paraId="56E67EC1" w14:textId="2E7478A6" w:rsidR="00FE53F6" w:rsidRDefault="00403610" w:rsidP="00403610">
      <w:pPr>
        <w:pStyle w:val="Standard"/>
        <w:ind w:left="-426" w:right="-708" w:firstLine="426"/>
        <w:jc w:val="both"/>
        <w:rPr>
          <w:rFonts w:cs="Times New Roman"/>
          <w:bCs/>
          <w:i/>
        </w:rPr>
      </w:pPr>
      <w:r>
        <w:rPr>
          <w:rFonts w:cs="Times New Roman"/>
          <w:bCs/>
          <w:i/>
        </w:rPr>
        <w:t xml:space="preserve">     </w:t>
      </w:r>
      <w:r w:rsidR="00D53E74">
        <w:rPr>
          <w:rFonts w:cs="Times New Roman"/>
          <w:bCs/>
          <w:i/>
        </w:rPr>
        <w:t xml:space="preserve">       </w:t>
      </w:r>
      <w:r w:rsidR="00FE53F6">
        <w:rPr>
          <w:rFonts w:cs="Times New Roman"/>
          <w:bCs/>
          <w:i/>
        </w:rPr>
        <w:t>- Demais incoerência em Disponibilidade por fonte de recursos.</w:t>
      </w:r>
    </w:p>
    <w:p w14:paraId="63999371" w14:textId="77777777" w:rsidR="00FE53F6" w:rsidRDefault="00FE53F6" w:rsidP="00FE53F6">
      <w:pPr>
        <w:pStyle w:val="Standard"/>
        <w:ind w:left="-426" w:right="-708" w:firstLine="426"/>
        <w:jc w:val="both"/>
        <w:rPr>
          <w:rFonts w:cs="Times New Roman"/>
          <w:bCs/>
          <w:i/>
        </w:rPr>
      </w:pPr>
    </w:p>
    <w:p w14:paraId="15BA5462" w14:textId="77777777" w:rsidR="00FE53F6" w:rsidRDefault="00FE53F6" w:rsidP="00FE53F6">
      <w:pPr>
        <w:pStyle w:val="Standard"/>
        <w:ind w:left="-426" w:right="-708" w:firstLine="426"/>
        <w:jc w:val="both"/>
        <w:rPr>
          <w:rFonts w:cs="Times New Roman"/>
          <w:bCs/>
        </w:rPr>
      </w:pPr>
      <w:r>
        <w:rPr>
          <w:rFonts w:cs="Times New Roman"/>
          <w:bCs/>
        </w:rPr>
        <w:t>As situações permaneceram com restrição por falta de atendimento às orientações emitidas pela Setorial Contábil de Órgão Superior.</w:t>
      </w:r>
    </w:p>
    <w:p w14:paraId="2843F085" w14:textId="77777777" w:rsidR="00FE53F6" w:rsidRDefault="00FE53F6" w:rsidP="00FE53F6">
      <w:pPr>
        <w:pStyle w:val="Standard"/>
        <w:ind w:left="-426" w:right="-708" w:firstLine="426"/>
        <w:jc w:val="both"/>
        <w:rPr>
          <w:rFonts w:cs="Times New Roman"/>
          <w:bCs/>
        </w:rPr>
      </w:pPr>
    </w:p>
    <w:p w14:paraId="516EEBA4" w14:textId="77777777" w:rsidR="00FE53F6" w:rsidRDefault="00FE53F6" w:rsidP="00403610">
      <w:pPr>
        <w:pStyle w:val="Standard"/>
        <w:ind w:firstLine="709"/>
      </w:pPr>
      <w:r>
        <w:rPr>
          <w:rFonts w:cs="Times New Roman"/>
          <w:b/>
          <w:bCs/>
        </w:rPr>
        <w:t>44205</w:t>
      </w:r>
      <w:r>
        <w:rPr>
          <w:rFonts w:cs="Times New Roman"/>
          <w:bCs/>
        </w:rPr>
        <w:t xml:space="preserve"> – Agência Nacional de Águas</w:t>
      </w:r>
    </w:p>
    <w:p w14:paraId="2752DDCD" w14:textId="77777777" w:rsidR="00FE53F6" w:rsidRDefault="00FE53F6" w:rsidP="00FE53F6">
      <w:pPr>
        <w:pStyle w:val="Standard"/>
        <w:rPr>
          <w:rFonts w:cs="Times New Roman"/>
          <w:bCs/>
        </w:rPr>
      </w:pPr>
    </w:p>
    <w:p w14:paraId="3113D88A" w14:textId="77777777" w:rsidR="00FE53F6" w:rsidRDefault="00FE53F6" w:rsidP="00403610">
      <w:pPr>
        <w:pStyle w:val="Standard"/>
        <w:ind w:firstLine="709"/>
        <w:rPr>
          <w:rFonts w:cs="Times New Roman"/>
          <w:bCs/>
          <w:i/>
        </w:rPr>
      </w:pPr>
      <w:r>
        <w:rPr>
          <w:rFonts w:cs="Times New Roman"/>
          <w:bCs/>
          <w:i/>
        </w:rPr>
        <w:t>- Termos de execução descentralizadas a comprovar com data expirada;</w:t>
      </w:r>
    </w:p>
    <w:p w14:paraId="61670285" w14:textId="77777777" w:rsidR="00FE53F6" w:rsidRDefault="00FE53F6" w:rsidP="00403610">
      <w:pPr>
        <w:pStyle w:val="Standard"/>
        <w:ind w:firstLine="709"/>
      </w:pPr>
      <w:r>
        <w:rPr>
          <w:rFonts w:cs="Times New Roman"/>
          <w:bCs/>
          <w:i/>
        </w:rPr>
        <w:t>- Termos de execução descentralizadas a repassar expirados.</w:t>
      </w:r>
    </w:p>
    <w:p w14:paraId="47D880BB" w14:textId="77777777" w:rsidR="00FE53F6" w:rsidRDefault="00FE53F6" w:rsidP="00FE53F6">
      <w:pPr>
        <w:pStyle w:val="Standard"/>
        <w:rPr>
          <w:rFonts w:cs="Times New Roman"/>
          <w:bCs/>
        </w:rPr>
      </w:pPr>
    </w:p>
    <w:p w14:paraId="4B651287" w14:textId="23492D2B" w:rsidR="00251BD1" w:rsidRDefault="00403610" w:rsidP="001F5575">
      <w:pPr>
        <w:pStyle w:val="Standard"/>
        <w:rPr>
          <w:rFonts w:cs="Times New Roman"/>
          <w:bCs/>
        </w:rPr>
      </w:pPr>
      <w:r>
        <w:rPr>
          <w:rFonts w:cs="Times New Roman"/>
          <w:bCs/>
        </w:rPr>
        <w:t xml:space="preserve">        </w:t>
      </w:r>
      <w:r w:rsidR="00FE53F6">
        <w:rPr>
          <w:rFonts w:cs="Times New Roman"/>
          <w:bCs/>
        </w:rPr>
        <w:t>Os termos permaneceram com restrição por falta de análise e prestação de contas tempestivas.</w:t>
      </w:r>
    </w:p>
    <w:p w14:paraId="4956873D" w14:textId="77777777" w:rsidR="001F5575" w:rsidRPr="001F5575" w:rsidRDefault="001F5575" w:rsidP="001F5575">
      <w:pPr>
        <w:pStyle w:val="Standard"/>
        <w:rPr>
          <w:rFonts w:cs="Times New Roman"/>
          <w:bCs/>
        </w:rPr>
      </w:pPr>
    </w:p>
    <w:p w14:paraId="7F84AD57" w14:textId="77777777" w:rsidR="00251BD1" w:rsidRDefault="00251BD1" w:rsidP="00251BD1">
      <w:pPr>
        <w:pStyle w:val="Standard"/>
        <w:ind w:left="-426"/>
        <w:jc w:val="both"/>
        <w:rPr>
          <w:rFonts w:cs="Times New Roman"/>
          <w:b/>
          <w:bCs/>
        </w:rPr>
      </w:pPr>
      <w:proofErr w:type="gramStart"/>
      <w:r>
        <w:rPr>
          <w:rFonts w:cs="Times New Roman"/>
          <w:b/>
          <w:bCs/>
        </w:rPr>
        <w:t>3</w:t>
      </w:r>
      <w:proofErr w:type="gramEnd"/>
      <w:r>
        <w:rPr>
          <w:rFonts w:cs="Times New Roman"/>
          <w:b/>
          <w:bCs/>
        </w:rPr>
        <w:t>) Demonstrações Contábeis - DCON</w:t>
      </w:r>
    </w:p>
    <w:p w14:paraId="1FFADCD1" w14:textId="77777777" w:rsidR="00251BD1" w:rsidRDefault="00251BD1" w:rsidP="00251BD1">
      <w:pPr>
        <w:pStyle w:val="Standard"/>
        <w:ind w:left="-426"/>
        <w:jc w:val="both"/>
        <w:rPr>
          <w:rFonts w:cs="Times New Roman"/>
          <w:b/>
          <w:bCs/>
        </w:rPr>
      </w:pPr>
    </w:p>
    <w:p w14:paraId="75F5FB4A" w14:textId="77777777" w:rsidR="00251BD1" w:rsidRDefault="00251BD1" w:rsidP="00251BD1">
      <w:pPr>
        <w:pStyle w:val="Standard"/>
        <w:ind w:left="-426" w:right="-708"/>
        <w:jc w:val="both"/>
      </w:pPr>
      <w:r>
        <w:rPr>
          <w:rFonts w:cs="Times New Roman"/>
          <w:b/>
          <w:bCs/>
        </w:rPr>
        <w:tab/>
      </w:r>
      <w:r>
        <w:rPr>
          <w:rFonts w:cs="Times New Roman"/>
          <w:bCs/>
        </w:rPr>
        <w:t xml:space="preserve">O objetivo das Demonstrações Contábeis das entidades do Setor Público é fornecer informações sobre a entidade, que sejam úteis aos usuários dessas informações, para propósitos de tomada de decisão </w:t>
      </w:r>
      <w:r>
        <w:rPr>
          <w:rFonts w:cs="Times New Roman"/>
          <w:bCs/>
        </w:rPr>
        <w:lastRenderedPageBreak/>
        <w:t>ou de prestação de contas dos recursos públicos utilizados, bem como a transparência da empregabilidade desses recursos.</w:t>
      </w:r>
    </w:p>
    <w:p w14:paraId="78B63D04" w14:textId="77777777" w:rsidR="00251BD1" w:rsidRDefault="00251BD1" w:rsidP="00251BD1">
      <w:pPr>
        <w:pStyle w:val="Standard"/>
        <w:ind w:left="-426" w:right="-708"/>
        <w:jc w:val="both"/>
        <w:rPr>
          <w:rFonts w:cs="Times New Roman"/>
          <w:bCs/>
        </w:rPr>
      </w:pPr>
    </w:p>
    <w:p w14:paraId="024FBB77" w14:textId="77777777" w:rsidR="00251BD1" w:rsidRDefault="00251BD1" w:rsidP="00251BD1">
      <w:pPr>
        <w:pStyle w:val="Standard"/>
        <w:ind w:left="-426" w:right="-708"/>
        <w:jc w:val="both"/>
      </w:pPr>
      <w:r>
        <w:rPr>
          <w:rFonts w:cs="Times New Roman"/>
          <w:bCs/>
        </w:rPr>
        <w:tab/>
        <w:t xml:space="preserve">A Resolução 1.333, de 25/11/2008, definiu Demonstração Contábil: </w:t>
      </w:r>
      <w:r>
        <w:rPr>
          <w:rFonts w:cs="Times New Roman"/>
          <w:bCs/>
          <w:i/>
        </w:rPr>
        <w:t>“a técnica contábil que evidencia, em período determinado, as informações sobre os resultados alcançados e os aspectos de natureza orçamentária, econômica, financeira e física do patrimônio das entidades do Setor Público e suas mutações”.</w:t>
      </w:r>
    </w:p>
    <w:p w14:paraId="47D78531" w14:textId="77777777" w:rsidR="00251BD1" w:rsidRDefault="00251BD1" w:rsidP="00251BD1">
      <w:pPr>
        <w:pStyle w:val="Standard"/>
        <w:ind w:left="-426" w:right="-708"/>
        <w:jc w:val="both"/>
        <w:rPr>
          <w:rFonts w:cs="Times New Roman"/>
          <w:bCs/>
          <w:i/>
        </w:rPr>
      </w:pPr>
    </w:p>
    <w:p w14:paraId="321D9527" w14:textId="77777777" w:rsidR="00251BD1" w:rsidRDefault="00251BD1" w:rsidP="00251BD1">
      <w:pPr>
        <w:pStyle w:val="Standard"/>
        <w:ind w:left="-426" w:right="-708"/>
        <w:jc w:val="both"/>
      </w:pPr>
      <w:r>
        <w:rPr>
          <w:rFonts w:cs="Times New Roman"/>
          <w:bCs/>
          <w:i/>
        </w:rPr>
        <w:tab/>
      </w:r>
      <w:r>
        <w:rPr>
          <w:rFonts w:cs="Times New Roman"/>
          <w:bCs/>
        </w:rPr>
        <w:t>O MCASP - Manual de Contabilidade Aplicada ao Setor Público - 8ªedição – Parte V, definiu os seguintes Demonstrativos Contábeis a serem publicados pela Contabilidade Aplicada ao Setor Público: Balanço Orçamentário; Balanço Financeiro; Balanço Patrimonial; Demonstração das Variações Patrimoniais; Demonstração dos Fluxos de Caixa e Demonstração das Mutações do Patrimônio Líquido.</w:t>
      </w:r>
    </w:p>
    <w:p w14:paraId="33EFB64F" w14:textId="77777777" w:rsidR="00251BD1" w:rsidRDefault="00251BD1" w:rsidP="00251BD1">
      <w:pPr>
        <w:pStyle w:val="Standard"/>
        <w:ind w:left="-426" w:right="-708"/>
        <w:jc w:val="both"/>
        <w:rPr>
          <w:rFonts w:cs="Times New Roman"/>
          <w:bCs/>
        </w:rPr>
      </w:pPr>
    </w:p>
    <w:p w14:paraId="0E31D6EF" w14:textId="77777777" w:rsidR="00251BD1" w:rsidRDefault="00251BD1" w:rsidP="00251BD1">
      <w:pPr>
        <w:pStyle w:val="Standard"/>
        <w:ind w:left="-426" w:right="-708"/>
        <w:jc w:val="both"/>
        <w:rPr>
          <w:rFonts w:cs="Times New Roman"/>
          <w:bCs/>
        </w:rPr>
      </w:pPr>
      <w:r>
        <w:rPr>
          <w:rFonts w:cs="Times New Roman"/>
          <w:bCs/>
        </w:rPr>
        <w:tab/>
        <w:t>Comparado com os resultados trimestrais de 2019, os Demonstrativos Contábeis do Ministério do Desenvolvimento Regional evidenciaram informações fidedignas fundamentais para a promoção da transparência dos resultados alcançados no quarto trimestre de 2020, conforme anexados abaixo:</w:t>
      </w:r>
    </w:p>
    <w:tbl>
      <w:tblPr>
        <w:tblW w:w="16453" w:type="dxa"/>
        <w:tblCellMar>
          <w:left w:w="10" w:type="dxa"/>
          <w:right w:w="10" w:type="dxa"/>
        </w:tblCellMar>
        <w:tblLook w:val="04A0" w:firstRow="1" w:lastRow="0" w:firstColumn="1" w:lastColumn="0" w:noHBand="0" w:noVBand="1"/>
      </w:tblPr>
      <w:tblGrid>
        <w:gridCol w:w="1016"/>
        <w:gridCol w:w="12902"/>
        <w:gridCol w:w="146"/>
        <w:gridCol w:w="151"/>
        <w:gridCol w:w="146"/>
        <w:gridCol w:w="146"/>
        <w:gridCol w:w="146"/>
        <w:gridCol w:w="146"/>
        <w:gridCol w:w="146"/>
        <w:gridCol w:w="146"/>
        <w:gridCol w:w="146"/>
        <w:gridCol w:w="146"/>
        <w:gridCol w:w="146"/>
        <w:gridCol w:w="146"/>
        <w:gridCol w:w="146"/>
        <w:gridCol w:w="146"/>
        <w:gridCol w:w="146"/>
        <w:gridCol w:w="146"/>
        <w:gridCol w:w="194"/>
      </w:tblGrid>
      <w:tr w:rsidR="00251BD1" w14:paraId="7293C94C" w14:textId="77777777" w:rsidTr="00251BD1">
        <w:trPr>
          <w:trHeight w:val="60"/>
        </w:trPr>
        <w:tc>
          <w:tcPr>
            <w:tcW w:w="1016" w:type="dxa"/>
            <w:shd w:val="clear" w:color="auto" w:fill="auto"/>
            <w:tcMar>
              <w:top w:w="0" w:type="dxa"/>
              <w:left w:w="10" w:type="dxa"/>
              <w:bottom w:w="0" w:type="dxa"/>
              <w:right w:w="10" w:type="dxa"/>
            </w:tcMar>
          </w:tcPr>
          <w:p w14:paraId="290F4752"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2902" w:type="dxa"/>
            <w:shd w:val="clear" w:color="auto" w:fill="FFFFFF"/>
            <w:tcMar>
              <w:top w:w="0" w:type="dxa"/>
              <w:left w:w="70" w:type="dxa"/>
              <w:bottom w:w="0" w:type="dxa"/>
              <w:right w:w="70" w:type="dxa"/>
            </w:tcMar>
          </w:tcPr>
          <w:p w14:paraId="4A2FECFB"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2BA32B02"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51" w:type="dxa"/>
            <w:shd w:val="clear" w:color="auto" w:fill="FFFFFF"/>
            <w:tcMar>
              <w:top w:w="0" w:type="dxa"/>
              <w:left w:w="70" w:type="dxa"/>
              <w:bottom w:w="0" w:type="dxa"/>
              <w:right w:w="70" w:type="dxa"/>
            </w:tcMar>
          </w:tcPr>
          <w:p w14:paraId="2DB5ACB1"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2DAEC849"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25466506"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189E5C1E"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0E40A293"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60A9934E"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6484F020"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5AFCDED4"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31FD57BD"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5F1BB6A4"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453A8845"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718A9EF9"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6E01A37A"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4FE96440"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47B7B880"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c>
          <w:tcPr>
            <w:tcW w:w="194" w:type="dxa"/>
            <w:shd w:val="clear" w:color="auto" w:fill="FFFFFF"/>
            <w:tcMar>
              <w:top w:w="0" w:type="dxa"/>
              <w:left w:w="70" w:type="dxa"/>
              <w:bottom w:w="0" w:type="dxa"/>
              <w:right w:w="70" w:type="dxa"/>
            </w:tcMar>
          </w:tcPr>
          <w:p w14:paraId="6E2DEAC0" w14:textId="77777777" w:rsidR="00251BD1" w:rsidRDefault="00251BD1" w:rsidP="00251BD1">
            <w:pPr>
              <w:widowControl/>
              <w:suppressAutoHyphens w:val="0"/>
              <w:textAlignment w:val="auto"/>
              <w:rPr>
                <w:rFonts w:ascii="Arial" w:eastAsia="Times New Roman" w:hAnsi="Arial" w:cs="Arial"/>
                <w:color w:val="000000"/>
                <w:kern w:val="0"/>
                <w:sz w:val="12"/>
                <w:szCs w:val="12"/>
                <w:lang w:eastAsia="pt-BR" w:bidi="ar-SA"/>
              </w:rPr>
            </w:pPr>
          </w:p>
        </w:tc>
      </w:tr>
    </w:tbl>
    <w:p w14:paraId="2A9E6B10" w14:textId="77777777" w:rsidR="00251BD1" w:rsidRDefault="00251BD1" w:rsidP="00251BD1">
      <w:pPr>
        <w:rPr>
          <w:lang w:eastAsia="en-US" w:bidi="ar-SA"/>
        </w:rPr>
      </w:pPr>
    </w:p>
    <w:p w14:paraId="1A7E016F" w14:textId="77777777" w:rsidR="00251BD1" w:rsidRDefault="00251BD1" w:rsidP="00251BD1">
      <w:pPr>
        <w:pStyle w:val="Ttulo2"/>
        <w:jc w:val="center"/>
        <w:rPr>
          <w:rFonts w:ascii="Times New Roman" w:hAnsi="Times New Roman"/>
          <w:sz w:val="24"/>
          <w:szCs w:val="24"/>
        </w:rPr>
      </w:pPr>
    </w:p>
    <w:p w14:paraId="78E32D1C" w14:textId="77777777" w:rsidR="00251BD1" w:rsidRDefault="00251BD1" w:rsidP="00251BD1">
      <w:pPr>
        <w:pStyle w:val="Standard"/>
        <w:jc w:val="both"/>
        <w:rPr>
          <w:rFonts w:cs="Times New Roman"/>
          <w:b/>
        </w:rPr>
      </w:pPr>
    </w:p>
    <w:p w14:paraId="3E468ED3" w14:textId="77777777" w:rsidR="00397A9E" w:rsidRDefault="00397A9E">
      <w:pPr>
        <w:pStyle w:val="Standard"/>
        <w:ind w:left="-426" w:right="-708"/>
        <w:jc w:val="both"/>
        <w:sectPr w:rsidR="00397A9E">
          <w:pgSz w:w="11906" w:h="16838"/>
          <w:pgMar w:top="426" w:right="1274" w:bottom="1135" w:left="1701" w:header="720" w:footer="720" w:gutter="0"/>
          <w:cols w:space="720"/>
        </w:sectPr>
      </w:pPr>
    </w:p>
    <w:tbl>
      <w:tblPr>
        <w:tblW w:w="16453" w:type="dxa"/>
        <w:tblCellMar>
          <w:left w:w="10" w:type="dxa"/>
          <w:right w:w="10" w:type="dxa"/>
        </w:tblCellMar>
        <w:tblLook w:val="04A0" w:firstRow="1" w:lastRow="0" w:firstColumn="1" w:lastColumn="0" w:noHBand="0" w:noVBand="1"/>
      </w:tblPr>
      <w:tblGrid>
        <w:gridCol w:w="1021"/>
        <w:gridCol w:w="12902"/>
        <w:gridCol w:w="146"/>
        <w:gridCol w:w="146"/>
        <w:gridCol w:w="146"/>
        <w:gridCol w:w="146"/>
        <w:gridCol w:w="146"/>
        <w:gridCol w:w="146"/>
        <w:gridCol w:w="146"/>
        <w:gridCol w:w="146"/>
        <w:gridCol w:w="146"/>
        <w:gridCol w:w="146"/>
        <w:gridCol w:w="146"/>
        <w:gridCol w:w="146"/>
        <w:gridCol w:w="146"/>
        <w:gridCol w:w="146"/>
        <w:gridCol w:w="146"/>
        <w:gridCol w:w="146"/>
        <w:gridCol w:w="194"/>
      </w:tblGrid>
      <w:tr w:rsidR="00397A9E" w14:paraId="0BBF63AE" w14:textId="77777777" w:rsidTr="00936AEB">
        <w:trPr>
          <w:trHeight w:val="60"/>
        </w:trPr>
        <w:tc>
          <w:tcPr>
            <w:tcW w:w="1021" w:type="dxa"/>
            <w:shd w:val="clear" w:color="auto" w:fill="auto"/>
            <w:tcMar>
              <w:top w:w="0" w:type="dxa"/>
              <w:left w:w="10" w:type="dxa"/>
              <w:bottom w:w="0" w:type="dxa"/>
              <w:right w:w="10" w:type="dxa"/>
            </w:tcMar>
          </w:tcPr>
          <w:p w14:paraId="33E1F936"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2902" w:type="dxa"/>
            <w:shd w:val="clear" w:color="auto" w:fill="FFFFFF"/>
            <w:tcMar>
              <w:top w:w="0" w:type="dxa"/>
              <w:left w:w="70" w:type="dxa"/>
              <w:bottom w:w="0" w:type="dxa"/>
              <w:right w:w="70" w:type="dxa"/>
            </w:tcMar>
          </w:tcPr>
          <w:p w14:paraId="7F226E2C"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66E97ADA"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261AFA8D"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740AC8A3"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5CC0181D"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5069F6F6"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0C3420D3"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46DBEFE1"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7E8E7189"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39A69D11"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47E4583D"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1E19E571"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6283EC40"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7A0B4909"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1DFDCCCB"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2CA6383A"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7FC7D08C"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94" w:type="dxa"/>
            <w:shd w:val="clear" w:color="auto" w:fill="FFFFFF"/>
            <w:tcMar>
              <w:top w:w="0" w:type="dxa"/>
              <w:left w:w="70" w:type="dxa"/>
              <w:bottom w:w="0" w:type="dxa"/>
              <w:right w:w="70" w:type="dxa"/>
            </w:tcMar>
          </w:tcPr>
          <w:p w14:paraId="2F989601"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r>
      <w:tr w:rsidR="00397A9E" w14:paraId="4F5C5C17" w14:textId="77777777" w:rsidTr="00936AEB">
        <w:trPr>
          <w:trHeight w:val="102"/>
        </w:trPr>
        <w:tc>
          <w:tcPr>
            <w:tcW w:w="1021" w:type="dxa"/>
            <w:shd w:val="clear" w:color="auto" w:fill="auto"/>
            <w:tcMar>
              <w:top w:w="0" w:type="dxa"/>
              <w:left w:w="10" w:type="dxa"/>
              <w:bottom w:w="0" w:type="dxa"/>
              <w:right w:w="10" w:type="dxa"/>
            </w:tcMar>
          </w:tcPr>
          <w:p w14:paraId="485FD058"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2902" w:type="dxa"/>
            <w:shd w:val="clear" w:color="auto" w:fill="FFFFFF"/>
            <w:tcMar>
              <w:top w:w="0" w:type="dxa"/>
              <w:left w:w="70" w:type="dxa"/>
              <w:bottom w:w="0" w:type="dxa"/>
              <w:right w:w="70" w:type="dxa"/>
            </w:tcMar>
          </w:tcPr>
          <w:p w14:paraId="1EC89A69"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10D86AD7"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59877286"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3C417644"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3662E4A6"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0AEA74E5"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5F933EB2"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2ED913C6"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58D855FD"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7E67BA8D"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6C6CA5C9"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1F2105E2"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50EB7E4D"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75592995"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789D429F"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4411B397"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46" w:type="dxa"/>
            <w:shd w:val="clear" w:color="auto" w:fill="FFFFFF"/>
            <w:tcMar>
              <w:top w:w="0" w:type="dxa"/>
              <w:left w:w="70" w:type="dxa"/>
              <w:bottom w:w="0" w:type="dxa"/>
              <w:right w:w="70" w:type="dxa"/>
            </w:tcMar>
          </w:tcPr>
          <w:p w14:paraId="76237BFF"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c>
          <w:tcPr>
            <w:tcW w:w="194" w:type="dxa"/>
            <w:shd w:val="clear" w:color="auto" w:fill="FFFFFF"/>
            <w:tcMar>
              <w:top w:w="0" w:type="dxa"/>
              <w:left w:w="70" w:type="dxa"/>
              <w:bottom w:w="0" w:type="dxa"/>
              <w:right w:w="70" w:type="dxa"/>
            </w:tcMar>
          </w:tcPr>
          <w:p w14:paraId="4A58E52A" w14:textId="77777777" w:rsidR="00397A9E" w:rsidRDefault="00397A9E">
            <w:pPr>
              <w:widowControl/>
              <w:suppressAutoHyphens w:val="0"/>
              <w:textAlignment w:val="auto"/>
              <w:rPr>
                <w:rFonts w:ascii="Arial" w:eastAsia="Times New Roman" w:hAnsi="Arial" w:cs="Arial"/>
                <w:color w:val="000000"/>
                <w:kern w:val="0"/>
                <w:sz w:val="12"/>
                <w:szCs w:val="12"/>
                <w:lang w:eastAsia="pt-BR" w:bidi="ar-SA"/>
              </w:rPr>
            </w:pPr>
          </w:p>
        </w:tc>
      </w:tr>
    </w:tbl>
    <w:p w14:paraId="2545C469" w14:textId="77777777" w:rsidR="00936AEB" w:rsidRDefault="00936AEB" w:rsidP="00936AEB">
      <w:pPr>
        <w:jc w:val="center"/>
        <w:rPr>
          <w:rFonts w:cs="Times New Roman"/>
          <w:b/>
        </w:rPr>
      </w:pPr>
      <w:r>
        <w:rPr>
          <w:rFonts w:cs="Times New Roman"/>
          <w:b/>
        </w:rPr>
        <w:t>Balanço Patrimonial</w:t>
      </w:r>
    </w:p>
    <w:p w14:paraId="008CB2C3" w14:textId="77777777" w:rsidR="00397A9E" w:rsidRDefault="00397A9E"/>
    <w:tbl>
      <w:tblPr>
        <w:tblW w:w="13634" w:type="dxa"/>
        <w:jc w:val="center"/>
        <w:tblInd w:w="26" w:type="dxa"/>
        <w:tblCellMar>
          <w:left w:w="70" w:type="dxa"/>
          <w:right w:w="70" w:type="dxa"/>
        </w:tblCellMar>
        <w:tblLook w:val="04A0" w:firstRow="1" w:lastRow="0" w:firstColumn="1" w:lastColumn="0" w:noHBand="0" w:noVBand="1"/>
      </w:tblPr>
      <w:tblGrid>
        <w:gridCol w:w="590"/>
        <w:gridCol w:w="167"/>
        <w:gridCol w:w="590"/>
        <w:gridCol w:w="167"/>
        <w:gridCol w:w="1414"/>
        <w:gridCol w:w="837"/>
        <w:gridCol w:w="374"/>
        <w:gridCol w:w="220"/>
        <w:gridCol w:w="420"/>
        <w:gridCol w:w="898"/>
        <w:gridCol w:w="1519"/>
        <w:gridCol w:w="2733"/>
        <w:gridCol w:w="235"/>
        <w:gridCol w:w="374"/>
        <w:gridCol w:w="736"/>
        <w:gridCol w:w="934"/>
        <w:gridCol w:w="1426"/>
      </w:tblGrid>
      <w:tr w:rsidR="00251BD1" w:rsidRPr="00103CC2" w14:paraId="3DEB566A" w14:textId="77777777" w:rsidTr="001F5575">
        <w:trPr>
          <w:trHeight w:val="120"/>
          <w:jc w:val="center"/>
        </w:trPr>
        <w:tc>
          <w:tcPr>
            <w:tcW w:w="590" w:type="dxa"/>
            <w:vMerge w:val="restart"/>
            <w:tcBorders>
              <w:top w:val="nil"/>
              <w:left w:val="nil"/>
              <w:bottom w:val="nil"/>
              <w:right w:val="nil"/>
            </w:tcBorders>
            <w:shd w:val="clear" w:color="000000" w:fill="FFFFFF"/>
            <w:hideMark/>
          </w:tcPr>
          <w:p w14:paraId="30B28250"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noProof/>
                <w:color w:val="000000"/>
                <w:kern w:val="0"/>
                <w:sz w:val="12"/>
                <w:szCs w:val="12"/>
                <w:lang w:eastAsia="pt-BR" w:bidi="ar-SA"/>
              </w:rPr>
              <w:drawing>
                <wp:anchor distT="0" distB="0" distL="114300" distR="114300" simplePos="0" relativeHeight="251667456" behindDoc="0" locked="0" layoutInCell="1" allowOverlap="1" wp14:anchorId="4C4A9EA7" wp14:editId="65B54814">
                  <wp:simplePos x="0" y="0"/>
                  <wp:positionH relativeFrom="column">
                    <wp:posOffset>0</wp:posOffset>
                  </wp:positionH>
                  <wp:positionV relativeFrom="paragraph">
                    <wp:posOffset>0</wp:posOffset>
                  </wp:positionV>
                  <wp:extent cx="333375" cy="390525"/>
                  <wp:effectExtent l="0" t="0" r="9525" b="9525"/>
                  <wp:wrapNone/>
                  <wp:docPr id="4" name="Imagem 4"/>
                  <wp:cNvGraphicFramePr/>
                  <a:graphic xmlns:a="http://schemas.openxmlformats.org/drawingml/2006/main">
                    <a:graphicData uri="http://schemas.openxmlformats.org/drawingml/2006/picture">
                      <pic:pic xmlns:pic="http://schemas.openxmlformats.org/drawingml/2006/picture">
                        <pic:nvPicPr>
                          <pic:cNvPr id="2058"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67" w:type="dxa"/>
            <w:tcBorders>
              <w:top w:val="nil"/>
              <w:left w:val="nil"/>
              <w:bottom w:val="nil"/>
              <w:right w:val="nil"/>
            </w:tcBorders>
            <w:shd w:val="clear" w:color="000000" w:fill="FFFFFF"/>
            <w:hideMark/>
          </w:tcPr>
          <w:p w14:paraId="4B3DF5A1"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590" w:type="dxa"/>
            <w:tcBorders>
              <w:top w:val="nil"/>
              <w:left w:val="nil"/>
              <w:bottom w:val="nil"/>
              <w:right w:val="nil"/>
            </w:tcBorders>
            <w:shd w:val="clear" w:color="000000" w:fill="FFFFFF"/>
            <w:hideMark/>
          </w:tcPr>
          <w:p w14:paraId="2304FA2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10FE092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14" w:type="dxa"/>
            <w:tcBorders>
              <w:top w:val="nil"/>
              <w:left w:val="nil"/>
              <w:bottom w:val="nil"/>
              <w:right w:val="nil"/>
            </w:tcBorders>
            <w:shd w:val="clear" w:color="000000" w:fill="FFFFFF"/>
            <w:hideMark/>
          </w:tcPr>
          <w:p w14:paraId="7CB20C9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37" w:type="dxa"/>
            <w:tcBorders>
              <w:top w:val="nil"/>
              <w:left w:val="nil"/>
              <w:bottom w:val="nil"/>
              <w:right w:val="nil"/>
            </w:tcBorders>
            <w:shd w:val="clear" w:color="000000" w:fill="FFFFFF"/>
            <w:hideMark/>
          </w:tcPr>
          <w:p w14:paraId="5599B427"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04A1181C"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20" w:type="dxa"/>
            <w:tcBorders>
              <w:top w:val="nil"/>
              <w:left w:val="nil"/>
              <w:bottom w:val="nil"/>
              <w:right w:val="nil"/>
            </w:tcBorders>
            <w:shd w:val="clear" w:color="000000" w:fill="FFFFFF"/>
            <w:hideMark/>
          </w:tcPr>
          <w:p w14:paraId="332698C7"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420" w:type="dxa"/>
            <w:tcBorders>
              <w:top w:val="nil"/>
              <w:left w:val="nil"/>
              <w:bottom w:val="nil"/>
              <w:right w:val="nil"/>
            </w:tcBorders>
            <w:shd w:val="clear" w:color="000000" w:fill="FFFFFF"/>
            <w:hideMark/>
          </w:tcPr>
          <w:p w14:paraId="6ABFE361"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98" w:type="dxa"/>
            <w:tcBorders>
              <w:top w:val="nil"/>
              <w:left w:val="nil"/>
              <w:bottom w:val="nil"/>
              <w:right w:val="nil"/>
            </w:tcBorders>
            <w:shd w:val="clear" w:color="000000" w:fill="FFFFFF"/>
            <w:hideMark/>
          </w:tcPr>
          <w:p w14:paraId="5E82FF51"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519" w:type="dxa"/>
            <w:tcBorders>
              <w:top w:val="nil"/>
              <w:left w:val="nil"/>
              <w:bottom w:val="nil"/>
              <w:right w:val="nil"/>
            </w:tcBorders>
            <w:shd w:val="clear" w:color="000000" w:fill="FFFFFF"/>
            <w:hideMark/>
          </w:tcPr>
          <w:p w14:paraId="6289A2A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733" w:type="dxa"/>
            <w:tcBorders>
              <w:top w:val="nil"/>
              <w:left w:val="nil"/>
              <w:bottom w:val="nil"/>
              <w:right w:val="nil"/>
            </w:tcBorders>
            <w:shd w:val="clear" w:color="000000" w:fill="FFFFFF"/>
            <w:hideMark/>
          </w:tcPr>
          <w:p w14:paraId="55321E3C"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35" w:type="dxa"/>
            <w:tcBorders>
              <w:top w:val="nil"/>
              <w:left w:val="nil"/>
              <w:bottom w:val="nil"/>
              <w:right w:val="nil"/>
            </w:tcBorders>
            <w:shd w:val="clear" w:color="000000" w:fill="FFFFFF"/>
            <w:hideMark/>
          </w:tcPr>
          <w:p w14:paraId="7EBED2C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79A8836A"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736" w:type="dxa"/>
            <w:tcBorders>
              <w:top w:val="nil"/>
              <w:left w:val="nil"/>
              <w:bottom w:val="nil"/>
              <w:right w:val="nil"/>
            </w:tcBorders>
            <w:shd w:val="clear" w:color="000000" w:fill="FFFFFF"/>
            <w:hideMark/>
          </w:tcPr>
          <w:p w14:paraId="50C66E0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934" w:type="dxa"/>
            <w:tcBorders>
              <w:top w:val="nil"/>
              <w:left w:val="nil"/>
              <w:bottom w:val="nil"/>
              <w:right w:val="nil"/>
            </w:tcBorders>
            <w:shd w:val="clear" w:color="000000" w:fill="FFFFFF"/>
            <w:hideMark/>
          </w:tcPr>
          <w:p w14:paraId="6777A10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26" w:type="dxa"/>
            <w:tcBorders>
              <w:top w:val="nil"/>
              <w:left w:val="nil"/>
              <w:bottom w:val="nil"/>
              <w:right w:val="nil"/>
            </w:tcBorders>
            <w:shd w:val="clear" w:color="000000" w:fill="FFFFFF"/>
            <w:hideMark/>
          </w:tcPr>
          <w:p w14:paraId="7369D3B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3F1C2FB2" w14:textId="77777777" w:rsidTr="001F5575">
        <w:trPr>
          <w:trHeight w:val="240"/>
          <w:jc w:val="center"/>
        </w:trPr>
        <w:tc>
          <w:tcPr>
            <w:tcW w:w="590" w:type="dxa"/>
            <w:vMerge/>
            <w:tcBorders>
              <w:top w:val="nil"/>
              <w:left w:val="nil"/>
              <w:bottom w:val="nil"/>
              <w:right w:val="nil"/>
            </w:tcBorders>
            <w:vAlign w:val="center"/>
            <w:hideMark/>
          </w:tcPr>
          <w:p w14:paraId="085EF900"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p>
        </w:tc>
        <w:tc>
          <w:tcPr>
            <w:tcW w:w="167" w:type="dxa"/>
            <w:tcBorders>
              <w:top w:val="nil"/>
              <w:left w:val="nil"/>
              <w:bottom w:val="nil"/>
              <w:right w:val="nil"/>
            </w:tcBorders>
            <w:shd w:val="clear" w:color="000000" w:fill="FFFFFF"/>
            <w:hideMark/>
          </w:tcPr>
          <w:p w14:paraId="3E833C5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4022" w:type="dxa"/>
            <w:gridSpan w:val="7"/>
            <w:tcBorders>
              <w:top w:val="nil"/>
              <w:left w:val="nil"/>
              <w:bottom w:val="nil"/>
              <w:right w:val="nil"/>
            </w:tcBorders>
            <w:shd w:val="clear" w:color="000000" w:fill="FFFFFF"/>
            <w:hideMark/>
          </w:tcPr>
          <w:p w14:paraId="4BAE5FB8" w14:textId="77777777" w:rsidR="00251BD1" w:rsidRPr="00103CC2" w:rsidRDefault="00251BD1" w:rsidP="00251BD1">
            <w:pPr>
              <w:widowControl/>
              <w:suppressAutoHyphens w:val="0"/>
              <w:autoSpaceDN/>
              <w:textAlignment w:val="auto"/>
              <w:rPr>
                <w:rFonts w:ascii="SansSerif" w:eastAsia="Times New Roman" w:hAnsi="SansSerif" w:cs="Arial"/>
                <w:b/>
                <w:bCs/>
                <w:color w:val="000000"/>
                <w:kern w:val="0"/>
                <w:sz w:val="12"/>
                <w:szCs w:val="12"/>
                <w:lang w:eastAsia="pt-BR" w:bidi="ar-SA"/>
              </w:rPr>
            </w:pPr>
            <w:r w:rsidRPr="00103CC2">
              <w:rPr>
                <w:rFonts w:ascii="SansSerif" w:eastAsia="Times New Roman" w:hAnsi="SansSerif" w:cs="Arial"/>
                <w:b/>
                <w:bCs/>
                <w:color w:val="000000"/>
                <w:kern w:val="0"/>
                <w:sz w:val="12"/>
                <w:szCs w:val="12"/>
                <w:lang w:eastAsia="pt-BR" w:bidi="ar-SA"/>
              </w:rPr>
              <w:t>MINISTÉRIO DA FAZENDA</w:t>
            </w:r>
          </w:p>
        </w:tc>
        <w:tc>
          <w:tcPr>
            <w:tcW w:w="898" w:type="dxa"/>
            <w:tcBorders>
              <w:top w:val="nil"/>
              <w:left w:val="nil"/>
              <w:bottom w:val="nil"/>
              <w:right w:val="nil"/>
            </w:tcBorders>
            <w:shd w:val="clear" w:color="000000" w:fill="FFFFFF"/>
            <w:hideMark/>
          </w:tcPr>
          <w:p w14:paraId="7B9B03AF"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519" w:type="dxa"/>
            <w:tcBorders>
              <w:top w:val="nil"/>
              <w:left w:val="nil"/>
              <w:bottom w:val="nil"/>
              <w:right w:val="nil"/>
            </w:tcBorders>
            <w:shd w:val="clear" w:color="000000" w:fill="FFFFFF"/>
            <w:hideMark/>
          </w:tcPr>
          <w:p w14:paraId="04E95BB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733" w:type="dxa"/>
            <w:tcBorders>
              <w:top w:val="nil"/>
              <w:left w:val="nil"/>
              <w:bottom w:val="nil"/>
              <w:right w:val="nil"/>
            </w:tcBorders>
            <w:shd w:val="clear" w:color="000000" w:fill="FFFFFF"/>
            <w:hideMark/>
          </w:tcPr>
          <w:p w14:paraId="0770612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35" w:type="dxa"/>
            <w:tcBorders>
              <w:top w:val="nil"/>
              <w:left w:val="nil"/>
              <w:bottom w:val="nil"/>
              <w:right w:val="nil"/>
            </w:tcBorders>
            <w:shd w:val="clear" w:color="000000" w:fill="FFFFFF"/>
            <w:hideMark/>
          </w:tcPr>
          <w:p w14:paraId="7D4C2806"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6DA86EF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736" w:type="dxa"/>
            <w:tcBorders>
              <w:top w:val="nil"/>
              <w:left w:val="nil"/>
              <w:bottom w:val="nil"/>
              <w:right w:val="nil"/>
            </w:tcBorders>
            <w:shd w:val="clear" w:color="000000" w:fill="FFFFFF"/>
            <w:hideMark/>
          </w:tcPr>
          <w:p w14:paraId="71B67650"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934" w:type="dxa"/>
            <w:tcBorders>
              <w:top w:val="nil"/>
              <w:left w:val="nil"/>
              <w:bottom w:val="nil"/>
              <w:right w:val="nil"/>
            </w:tcBorders>
            <w:shd w:val="clear" w:color="000000" w:fill="FFFFFF"/>
            <w:hideMark/>
          </w:tcPr>
          <w:p w14:paraId="7FE5C0E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26" w:type="dxa"/>
            <w:tcBorders>
              <w:top w:val="nil"/>
              <w:left w:val="nil"/>
              <w:bottom w:val="nil"/>
              <w:right w:val="nil"/>
            </w:tcBorders>
            <w:shd w:val="clear" w:color="000000" w:fill="FFFFFF"/>
            <w:hideMark/>
          </w:tcPr>
          <w:p w14:paraId="2C25BEF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45A59740" w14:textId="77777777" w:rsidTr="001F5575">
        <w:trPr>
          <w:trHeight w:val="199"/>
          <w:jc w:val="center"/>
        </w:trPr>
        <w:tc>
          <w:tcPr>
            <w:tcW w:w="590" w:type="dxa"/>
            <w:vMerge/>
            <w:tcBorders>
              <w:top w:val="nil"/>
              <w:left w:val="nil"/>
              <w:bottom w:val="nil"/>
              <w:right w:val="nil"/>
            </w:tcBorders>
            <w:vAlign w:val="center"/>
            <w:hideMark/>
          </w:tcPr>
          <w:p w14:paraId="375EA651"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p>
        </w:tc>
        <w:tc>
          <w:tcPr>
            <w:tcW w:w="167" w:type="dxa"/>
            <w:tcBorders>
              <w:top w:val="nil"/>
              <w:left w:val="nil"/>
              <w:bottom w:val="nil"/>
              <w:right w:val="nil"/>
            </w:tcBorders>
            <w:shd w:val="clear" w:color="000000" w:fill="FFFFFF"/>
            <w:hideMark/>
          </w:tcPr>
          <w:p w14:paraId="451F456C"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4022" w:type="dxa"/>
            <w:gridSpan w:val="7"/>
            <w:tcBorders>
              <w:top w:val="nil"/>
              <w:left w:val="nil"/>
              <w:bottom w:val="nil"/>
              <w:right w:val="nil"/>
            </w:tcBorders>
            <w:shd w:val="clear" w:color="000000" w:fill="FFFFFF"/>
            <w:hideMark/>
          </w:tcPr>
          <w:p w14:paraId="5BB70B76" w14:textId="77777777" w:rsidR="00251BD1" w:rsidRPr="00103CC2" w:rsidRDefault="00251BD1" w:rsidP="00251BD1">
            <w:pPr>
              <w:widowControl/>
              <w:suppressAutoHyphens w:val="0"/>
              <w:autoSpaceDN/>
              <w:textAlignment w:val="auto"/>
              <w:rPr>
                <w:rFonts w:ascii="SansSerif" w:eastAsia="Times New Roman" w:hAnsi="SansSerif" w:cs="Arial"/>
                <w:b/>
                <w:bCs/>
                <w:color w:val="000000"/>
                <w:kern w:val="0"/>
                <w:sz w:val="12"/>
                <w:szCs w:val="12"/>
                <w:lang w:eastAsia="pt-BR" w:bidi="ar-SA"/>
              </w:rPr>
            </w:pPr>
            <w:r w:rsidRPr="00103CC2">
              <w:rPr>
                <w:rFonts w:ascii="SansSerif" w:eastAsia="Times New Roman" w:hAnsi="SansSerif" w:cs="Arial"/>
                <w:b/>
                <w:bCs/>
                <w:color w:val="000000"/>
                <w:kern w:val="0"/>
                <w:sz w:val="12"/>
                <w:szCs w:val="12"/>
                <w:lang w:eastAsia="pt-BR" w:bidi="ar-SA"/>
              </w:rPr>
              <w:t>SECRETARIA DO TESOURO NACIONAL</w:t>
            </w:r>
          </w:p>
        </w:tc>
        <w:tc>
          <w:tcPr>
            <w:tcW w:w="898" w:type="dxa"/>
            <w:tcBorders>
              <w:top w:val="nil"/>
              <w:left w:val="nil"/>
              <w:bottom w:val="nil"/>
              <w:right w:val="nil"/>
            </w:tcBorders>
            <w:shd w:val="clear" w:color="000000" w:fill="FFFFFF"/>
            <w:hideMark/>
          </w:tcPr>
          <w:p w14:paraId="183F95CC"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519" w:type="dxa"/>
            <w:tcBorders>
              <w:top w:val="nil"/>
              <w:left w:val="nil"/>
              <w:bottom w:val="nil"/>
              <w:right w:val="nil"/>
            </w:tcBorders>
            <w:shd w:val="clear" w:color="000000" w:fill="FFFFFF"/>
            <w:hideMark/>
          </w:tcPr>
          <w:p w14:paraId="5A62641C"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733" w:type="dxa"/>
            <w:tcBorders>
              <w:top w:val="nil"/>
              <w:left w:val="nil"/>
              <w:bottom w:val="nil"/>
              <w:right w:val="nil"/>
            </w:tcBorders>
            <w:shd w:val="clear" w:color="000000" w:fill="FFFFFF"/>
            <w:hideMark/>
          </w:tcPr>
          <w:p w14:paraId="0BA77E6F"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35" w:type="dxa"/>
            <w:tcBorders>
              <w:top w:val="nil"/>
              <w:left w:val="nil"/>
              <w:bottom w:val="nil"/>
              <w:right w:val="nil"/>
            </w:tcBorders>
            <w:shd w:val="clear" w:color="000000" w:fill="FFFFFF"/>
            <w:hideMark/>
          </w:tcPr>
          <w:p w14:paraId="33AA304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230A15D7"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736" w:type="dxa"/>
            <w:tcBorders>
              <w:top w:val="nil"/>
              <w:left w:val="nil"/>
              <w:bottom w:val="nil"/>
              <w:right w:val="nil"/>
            </w:tcBorders>
            <w:shd w:val="clear" w:color="000000" w:fill="FFFFFF"/>
            <w:hideMark/>
          </w:tcPr>
          <w:p w14:paraId="54F4A5F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934" w:type="dxa"/>
            <w:tcBorders>
              <w:top w:val="nil"/>
              <w:left w:val="nil"/>
              <w:bottom w:val="nil"/>
              <w:right w:val="nil"/>
            </w:tcBorders>
            <w:shd w:val="clear" w:color="000000" w:fill="FFFFFF"/>
            <w:hideMark/>
          </w:tcPr>
          <w:p w14:paraId="489075F6"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26" w:type="dxa"/>
            <w:tcBorders>
              <w:top w:val="nil"/>
              <w:left w:val="nil"/>
              <w:bottom w:val="nil"/>
              <w:right w:val="nil"/>
            </w:tcBorders>
            <w:shd w:val="clear" w:color="000000" w:fill="FFFFFF"/>
            <w:hideMark/>
          </w:tcPr>
          <w:p w14:paraId="690A27C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6BF71FAF" w14:textId="77777777" w:rsidTr="001F5575">
        <w:trPr>
          <w:trHeight w:val="60"/>
          <w:jc w:val="center"/>
        </w:trPr>
        <w:tc>
          <w:tcPr>
            <w:tcW w:w="590" w:type="dxa"/>
            <w:vMerge/>
            <w:tcBorders>
              <w:top w:val="nil"/>
              <w:left w:val="nil"/>
              <w:bottom w:val="nil"/>
              <w:right w:val="nil"/>
            </w:tcBorders>
            <w:vAlign w:val="center"/>
            <w:hideMark/>
          </w:tcPr>
          <w:p w14:paraId="7CA8396E"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p>
        </w:tc>
        <w:tc>
          <w:tcPr>
            <w:tcW w:w="167" w:type="dxa"/>
            <w:tcBorders>
              <w:top w:val="nil"/>
              <w:left w:val="nil"/>
              <w:bottom w:val="nil"/>
              <w:right w:val="nil"/>
            </w:tcBorders>
            <w:shd w:val="clear" w:color="000000" w:fill="FFFFFF"/>
            <w:hideMark/>
          </w:tcPr>
          <w:p w14:paraId="5CB0203A"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590" w:type="dxa"/>
            <w:tcBorders>
              <w:top w:val="nil"/>
              <w:left w:val="nil"/>
              <w:bottom w:val="nil"/>
              <w:right w:val="nil"/>
            </w:tcBorders>
            <w:shd w:val="clear" w:color="000000" w:fill="FFFFFF"/>
            <w:hideMark/>
          </w:tcPr>
          <w:p w14:paraId="6BD1473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56A68D6E"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14" w:type="dxa"/>
            <w:tcBorders>
              <w:top w:val="nil"/>
              <w:left w:val="nil"/>
              <w:bottom w:val="nil"/>
              <w:right w:val="nil"/>
            </w:tcBorders>
            <w:shd w:val="clear" w:color="000000" w:fill="FFFFFF"/>
            <w:hideMark/>
          </w:tcPr>
          <w:p w14:paraId="4E8C9D7C"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37" w:type="dxa"/>
            <w:tcBorders>
              <w:top w:val="nil"/>
              <w:left w:val="nil"/>
              <w:bottom w:val="nil"/>
              <w:right w:val="nil"/>
            </w:tcBorders>
            <w:shd w:val="clear" w:color="000000" w:fill="FFFFFF"/>
            <w:hideMark/>
          </w:tcPr>
          <w:p w14:paraId="038286CD"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417A1767"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20" w:type="dxa"/>
            <w:tcBorders>
              <w:top w:val="nil"/>
              <w:left w:val="nil"/>
              <w:bottom w:val="nil"/>
              <w:right w:val="nil"/>
            </w:tcBorders>
            <w:shd w:val="clear" w:color="000000" w:fill="FFFFFF"/>
            <w:hideMark/>
          </w:tcPr>
          <w:p w14:paraId="03E0955A"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420" w:type="dxa"/>
            <w:tcBorders>
              <w:top w:val="nil"/>
              <w:left w:val="nil"/>
              <w:bottom w:val="nil"/>
              <w:right w:val="nil"/>
            </w:tcBorders>
            <w:shd w:val="clear" w:color="000000" w:fill="FFFFFF"/>
            <w:hideMark/>
          </w:tcPr>
          <w:p w14:paraId="59CE436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98" w:type="dxa"/>
            <w:tcBorders>
              <w:top w:val="nil"/>
              <w:left w:val="nil"/>
              <w:bottom w:val="nil"/>
              <w:right w:val="nil"/>
            </w:tcBorders>
            <w:shd w:val="clear" w:color="000000" w:fill="FFFFFF"/>
            <w:hideMark/>
          </w:tcPr>
          <w:p w14:paraId="58FBEE7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519" w:type="dxa"/>
            <w:tcBorders>
              <w:top w:val="nil"/>
              <w:left w:val="nil"/>
              <w:bottom w:val="nil"/>
              <w:right w:val="nil"/>
            </w:tcBorders>
            <w:shd w:val="clear" w:color="000000" w:fill="FFFFFF"/>
            <w:hideMark/>
          </w:tcPr>
          <w:p w14:paraId="53F7A88A"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733" w:type="dxa"/>
            <w:tcBorders>
              <w:top w:val="nil"/>
              <w:left w:val="nil"/>
              <w:bottom w:val="nil"/>
              <w:right w:val="nil"/>
            </w:tcBorders>
            <w:shd w:val="clear" w:color="000000" w:fill="FFFFFF"/>
            <w:hideMark/>
          </w:tcPr>
          <w:p w14:paraId="5F098C26"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35" w:type="dxa"/>
            <w:tcBorders>
              <w:top w:val="nil"/>
              <w:left w:val="nil"/>
              <w:bottom w:val="nil"/>
              <w:right w:val="nil"/>
            </w:tcBorders>
            <w:shd w:val="clear" w:color="000000" w:fill="FFFFFF"/>
            <w:hideMark/>
          </w:tcPr>
          <w:p w14:paraId="0C527BBA"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536153F4"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736" w:type="dxa"/>
            <w:tcBorders>
              <w:top w:val="nil"/>
              <w:left w:val="nil"/>
              <w:bottom w:val="nil"/>
              <w:right w:val="nil"/>
            </w:tcBorders>
            <w:shd w:val="clear" w:color="000000" w:fill="FFFFFF"/>
            <w:hideMark/>
          </w:tcPr>
          <w:p w14:paraId="57DE991F"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934" w:type="dxa"/>
            <w:tcBorders>
              <w:top w:val="nil"/>
              <w:left w:val="nil"/>
              <w:bottom w:val="nil"/>
              <w:right w:val="nil"/>
            </w:tcBorders>
            <w:shd w:val="clear" w:color="000000" w:fill="FFFFFF"/>
            <w:hideMark/>
          </w:tcPr>
          <w:p w14:paraId="11A5202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26" w:type="dxa"/>
            <w:tcBorders>
              <w:top w:val="nil"/>
              <w:left w:val="nil"/>
              <w:bottom w:val="nil"/>
              <w:right w:val="nil"/>
            </w:tcBorders>
            <w:shd w:val="clear" w:color="000000" w:fill="FFFFFF"/>
            <w:hideMark/>
          </w:tcPr>
          <w:p w14:paraId="06CFC64D"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01052A10" w14:textId="77777777" w:rsidTr="001F5575">
        <w:trPr>
          <w:trHeight w:val="102"/>
          <w:jc w:val="center"/>
        </w:trPr>
        <w:tc>
          <w:tcPr>
            <w:tcW w:w="590" w:type="dxa"/>
            <w:tcBorders>
              <w:top w:val="nil"/>
              <w:left w:val="nil"/>
              <w:bottom w:val="nil"/>
              <w:right w:val="nil"/>
            </w:tcBorders>
            <w:shd w:val="clear" w:color="000000" w:fill="FFFFFF"/>
            <w:hideMark/>
          </w:tcPr>
          <w:p w14:paraId="028760C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1E97A06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590" w:type="dxa"/>
            <w:tcBorders>
              <w:top w:val="nil"/>
              <w:left w:val="nil"/>
              <w:bottom w:val="nil"/>
              <w:right w:val="nil"/>
            </w:tcBorders>
            <w:shd w:val="clear" w:color="000000" w:fill="FFFFFF"/>
            <w:hideMark/>
          </w:tcPr>
          <w:p w14:paraId="39F19CE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051C788D"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14" w:type="dxa"/>
            <w:tcBorders>
              <w:top w:val="nil"/>
              <w:left w:val="nil"/>
              <w:bottom w:val="nil"/>
              <w:right w:val="nil"/>
            </w:tcBorders>
            <w:shd w:val="clear" w:color="000000" w:fill="FFFFFF"/>
            <w:hideMark/>
          </w:tcPr>
          <w:p w14:paraId="304962A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37" w:type="dxa"/>
            <w:tcBorders>
              <w:top w:val="nil"/>
              <w:left w:val="nil"/>
              <w:bottom w:val="nil"/>
              <w:right w:val="nil"/>
            </w:tcBorders>
            <w:shd w:val="clear" w:color="000000" w:fill="FFFFFF"/>
            <w:hideMark/>
          </w:tcPr>
          <w:p w14:paraId="0A5AB20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546C9F11"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20" w:type="dxa"/>
            <w:tcBorders>
              <w:top w:val="nil"/>
              <w:left w:val="nil"/>
              <w:bottom w:val="nil"/>
              <w:right w:val="nil"/>
            </w:tcBorders>
            <w:shd w:val="clear" w:color="000000" w:fill="FFFFFF"/>
            <w:hideMark/>
          </w:tcPr>
          <w:p w14:paraId="661F37EC"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420" w:type="dxa"/>
            <w:tcBorders>
              <w:top w:val="nil"/>
              <w:left w:val="nil"/>
              <w:bottom w:val="nil"/>
              <w:right w:val="nil"/>
            </w:tcBorders>
            <w:shd w:val="clear" w:color="000000" w:fill="FFFFFF"/>
            <w:hideMark/>
          </w:tcPr>
          <w:p w14:paraId="56B1566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98" w:type="dxa"/>
            <w:tcBorders>
              <w:top w:val="nil"/>
              <w:left w:val="nil"/>
              <w:bottom w:val="nil"/>
              <w:right w:val="nil"/>
            </w:tcBorders>
            <w:shd w:val="clear" w:color="000000" w:fill="FFFFFF"/>
            <w:hideMark/>
          </w:tcPr>
          <w:p w14:paraId="6C4C0541"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519" w:type="dxa"/>
            <w:tcBorders>
              <w:top w:val="nil"/>
              <w:left w:val="nil"/>
              <w:bottom w:val="nil"/>
              <w:right w:val="nil"/>
            </w:tcBorders>
            <w:shd w:val="clear" w:color="000000" w:fill="FFFFFF"/>
            <w:hideMark/>
          </w:tcPr>
          <w:p w14:paraId="3B72810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733" w:type="dxa"/>
            <w:tcBorders>
              <w:top w:val="nil"/>
              <w:left w:val="nil"/>
              <w:bottom w:val="nil"/>
              <w:right w:val="nil"/>
            </w:tcBorders>
            <w:shd w:val="clear" w:color="000000" w:fill="FFFFFF"/>
            <w:hideMark/>
          </w:tcPr>
          <w:p w14:paraId="32CCD17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35" w:type="dxa"/>
            <w:tcBorders>
              <w:top w:val="nil"/>
              <w:left w:val="nil"/>
              <w:bottom w:val="nil"/>
              <w:right w:val="nil"/>
            </w:tcBorders>
            <w:shd w:val="clear" w:color="000000" w:fill="FFFFFF"/>
            <w:hideMark/>
          </w:tcPr>
          <w:p w14:paraId="768CBFF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10AD1244"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736" w:type="dxa"/>
            <w:tcBorders>
              <w:top w:val="nil"/>
              <w:left w:val="nil"/>
              <w:bottom w:val="nil"/>
              <w:right w:val="nil"/>
            </w:tcBorders>
            <w:shd w:val="clear" w:color="000000" w:fill="FFFFFF"/>
            <w:hideMark/>
          </w:tcPr>
          <w:p w14:paraId="5AA282B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934" w:type="dxa"/>
            <w:tcBorders>
              <w:top w:val="nil"/>
              <w:left w:val="nil"/>
              <w:bottom w:val="nil"/>
              <w:right w:val="nil"/>
            </w:tcBorders>
            <w:shd w:val="clear" w:color="000000" w:fill="FFFFFF"/>
            <w:hideMark/>
          </w:tcPr>
          <w:p w14:paraId="277D48F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26" w:type="dxa"/>
            <w:tcBorders>
              <w:top w:val="nil"/>
              <w:left w:val="nil"/>
              <w:bottom w:val="nil"/>
              <w:right w:val="nil"/>
            </w:tcBorders>
            <w:shd w:val="clear" w:color="000000" w:fill="FFFFFF"/>
            <w:hideMark/>
          </w:tcPr>
          <w:p w14:paraId="0C645B0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36C24A53" w14:textId="77777777" w:rsidTr="001F5575">
        <w:trPr>
          <w:trHeight w:val="199"/>
          <w:jc w:val="center"/>
        </w:trPr>
        <w:tc>
          <w:tcPr>
            <w:tcW w:w="1347" w:type="dxa"/>
            <w:gridSpan w:val="3"/>
            <w:tcBorders>
              <w:top w:val="nil"/>
              <w:left w:val="nil"/>
              <w:bottom w:val="nil"/>
              <w:right w:val="nil"/>
            </w:tcBorders>
            <w:shd w:val="clear" w:color="000000" w:fill="FFFFFF"/>
            <w:vAlign w:val="center"/>
            <w:hideMark/>
          </w:tcPr>
          <w:p w14:paraId="3E2B475C"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TITULO</w:t>
            </w:r>
          </w:p>
        </w:tc>
        <w:tc>
          <w:tcPr>
            <w:tcW w:w="167" w:type="dxa"/>
            <w:tcBorders>
              <w:top w:val="nil"/>
              <w:left w:val="nil"/>
              <w:bottom w:val="nil"/>
              <w:right w:val="nil"/>
            </w:tcBorders>
            <w:shd w:val="clear" w:color="000000" w:fill="FFFFFF"/>
            <w:hideMark/>
          </w:tcPr>
          <w:p w14:paraId="1D5D59F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2120" w:type="dxa"/>
            <w:gridSpan w:val="13"/>
            <w:tcBorders>
              <w:top w:val="nil"/>
              <w:left w:val="nil"/>
              <w:bottom w:val="nil"/>
              <w:right w:val="nil"/>
            </w:tcBorders>
            <w:shd w:val="clear" w:color="000000" w:fill="FFFFFF"/>
            <w:vAlign w:val="center"/>
            <w:hideMark/>
          </w:tcPr>
          <w:p w14:paraId="2150E086"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BALANÇO PATRIMONIAL - TODOS OS ORÇAMENTOS</w:t>
            </w:r>
          </w:p>
        </w:tc>
      </w:tr>
      <w:tr w:rsidR="00251BD1" w:rsidRPr="00103CC2" w14:paraId="1A7ECF9E" w14:textId="77777777" w:rsidTr="001F5575">
        <w:trPr>
          <w:trHeight w:val="199"/>
          <w:jc w:val="center"/>
        </w:trPr>
        <w:tc>
          <w:tcPr>
            <w:tcW w:w="1347" w:type="dxa"/>
            <w:gridSpan w:val="3"/>
            <w:tcBorders>
              <w:top w:val="nil"/>
              <w:left w:val="nil"/>
              <w:bottom w:val="nil"/>
              <w:right w:val="nil"/>
            </w:tcBorders>
            <w:shd w:val="clear" w:color="000000" w:fill="FFFFFF"/>
            <w:vAlign w:val="center"/>
            <w:hideMark/>
          </w:tcPr>
          <w:p w14:paraId="56AA1D3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SUBTITULO</w:t>
            </w:r>
          </w:p>
        </w:tc>
        <w:tc>
          <w:tcPr>
            <w:tcW w:w="167" w:type="dxa"/>
            <w:tcBorders>
              <w:top w:val="nil"/>
              <w:left w:val="nil"/>
              <w:bottom w:val="nil"/>
              <w:right w:val="nil"/>
            </w:tcBorders>
            <w:shd w:val="clear" w:color="000000" w:fill="FFFFFF"/>
            <w:hideMark/>
          </w:tcPr>
          <w:p w14:paraId="57303A6C"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2120" w:type="dxa"/>
            <w:gridSpan w:val="13"/>
            <w:tcBorders>
              <w:top w:val="nil"/>
              <w:left w:val="nil"/>
              <w:bottom w:val="nil"/>
              <w:right w:val="nil"/>
            </w:tcBorders>
            <w:shd w:val="clear" w:color="000000" w:fill="FFFFFF"/>
            <w:vAlign w:val="center"/>
            <w:hideMark/>
          </w:tcPr>
          <w:p w14:paraId="703E20D7"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53000 - MINISTERIO DO DESENVOLVIMENTO REGIONAL (SUPERIOR) - ADMINISTRAÇÃO DIRETA</w:t>
            </w:r>
          </w:p>
        </w:tc>
      </w:tr>
      <w:tr w:rsidR="00251BD1" w:rsidRPr="00103CC2" w14:paraId="66B56997" w14:textId="77777777" w:rsidTr="001F5575">
        <w:trPr>
          <w:trHeight w:val="199"/>
          <w:jc w:val="center"/>
        </w:trPr>
        <w:tc>
          <w:tcPr>
            <w:tcW w:w="1347" w:type="dxa"/>
            <w:gridSpan w:val="3"/>
            <w:tcBorders>
              <w:top w:val="nil"/>
              <w:left w:val="nil"/>
              <w:bottom w:val="nil"/>
              <w:right w:val="nil"/>
            </w:tcBorders>
            <w:shd w:val="clear" w:color="000000" w:fill="FFFFFF"/>
            <w:vAlign w:val="center"/>
            <w:hideMark/>
          </w:tcPr>
          <w:p w14:paraId="0DEFAF7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ORGÃO SUPERIOR</w:t>
            </w:r>
          </w:p>
        </w:tc>
        <w:tc>
          <w:tcPr>
            <w:tcW w:w="167" w:type="dxa"/>
            <w:tcBorders>
              <w:top w:val="nil"/>
              <w:left w:val="nil"/>
              <w:bottom w:val="nil"/>
              <w:right w:val="nil"/>
            </w:tcBorders>
            <w:shd w:val="clear" w:color="000000" w:fill="FFFFFF"/>
            <w:hideMark/>
          </w:tcPr>
          <w:p w14:paraId="3F2A9A7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2120" w:type="dxa"/>
            <w:gridSpan w:val="13"/>
            <w:tcBorders>
              <w:top w:val="nil"/>
              <w:left w:val="nil"/>
              <w:bottom w:val="nil"/>
              <w:right w:val="nil"/>
            </w:tcBorders>
            <w:shd w:val="clear" w:color="000000" w:fill="FFFFFF"/>
            <w:vAlign w:val="center"/>
            <w:hideMark/>
          </w:tcPr>
          <w:p w14:paraId="60743F8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53000 - MINISTERIO DO DESENVOLVIMENTO REGIONAL</w:t>
            </w:r>
          </w:p>
        </w:tc>
      </w:tr>
      <w:tr w:rsidR="00251BD1" w:rsidRPr="00103CC2" w14:paraId="23C2027C" w14:textId="77777777" w:rsidTr="001F5575">
        <w:trPr>
          <w:trHeight w:val="199"/>
          <w:jc w:val="center"/>
        </w:trPr>
        <w:tc>
          <w:tcPr>
            <w:tcW w:w="1347" w:type="dxa"/>
            <w:gridSpan w:val="3"/>
            <w:tcBorders>
              <w:top w:val="nil"/>
              <w:left w:val="nil"/>
              <w:bottom w:val="nil"/>
              <w:right w:val="nil"/>
            </w:tcBorders>
            <w:shd w:val="clear" w:color="000000" w:fill="FFFFFF"/>
            <w:vAlign w:val="center"/>
            <w:hideMark/>
          </w:tcPr>
          <w:p w14:paraId="58A0C05D"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EXERCíCIO</w:t>
            </w:r>
          </w:p>
        </w:tc>
        <w:tc>
          <w:tcPr>
            <w:tcW w:w="167" w:type="dxa"/>
            <w:tcBorders>
              <w:top w:val="nil"/>
              <w:left w:val="nil"/>
              <w:bottom w:val="nil"/>
              <w:right w:val="nil"/>
            </w:tcBorders>
            <w:shd w:val="clear" w:color="000000" w:fill="FFFFFF"/>
            <w:hideMark/>
          </w:tcPr>
          <w:p w14:paraId="2A0088F4"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2120" w:type="dxa"/>
            <w:gridSpan w:val="13"/>
            <w:tcBorders>
              <w:top w:val="nil"/>
              <w:left w:val="nil"/>
              <w:bottom w:val="nil"/>
              <w:right w:val="nil"/>
            </w:tcBorders>
            <w:shd w:val="clear" w:color="000000" w:fill="FFFFFF"/>
            <w:vAlign w:val="center"/>
            <w:hideMark/>
          </w:tcPr>
          <w:p w14:paraId="7192B1F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2020</w:t>
            </w:r>
          </w:p>
        </w:tc>
      </w:tr>
      <w:tr w:rsidR="00251BD1" w:rsidRPr="00103CC2" w14:paraId="6217B77B" w14:textId="77777777" w:rsidTr="001F5575">
        <w:trPr>
          <w:trHeight w:val="199"/>
          <w:jc w:val="center"/>
        </w:trPr>
        <w:tc>
          <w:tcPr>
            <w:tcW w:w="1347" w:type="dxa"/>
            <w:gridSpan w:val="3"/>
            <w:tcBorders>
              <w:top w:val="nil"/>
              <w:left w:val="nil"/>
              <w:bottom w:val="nil"/>
              <w:right w:val="nil"/>
            </w:tcBorders>
            <w:shd w:val="clear" w:color="000000" w:fill="FFFFFF"/>
            <w:vAlign w:val="center"/>
            <w:hideMark/>
          </w:tcPr>
          <w:p w14:paraId="64E619E6"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PERíODO</w:t>
            </w:r>
          </w:p>
        </w:tc>
        <w:tc>
          <w:tcPr>
            <w:tcW w:w="167" w:type="dxa"/>
            <w:tcBorders>
              <w:top w:val="nil"/>
              <w:left w:val="nil"/>
              <w:bottom w:val="nil"/>
              <w:right w:val="nil"/>
            </w:tcBorders>
            <w:shd w:val="clear" w:color="000000" w:fill="FFFFFF"/>
            <w:hideMark/>
          </w:tcPr>
          <w:p w14:paraId="6A7C7800"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2120" w:type="dxa"/>
            <w:gridSpan w:val="13"/>
            <w:tcBorders>
              <w:top w:val="nil"/>
              <w:left w:val="nil"/>
              <w:bottom w:val="nil"/>
              <w:right w:val="nil"/>
            </w:tcBorders>
            <w:shd w:val="clear" w:color="000000" w:fill="FFFFFF"/>
            <w:vAlign w:val="center"/>
            <w:hideMark/>
          </w:tcPr>
          <w:p w14:paraId="441483F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QUARTO TRIMESTRE (Encerrado) (Fechado)</w:t>
            </w:r>
          </w:p>
        </w:tc>
      </w:tr>
      <w:tr w:rsidR="00251BD1" w:rsidRPr="00103CC2" w14:paraId="4FB07C68" w14:textId="77777777" w:rsidTr="001F5575">
        <w:trPr>
          <w:trHeight w:val="199"/>
          <w:jc w:val="center"/>
        </w:trPr>
        <w:tc>
          <w:tcPr>
            <w:tcW w:w="1347" w:type="dxa"/>
            <w:gridSpan w:val="3"/>
            <w:tcBorders>
              <w:top w:val="nil"/>
              <w:left w:val="nil"/>
              <w:bottom w:val="nil"/>
              <w:right w:val="nil"/>
            </w:tcBorders>
            <w:shd w:val="clear" w:color="000000" w:fill="FFFFFF"/>
            <w:vAlign w:val="center"/>
            <w:hideMark/>
          </w:tcPr>
          <w:p w14:paraId="42E6C33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EMISSÃO</w:t>
            </w:r>
          </w:p>
        </w:tc>
        <w:tc>
          <w:tcPr>
            <w:tcW w:w="167" w:type="dxa"/>
            <w:tcBorders>
              <w:top w:val="nil"/>
              <w:left w:val="nil"/>
              <w:bottom w:val="nil"/>
              <w:right w:val="nil"/>
            </w:tcBorders>
            <w:shd w:val="clear" w:color="000000" w:fill="FFFFFF"/>
            <w:hideMark/>
          </w:tcPr>
          <w:p w14:paraId="29DC3DDF"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2120" w:type="dxa"/>
            <w:gridSpan w:val="13"/>
            <w:tcBorders>
              <w:top w:val="nil"/>
              <w:left w:val="nil"/>
              <w:bottom w:val="nil"/>
              <w:right w:val="nil"/>
            </w:tcBorders>
            <w:shd w:val="clear" w:color="000000" w:fill="FFFFFF"/>
            <w:vAlign w:val="center"/>
            <w:hideMark/>
          </w:tcPr>
          <w:p w14:paraId="013E5787"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20/01/2021</w:t>
            </w:r>
          </w:p>
        </w:tc>
      </w:tr>
      <w:tr w:rsidR="00251BD1" w:rsidRPr="00103CC2" w14:paraId="0E105FE7" w14:textId="77777777" w:rsidTr="001F5575">
        <w:trPr>
          <w:trHeight w:val="199"/>
          <w:jc w:val="center"/>
        </w:trPr>
        <w:tc>
          <w:tcPr>
            <w:tcW w:w="13634" w:type="dxa"/>
            <w:gridSpan w:val="17"/>
            <w:tcBorders>
              <w:top w:val="nil"/>
              <w:left w:val="nil"/>
              <w:bottom w:val="nil"/>
              <w:right w:val="nil"/>
            </w:tcBorders>
            <w:shd w:val="clear" w:color="000000" w:fill="FFFFFF"/>
            <w:vAlign w:val="center"/>
            <w:hideMark/>
          </w:tcPr>
          <w:p w14:paraId="40A17B9F"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VALORES EM UNIDADES DE REAL</w:t>
            </w:r>
          </w:p>
        </w:tc>
      </w:tr>
      <w:tr w:rsidR="00251BD1" w:rsidRPr="00103CC2" w14:paraId="020B26FB" w14:textId="77777777" w:rsidTr="001F5575">
        <w:trPr>
          <w:trHeight w:val="199"/>
          <w:jc w:val="center"/>
        </w:trPr>
        <w:tc>
          <w:tcPr>
            <w:tcW w:w="13634" w:type="dxa"/>
            <w:gridSpan w:val="17"/>
            <w:tcBorders>
              <w:top w:val="nil"/>
              <w:left w:val="nil"/>
              <w:bottom w:val="nil"/>
              <w:right w:val="nil"/>
            </w:tcBorders>
            <w:shd w:val="clear" w:color="000000" w:fill="FFFFFF"/>
            <w:hideMark/>
          </w:tcPr>
          <w:p w14:paraId="253BCBEE"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62C25E74" w14:textId="77777777" w:rsidTr="001F5575">
        <w:trPr>
          <w:trHeight w:val="199"/>
          <w:jc w:val="center"/>
        </w:trPr>
        <w:tc>
          <w:tcPr>
            <w:tcW w:w="7196" w:type="dxa"/>
            <w:gridSpan w:val="11"/>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0E32389" w14:textId="77777777" w:rsidR="00251BD1" w:rsidRPr="00103CC2" w:rsidRDefault="00251BD1" w:rsidP="00251BD1">
            <w:pPr>
              <w:widowControl/>
              <w:suppressAutoHyphens w:val="0"/>
              <w:autoSpaceDN/>
              <w:jc w:val="center"/>
              <w:textAlignment w:val="auto"/>
              <w:rPr>
                <w:rFonts w:ascii="Verdana" w:eastAsia="Times New Roman" w:hAnsi="Verdana" w:cs="Arial"/>
                <w:color w:val="000000"/>
                <w:kern w:val="0"/>
                <w:sz w:val="12"/>
                <w:szCs w:val="12"/>
                <w:lang w:eastAsia="pt-BR" w:bidi="ar-SA"/>
              </w:rPr>
            </w:pPr>
            <w:r w:rsidRPr="00103CC2">
              <w:rPr>
                <w:rFonts w:ascii="Verdana" w:eastAsia="Times New Roman" w:hAnsi="Verdana" w:cs="Arial"/>
                <w:color w:val="000000"/>
                <w:kern w:val="0"/>
                <w:sz w:val="12"/>
                <w:szCs w:val="12"/>
                <w:lang w:eastAsia="pt-BR" w:bidi="ar-SA"/>
              </w:rPr>
              <w:t>ATIVO</w:t>
            </w:r>
          </w:p>
        </w:tc>
        <w:tc>
          <w:tcPr>
            <w:tcW w:w="6438" w:type="dxa"/>
            <w:gridSpan w:val="6"/>
            <w:tcBorders>
              <w:top w:val="single" w:sz="4" w:space="0" w:color="000000"/>
              <w:left w:val="nil"/>
              <w:bottom w:val="single" w:sz="4" w:space="0" w:color="000000"/>
              <w:right w:val="single" w:sz="4" w:space="0" w:color="000000"/>
            </w:tcBorders>
            <w:shd w:val="clear" w:color="000000" w:fill="FFFFFF"/>
            <w:vAlign w:val="center"/>
            <w:hideMark/>
          </w:tcPr>
          <w:p w14:paraId="24D6E2AA" w14:textId="77777777" w:rsidR="00251BD1" w:rsidRPr="00103CC2" w:rsidRDefault="00251BD1" w:rsidP="00251BD1">
            <w:pPr>
              <w:widowControl/>
              <w:suppressAutoHyphens w:val="0"/>
              <w:autoSpaceDN/>
              <w:jc w:val="center"/>
              <w:textAlignment w:val="auto"/>
              <w:rPr>
                <w:rFonts w:ascii="Verdana" w:eastAsia="Times New Roman" w:hAnsi="Verdana" w:cs="Arial"/>
                <w:color w:val="000000"/>
                <w:kern w:val="0"/>
                <w:sz w:val="12"/>
                <w:szCs w:val="12"/>
                <w:lang w:eastAsia="pt-BR" w:bidi="ar-SA"/>
              </w:rPr>
            </w:pPr>
            <w:r w:rsidRPr="00103CC2">
              <w:rPr>
                <w:rFonts w:ascii="Verdana" w:eastAsia="Times New Roman" w:hAnsi="Verdana" w:cs="Arial"/>
                <w:color w:val="000000"/>
                <w:kern w:val="0"/>
                <w:sz w:val="12"/>
                <w:szCs w:val="12"/>
                <w:lang w:eastAsia="pt-BR" w:bidi="ar-SA"/>
              </w:rPr>
              <w:t>PASSIVO</w:t>
            </w:r>
          </w:p>
        </w:tc>
      </w:tr>
      <w:tr w:rsidR="00251BD1" w:rsidRPr="00103CC2" w14:paraId="610C1CD9" w14:textId="77777777" w:rsidTr="001F5575">
        <w:trPr>
          <w:trHeight w:val="199"/>
          <w:jc w:val="center"/>
        </w:trPr>
        <w:tc>
          <w:tcPr>
            <w:tcW w:w="3765"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AE78DF"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ESPECIFICAÇÃO</w:t>
            </w:r>
          </w:p>
        </w:tc>
        <w:tc>
          <w:tcPr>
            <w:tcW w:w="37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15FD463"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N.E.</w:t>
            </w:r>
          </w:p>
        </w:tc>
        <w:tc>
          <w:tcPr>
            <w:tcW w:w="1538"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7463977A"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2020</w:t>
            </w:r>
          </w:p>
        </w:tc>
        <w:tc>
          <w:tcPr>
            <w:tcW w:w="1519" w:type="dxa"/>
            <w:tcBorders>
              <w:top w:val="nil"/>
              <w:left w:val="nil"/>
              <w:bottom w:val="single" w:sz="4" w:space="0" w:color="000000"/>
              <w:right w:val="single" w:sz="4" w:space="0" w:color="000000"/>
            </w:tcBorders>
            <w:shd w:val="clear" w:color="000000" w:fill="FFFFFF"/>
            <w:vAlign w:val="center"/>
            <w:hideMark/>
          </w:tcPr>
          <w:p w14:paraId="2BB72865"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2019</w:t>
            </w:r>
          </w:p>
        </w:tc>
        <w:tc>
          <w:tcPr>
            <w:tcW w:w="296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C9574F2"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ESPECIFICAÇÃO</w:t>
            </w:r>
          </w:p>
        </w:tc>
        <w:tc>
          <w:tcPr>
            <w:tcW w:w="37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CB441F9"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N.E.</w:t>
            </w:r>
          </w:p>
        </w:tc>
        <w:tc>
          <w:tcPr>
            <w:tcW w:w="167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A53FA66"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2020</w:t>
            </w:r>
          </w:p>
        </w:tc>
        <w:tc>
          <w:tcPr>
            <w:tcW w:w="1426" w:type="dxa"/>
            <w:tcBorders>
              <w:top w:val="nil"/>
              <w:left w:val="nil"/>
              <w:bottom w:val="single" w:sz="4" w:space="0" w:color="000000"/>
              <w:right w:val="single" w:sz="4" w:space="0" w:color="000000"/>
            </w:tcBorders>
            <w:shd w:val="clear" w:color="000000" w:fill="FFFFFF"/>
            <w:vAlign w:val="center"/>
            <w:hideMark/>
          </w:tcPr>
          <w:p w14:paraId="72B9E827"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2019</w:t>
            </w:r>
          </w:p>
        </w:tc>
      </w:tr>
      <w:tr w:rsidR="00251BD1" w:rsidRPr="00103CC2" w14:paraId="5DCCB45E" w14:textId="77777777" w:rsidTr="001F5575">
        <w:trPr>
          <w:trHeight w:val="199"/>
          <w:jc w:val="center"/>
        </w:trPr>
        <w:tc>
          <w:tcPr>
            <w:tcW w:w="3765" w:type="dxa"/>
            <w:gridSpan w:val="6"/>
            <w:tcBorders>
              <w:top w:val="single" w:sz="4" w:space="0" w:color="000000"/>
              <w:left w:val="single" w:sz="4" w:space="0" w:color="000000"/>
              <w:bottom w:val="single" w:sz="4" w:space="0" w:color="000000"/>
              <w:right w:val="single" w:sz="4" w:space="0" w:color="000000"/>
            </w:tcBorders>
            <w:shd w:val="clear" w:color="000000" w:fill="FFFFFF"/>
            <w:hideMark/>
          </w:tcPr>
          <w:p w14:paraId="28BB9443"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ATIVO CIRCULANTE</w:t>
            </w:r>
          </w:p>
        </w:tc>
        <w:tc>
          <w:tcPr>
            <w:tcW w:w="374" w:type="dxa"/>
            <w:vMerge/>
            <w:tcBorders>
              <w:top w:val="nil"/>
              <w:left w:val="single" w:sz="4" w:space="0" w:color="000000"/>
              <w:bottom w:val="single" w:sz="4" w:space="0" w:color="000000"/>
              <w:right w:val="single" w:sz="4" w:space="0" w:color="000000"/>
            </w:tcBorders>
            <w:vAlign w:val="center"/>
            <w:hideMark/>
          </w:tcPr>
          <w:p w14:paraId="3F33A99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38" w:type="dxa"/>
            <w:gridSpan w:val="3"/>
            <w:tcBorders>
              <w:top w:val="single" w:sz="4" w:space="0" w:color="000000"/>
              <w:left w:val="nil"/>
              <w:bottom w:val="single" w:sz="4" w:space="0" w:color="000000"/>
              <w:right w:val="single" w:sz="4" w:space="0" w:color="000000"/>
            </w:tcBorders>
            <w:shd w:val="clear" w:color="000000" w:fill="FFFFFF"/>
            <w:hideMark/>
          </w:tcPr>
          <w:p w14:paraId="3BFE5BED"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65.313.254.862,17</w:t>
            </w:r>
          </w:p>
        </w:tc>
        <w:tc>
          <w:tcPr>
            <w:tcW w:w="1519" w:type="dxa"/>
            <w:tcBorders>
              <w:top w:val="nil"/>
              <w:left w:val="nil"/>
              <w:bottom w:val="single" w:sz="4" w:space="0" w:color="000000"/>
              <w:right w:val="single" w:sz="4" w:space="0" w:color="000000"/>
            </w:tcBorders>
            <w:shd w:val="clear" w:color="000000" w:fill="FFFFFF"/>
            <w:hideMark/>
          </w:tcPr>
          <w:p w14:paraId="28196AEA"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63.833.273.261,55</w:t>
            </w:r>
          </w:p>
        </w:tc>
        <w:tc>
          <w:tcPr>
            <w:tcW w:w="2968" w:type="dxa"/>
            <w:gridSpan w:val="2"/>
            <w:tcBorders>
              <w:top w:val="single" w:sz="4" w:space="0" w:color="000000"/>
              <w:left w:val="nil"/>
              <w:bottom w:val="single" w:sz="4" w:space="0" w:color="000000"/>
              <w:right w:val="single" w:sz="4" w:space="0" w:color="000000"/>
            </w:tcBorders>
            <w:shd w:val="clear" w:color="000000" w:fill="FFFFFF"/>
            <w:hideMark/>
          </w:tcPr>
          <w:p w14:paraId="72276859"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PASSIVO CIRCULANTE</w:t>
            </w:r>
          </w:p>
        </w:tc>
        <w:tc>
          <w:tcPr>
            <w:tcW w:w="374" w:type="dxa"/>
            <w:vMerge/>
            <w:tcBorders>
              <w:top w:val="nil"/>
              <w:left w:val="single" w:sz="4" w:space="0" w:color="000000"/>
              <w:bottom w:val="single" w:sz="4" w:space="0" w:color="000000"/>
              <w:right w:val="single" w:sz="4" w:space="0" w:color="000000"/>
            </w:tcBorders>
            <w:vAlign w:val="center"/>
            <w:hideMark/>
          </w:tcPr>
          <w:p w14:paraId="6CDB1A4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670" w:type="dxa"/>
            <w:gridSpan w:val="2"/>
            <w:tcBorders>
              <w:top w:val="single" w:sz="4" w:space="0" w:color="000000"/>
              <w:left w:val="nil"/>
              <w:bottom w:val="single" w:sz="4" w:space="0" w:color="000000"/>
              <w:right w:val="single" w:sz="4" w:space="0" w:color="000000"/>
            </w:tcBorders>
            <w:shd w:val="clear" w:color="000000" w:fill="FFFFFF"/>
            <w:hideMark/>
          </w:tcPr>
          <w:p w14:paraId="2C8B66F7"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10.067.110.458,91</w:t>
            </w:r>
          </w:p>
        </w:tc>
        <w:tc>
          <w:tcPr>
            <w:tcW w:w="1426" w:type="dxa"/>
            <w:tcBorders>
              <w:top w:val="nil"/>
              <w:left w:val="nil"/>
              <w:bottom w:val="single" w:sz="4" w:space="0" w:color="000000"/>
              <w:right w:val="single" w:sz="4" w:space="0" w:color="000000"/>
            </w:tcBorders>
            <w:shd w:val="clear" w:color="000000" w:fill="FFFFFF"/>
            <w:hideMark/>
          </w:tcPr>
          <w:p w14:paraId="7AF9D77C"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15.288.112.611,56</w:t>
            </w:r>
          </w:p>
        </w:tc>
      </w:tr>
      <w:tr w:rsidR="00251BD1" w:rsidRPr="00103CC2" w14:paraId="6B691DAB"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113071F6"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Caixa e Equivalentes de Caixa</w:t>
            </w:r>
          </w:p>
        </w:tc>
        <w:tc>
          <w:tcPr>
            <w:tcW w:w="374" w:type="dxa"/>
            <w:tcBorders>
              <w:top w:val="nil"/>
              <w:left w:val="nil"/>
              <w:bottom w:val="nil"/>
              <w:right w:val="single" w:sz="4" w:space="0" w:color="000000"/>
            </w:tcBorders>
            <w:shd w:val="clear" w:color="000000" w:fill="FFFFFF"/>
            <w:hideMark/>
          </w:tcPr>
          <w:p w14:paraId="0A90AEDB"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6B90BBC8"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29.450.351.428,98</w:t>
            </w:r>
          </w:p>
        </w:tc>
        <w:tc>
          <w:tcPr>
            <w:tcW w:w="1519" w:type="dxa"/>
            <w:tcBorders>
              <w:top w:val="nil"/>
              <w:left w:val="nil"/>
              <w:bottom w:val="nil"/>
              <w:right w:val="single" w:sz="4" w:space="0" w:color="000000"/>
            </w:tcBorders>
            <w:shd w:val="clear" w:color="000000" w:fill="FFFFFF"/>
            <w:hideMark/>
          </w:tcPr>
          <w:p w14:paraId="2A80D8A6"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38.418.290.425,43</w:t>
            </w:r>
          </w:p>
        </w:tc>
        <w:tc>
          <w:tcPr>
            <w:tcW w:w="2968" w:type="dxa"/>
            <w:gridSpan w:val="2"/>
            <w:tcBorders>
              <w:top w:val="nil"/>
              <w:left w:val="nil"/>
              <w:bottom w:val="nil"/>
              <w:right w:val="single" w:sz="4" w:space="0" w:color="000000"/>
            </w:tcBorders>
            <w:shd w:val="clear" w:color="000000" w:fill="FFFFFF"/>
            <w:hideMark/>
          </w:tcPr>
          <w:p w14:paraId="2C042ED9"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Obrigações Trab., Prev. e Assist. a Pagar a Curto Prazo</w:t>
            </w:r>
          </w:p>
        </w:tc>
        <w:tc>
          <w:tcPr>
            <w:tcW w:w="374" w:type="dxa"/>
            <w:tcBorders>
              <w:top w:val="nil"/>
              <w:left w:val="nil"/>
              <w:bottom w:val="nil"/>
              <w:right w:val="single" w:sz="4" w:space="0" w:color="000000"/>
            </w:tcBorders>
            <w:shd w:val="clear" w:color="000000" w:fill="FFFFFF"/>
            <w:hideMark/>
          </w:tcPr>
          <w:p w14:paraId="37860CC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2CA609BD"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243.118.450,74</w:t>
            </w:r>
          </w:p>
        </w:tc>
        <w:tc>
          <w:tcPr>
            <w:tcW w:w="1426" w:type="dxa"/>
            <w:tcBorders>
              <w:top w:val="nil"/>
              <w:left w:val="nil"/>
              <w:bottom w:val="nil"/>
              <w:right w:val="single" w:sz="4" w:space="0" w:color="000000"/>
            </w:tcBorders>
            <w:shd w:val="clear" w:color="000000" w:fill="FFFFFF"/>
            <w:hideMark/>
          </w:tcPr>
          <w:p w14:paraId="78D05566"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251.485.946,64</w:t>
            </w:r>
          </w:p>
        </w:tc>
      </w:tr>
      <w:tr w:rsidR="00251BD1" w:rsidRPr="00103CC2" w14:paraId="211389C2"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3AA40D73"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Créditos a Curto Prazo</w:t>
            </w:r>
          </w:p>
        </w:tc>
        <w:tc>
          <w:tcPr>
            <w:tcW w:w="374" w:type="dxa"/>
            <w:tcBorders>
              <w:top w:val="nil"/>
              <w:left w:val="nil"/>
              <w:bottom w:val="nil"/>
              <w:right w:val="single" w:sz="4" w:space="0" w:color="000000"/>
            </w:tcBorders>
            <w:shd w:val="clear" w:color="000000" w:fill="FFFFFF"/>
            <w:hideMark/>
          </w:tcPr>
          <w:p w14:paraId="42A4D702"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48D94696"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35.788.099.677,74</w:t>
            </w:r>
          </w:p>
        </w:tc>
        <w:tc>
          <w:tcPr>
            <w:tcW w:w="1519" w:type="dxa"/>
            <w:tcBorders>
              <w:top w:val="nil"/>
              <w:left w:val="nil"/>
              <w:bottom w:val="nil"/>
              <w:right w:val="single" w:sz="4" w:space="0" w:color="000000"/>
            </w:tcBorders>
            <w:shd w:val="clear" w:color="000000" w:fill="FFFFFF"/>
            <w:hideMark/>
          </w:tcPr>
          <w:p w14:paraId="5275C0AF"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17.591.558.774,07</w:t>
            </w:r>
          </w:p>
        </w:tc>
        <w:tc>
          <w:tcPr>
            <w:tcW w:w="2968" w:type="dxa"/>
            <w:gridSpan w:val="2"/>
            <w:tcBorders>
              <w:top w:val="nil"/>
              <w:left w:val="nil"/>
              <w:bottom w:val="nil"/>
              <w:right w:val="single" w:sz="4" w:space="0" w:color="000000"/>
            </w:tcBorders>
            <w:shd w:val="clear" w:color="000000" w:fill="FFFFFF"/>
            <w:hideMark/>
          </w:tcPr>
          <w:p w14:paraId="0A6DCB66"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Empréstimos e Financiamentos a Curto Prazo</w:t>
            </w:r>
          </w:p>
        </w:tc>
        <w:tc>
          <w:tcPr>
            <w:tcW w:w="374" w:type="dxa"/>
            <w:tcBorders>
              <w:top w:val="nil"/>
              <w:left w:val="nil"/>
              <w:bottom w:val="nil"/>
              <w:right w:val="single" w:sz="4" w:space="0" w:color="000000"/>
            </w:tcBorders>
            <w:shd w:val="clear" w:color="000000" w:fill="FFFFFF"/>
            <w:hideMark/>
          </w:tcPr>
          <w:p w14:paraId="3120C905"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51CC8ACC"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5.840.945,29</w:t>
            </w:r>
          </w:p>
        </w:tc>
        <w:tc>
          <w:tcPr>
            <w:tcW w:w="1426" w:type="dxa"/>
            <w:tcBorders>
              <w:top w:val="nil"/>
              <w:left w:val="nil"/>
              <w:bottom w:val="nil"/>
              <w:right w:val="single" w:sz="4" w:space="0" w:color="000000"/>
            </w:tcBorders>
            <w:shd w:val="clear" w:color="000000" w:fill="FFFFFF"/>
            <w:hideMark/>
          </w:tcPr>
          <w:p w14:paraId="2EF5A6FA"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4.776.032,86</w:t>
            </w:r>
          </w:p>
        </w:tc>
      </w:tr>
      <w:tr w:rsidR="00251BD1" w:rsidRPr="00103CC2" w14:paraId="575E4C8E"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05988F2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Clientes</w:t>
            </w:r>
          </w:p>
        </w:tc>
        <w:tc>
          <w:tcPr>
            <w:tcW w:w="374" w:type="dxa"/>
            <w:tcBorders>
              <w:top w:val="nil"/>
              <w:left w:val="nil"/>
              <w:bottom w:val="nil"/>
              <w:right w:val="single" w:sz="4" w:space="0" w:color="000000"/>
            </w:tcBorders>
            <w:shd w:val="clear" w:color="000000" w:fill="FFFFFF"/>
            <w:hideMark/>
          </w:tcPr>
          <w:p w14:paraId="48B87D1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68A2F45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85.664.035,11</w:t>
            </w:r>
          </w:p>
        </w:tc>
        <w:tc>
          <w:tcPr>
            <w:tcW w:w="1519" w:type="dxa"/>
            <w:tcBorders>
              <w:top w:val="nil"/>
              <w:left w:val="nil"/>
              <w:bottom w:val="nil"/>
              <w:right w:val="single" w:sz="4" w:space="0" w:color="000000"/>
            </w:tcBorders>
            <w:shd w:val="clear" w:color="000000" w:fill="FFFFFF"/>
            <w:hideMark/>
          </w:tcPr>
          <w:p w14:paraId="4E841DB8"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86.454.638,09</w:t>
            </w:r>
          </w:p>
        </w:tc>
        <w:tc>
          <w:tcPr>
            <w:tcW w:w="2968" w:type="dxa"/>
            <w:gridSpan w:val="2"/>
            <w:tcBorders>
              <w:top w:val="nil"/>
              <w:left w:val="nil"/>
              <w:bottom w:val="nil"/>
              <w:right w:val="single" w:sz="4" w:space="0" w:color="000000"/>
            </w:tcBorders>
            <w:shd w:val="clear" w:color="000000" w:fill="FFFFFF"/>
            <w:hideMark/>
          </w:tcPr>
          <w:p w14:paraId="3D750891"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Fornecedores e Contas a Pagar a Curto Prazo</w:t>
            </w:r>
          </w:p>
        </w:tc>
        <w:tc>
          <w:tcPr>
            <w:tcW w:w="374" w:type="dxa"/>
            <w:tcBorders>
              <w:top w:val="nil"/>
              <w:left w:val="nil"/>
              <w:bottom w:val="nil"/>
              <w:right w:val="single" w:sz="4" w:space="0" w:color="000000"/>
            </w:tcBorders>
            <w:shd w:val="clear" w:color="000000" w:fill="FFFFFF"/>
            <w:hideMark/>
          </w:tcPr>
          <w:p w14:paraId="4DD66BA8"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35ECE2B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225.260.274,83</w:t>
            </w:r>
          </w:p>
        </w:tc>
        <w:tc>
          <w:tcPr>
            <w:tcW w:w="1426" w:type="dxa"/>
            <w:tcBorders>
              <w:top w:val="nil"/>
              <w:left w:val="nil"/>
              <w:bottom w:val="nil"/>
              <w:right w:val="single" w:sz="4" w:space="0" w:color="000000"/>
            </w:tcBorders>
            <w:shd w:val="clear" w:color="000000" w:fill="FFFFFF"/>
            <w:hideMark/>
          </w:tcPr>
          <w:p w14:paraId="5BC2B31D"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174.297.773,36</w:t>
            </w:r>
          </w:p>
        </w:tc>
      </w:tr>
      <w:tr w:rsidR="00251BD1" w:rsidRPr="00103CC2" w14:paraId="041DD243"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57ABC87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Empréstimos e Financiamentos Concedidos</w:t>
            </w:r>
          </w:p>
        </w:tc>
        <w:tc>
          <w:tcPr>
            <w:tcW w:w="374" w:type="dxa"/>
            <w:tcBorders>
              <w:top w:val="nil"/>
              <w:left w:val="nil"/>
              <w:bottom w:val="nil"/>
              <w:right w:val="single" w:sz="4" w:space="0" w:color="000000"/>
            </w:tcBorders>
            <w:shd w:val="clear" w:color="000000" w:fill="FFFFFF"/>
            <w:hideMark/>
          </w:tcPr>
          <w:p w14:paraId="74355D41"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01</w:t>
            </w:r>
          </w:p>
        </w:tc>
        <w:tc>
          <w:tcPr>
            <w:tcW w:w="1538" w:type="dxa"/>
            <w:gridSpan w:val="3"/>
            <w:tcBorders>
              <w:top w:val="nil"/>
              <w:left w:val="nil"/>
              <w:bottom w:val="nil"/>
              <w:right w:val="single" w:sz="4" w:space="0" w:color="000000"/>
            </w:tcBorders>
            <w:shd w:val="clear" w:color="000000" w:fill="FFFFFF"/>
            <w:hideMark/>
          </w:tcPr>
          <w:p w14:paraId="3E478E6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28.082.653.631,73</w:t>
            </w:r>
          </w:p>
        </w:tc>
        <w:tc>
          <w:tcPr>
            <w:tcW w:w="1519" w:type="dxa"/>
            <w:tcBorders>
              <w:top w:val="nil"/>
              <w:left w:val="nil"/>
              <w:bottom w:val="nil"/>
              <w:right w:val="single" w:sz="4" w:space="0" w:color="000000"/>
            </w:tcBorders>
            <w:shd w:val="clear" w:color="000000" w:fill="FFFFFF"/>
            <w:hideMark/>
          </w:tcPr>
          <w:p w14:paraId="5A2E248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18.507.407.956,76</w:t>
            </w:r>
          </w:p>
        </w:tc>
        <w:tc>
          <w:tcPr>
            <w:tcW w:w="2968" w:type="dxa"/>
            <w:gridSpan w:val="2"/>
            <w:tcBorders>
              <w:top w:val="nil"/>
              <w:left w:val="nil"/>
              <w:bottom w:val="nil"/>
              <w:right w:val="single" w:sz="4" w:space="0" w:color="000000"/>
            </w:tcBorders>
            <w:shd w:val="clear" w:color="000000" w:fill="FFFFFF"/>
            <w:hideMark/>
          </w:tcPr>
          <w:p w14:paraId="373C7AE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Obrigações Fiscais a Curto Prazo</w:t>
            </w:r>
          </w:p>
        </w:tc>
        <w:tc>
          <w:tcPr>
            <w:tcW w:w="374" w:type="dxa"/>
            <w:tcBorders>
              <w:top w:val="nil"/>
              <w:left w:val="nil"/>
              <w:bottom w:val="nil"/>
              <w:right w:val="single" w:sz="4" w:space="0" w:color="000000"/>
            </w:tcBorders>
            <w:shd w:val="clear" w:color="000000" w:fill="FFFFFF"/>
            <w:hideMark/>
          </w:tcPr>
          <w:p w14:paraId="2644CA2A"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380C6E9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253.829,50</w:t>
            </w:r>
          </w:p>
        </w:tc>
        <w:tc>
          <w:tcPr>
            <w:tcW w:w="1426" w:type="dxa"/>
            <w:tcBorders>
              <w:top w:val="nil"/>
              <w:left w:val="nil"/>
              <w:bottom w:val="nil"/>
              <w:right w:val="single" w:sz="4" w:space="0" w:color="000000"/>
            </w:tcBorders>
            <w:shd w:val="clear" w:color="000000" w:fill="FFFFFF"/>
            <w:hideMark/>
          </w:tcPr>
          <w:p w14:paraId="4FFBA60B"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338.215,77</w:t>
            </w:r>
          </w:p>
        </w:tc>
      </w:tr>
      <w:tr w:rsidR="00251BD1" w:rsidRPr="00103CC2" w14:paraId="053D0639"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0717F4C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Dívida Ativa Não Tributária</w:t>
            </w:r>
          </w:p>
        </w:tc>
        <w:tc>
          <w:tcPr>
            <w:tcW w:w="374" w:type="dxa"/>
            <w:tcBorders>
              <w:top w:val="nil"/>
              <w:left w:val="nil"/>
              <w:bottom w:val="nil"/>
              <w:right w:val="single" w:sz="4" w:space="0" w:color="000000"/>
            </w:tcBorders>
            <w:shd w:val="clear" w:color="000000" w:fill="FFFFFF"/>
            <w:hideMark/>
          </w:tcPr>
          <w:p w14:paraId="3D168F7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2589ECB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17.105.263,65</w:t>
            </w:r>
          </w:p>
        </w:tc>
        <w:tc>
          <w:tcPr>
            <w:tcW w:w="1519" w:type="dxa"/>
            <w:tcBorders>
              <w:top w:val="nil"/>
              <w:left w:val="nil"/>
              <w:bottom w:val="nil"/>
              <w:right w:val="single" w:sz="4" w:space="0" w:color="000000"/>
            </w:tcBorders>
            <w:shd w:val="clear" w:color="000000" w:fill="FFFFFF"/>
            <w:hideMark/>
          </w:tcPr>
          <w:p w14:paraId="374C172E"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16.798.018,86</w:t>
            </w:r>
          </w:p>
        </w:tc>
        <w:tc>
          <w:tcPr>
            <w:tcW w:w="2968" w:type="dxa"/>
            <w:gridSpan w:val="2"/>
            <w:tcBorders>
              <w:top w:val="nil"/>
              <w:left w:val="nil"/>
              <w:bottom w:val="nil"/>
              <w:right w:val="single" w:sz="4" w:space="0" w:color="000000"/>
            </w:tcBorders>
            <w:shd w:val="clear" w:color="000000" w:fill="FFFFFF"/>
            <w:hideMark/>
          </w:tcPr>
          <w:p w14:paraId="7D221799"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Obrigações de Repartição a Outros Entes</w:t>
            </w:r>
          </w:p>
        </w:tc>
        <w:tc>
          <w:tcPr>
            <w:tcW w:w="374" w:type="dxa"/>
            <w:tcBorders>
              <w:top w:val="nil"/>
              <w:left w:val="nil"/>
              <w:bottom w:val="nil"/>
              <w:right w:val="single" w:sz="4" w:space="0" w:color="000000"/>
            </w:tcBorders>
            <w:shd w:val="clear" w:color="000000" w:fill="FFFFFF"/>
            <w:hideMark/>
          </w:tcPr>
          <w:p w14:paraId="1FF04B42"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6083F46C"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w:t>
            </w:r>
          </w:p>
        </w:tc>
        <w:tc>
          <w:tcPr>
            <w:tcW w:w="1426" w:type="dxa"/>
            <w:tcBorders>
              <w:top w:val="nil"/>
              <w:left w:val="nil"/>
              <w:bottom w:val="nil"/>
              <w:right w:val="single" w:sz="4" w:space="0" w:color="000000"/>
            </w:tcBorders>
            <w:shd w:val="clear" w:color="000000" w:fill="FFFFFF"/>
            <w:hideMark/>
          </w:tcPr>
          <w:p w14:paraId="4144BE15"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w:t>
            </w:r>
          </w:p>
        </w:tc>
      </w:tr>
      <w:tr w:rsidR="00251BD1" w:rsidRPr="00103CC2" w14:paraId="6CE73D19"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11245CF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Demais Créditos e Valores</w:t>
            </w:r>
          </w:p>
        </w:tc>
        <w:tc>
          <w:tcPr>
            <w:tcW w:w="374" w:type="dxa"/>
            <w:tcBorders>
              <w:top w:val="nil"/>
              <w:left w:val="nil"/>
              <w:bottom w:val="nil"/>
              <w:right w:val="single" w:sz="4" w:space="0" w:color="000000"/>
            </w:tcBorders>
            <w:shd w:val="clear" w:color="000000" w:fill="FFFFFF"/>
            <w:hideMark/>
          </w:tcPr>
          <w:p w14:paraId="3B0F930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5F8738F8"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8.702.798.743,24</w:t>
            </w:r>
          </w:p>
        </w:tc>
        <w:tc>
          <w:tcPr>
            <w:tcW w:w="1519" w:type="dxa"/>
            <w:tcBorders>
              <w:top w:val="nil"/>
              <w:left w:val="nil"/>
              <w:bottom w:val="nil"/>
              <w:right w:val="single" w:sz="4" w:space="0" w:color="000000"/>
            </w:tcBorders>
            <w:shd w:val="clear" w:color="000000" w:fill="FFFFFF"/>
            <w:hideMark/>
          </w:tcPr>
          <w:p w14:paraId="61A1775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tcBorders>
              <w:top w:val="nil"/>
              <w:left w:val="nil"/>
              <w:bottom w:val="nil"/>
              <w:right w:val="single" w:sz="4" w:space="0" w:color="000000"/>
            </w:tcBorders>
            <w:shd w:val="clear" w:color="000000" w:fill="FFFFFF"/>
            <w:hideMark/>
          </w:tcPr>
          <w:p w14:paraId="0A6CC22B"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Provisões a Curto Prazo</w:t>
            </w:r>
          </w:p>
        </w:tc>
        <w:tc>
          <w:tcPr>
            <w:tcW w:w="374" w:type="dxa"/>
            <w:tcBorders>
              <w:top w:val="nil"/>
              <w:left w:val="nil"/>
              <w:bottom w:val="nil"/>
              <w:right w:val="single" w:sz="4" w:space="0" w:color="000000"/>
            </w:tcBorders>
            <w:shd w:val="clear" w:color="000000" w:fill="FFFFFF"/>
            <w:hideMark/>
          </w:tcPr>
          <w:p w14:paraId="09619283"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04</w:t>
            </w:r>
          </w:p>
        </w:tc>
        <w:tc>
          <w:tcPr>
            <w:tcW w:w="1670" w:type="dxa"/>
            <w:gridSpan w:val="2"/>
            <w:tcBorders>
              <w:top w:val="nil"/>
              <w:left w:val="nil"/>
              <w:bottom w:val="nil"/>
              <w:right w:val="single" w:sz="4" w:space="0" w:color="000000"/>
            </w:tcBorders>
            <w:shd w:val="clear" w:color="000000" w:fill="FFFFFF"/>
            <w:hideMark/>
          </w:tcPr>
          <w:p w14:paraId="7F3E697A"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322.518.690,30</w:t>
            </w:r>
          </w:p>
        </w:tc>
        <w:tc>
          <w:tcPr>
            <w:tcW w:w="1426" w:type="dxa"/>
            <w:tcBorders>
              <w:top w:val="nil"/>
              <w:left w:val="nil"/>
              <w:bottom w:val="nil"/>
              <w:right w:val="single" w:sz="4" w:space="0" w:color="000000"/>
            </w:tcBorders>
            <w:shd w:val="clear" w:color="000000" w:fill="FFFFFF"/>
            <w:hideMark/>
          </w:tcPr>
          <w:p w14:paraId="18616EE0"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3.219.044.944,85</w:t>
            </w:r>
          </w:p>
        </w:tc>
      </w:tr>
      <w:tr w:rsidR="00251BD1" w:rsidRPr="00103CC2" w14:paraId="09AC378B"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7E1FCAF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Ajustes para Perdas em Créditos a Curto Prazo</w:t>
            </w:r>
          </w:p>
        </w:tc>
        <w:tc>
          <w:tcPr>
            <w:tcW w:w="374" w:type="dxa"/>
            <w:tcBorders>
              <w:top w:val="nil"/>
              <w:left w:val="nil"/>
              <w:bottom w:val="nil"/>
              <w:right w:val="single" w:sz="4" w:space="0" w:color="000000"/>
            </w:tcBorders>
            <w:shd w:val="clear" w:color="000000" w:fill="FFFFFF"/>
            <w:hideMark/>
          </w:tcPr>
          <w:p w14:paraId="24BB1CC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394B180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-1.100.121.995,99</w:t>
            </w:r>
          </w:p>
        </w:tc>
        <w:tc>
          <w:tcPr>
            <w:tcW w:w="1519" w:type="dxa"/>
            <w:tcBorders>
              <w:top w:val="nil"/>
              <w:left w:val="nil"/>
              <w:bottom w:val="nil"/>
              <w:right w:val="single" w:sz="4" w:space="0" w:color="000000"/>
            </w:tcBorders>
            <w:shd w:val="clear" w:color="000000" w:fill="FFFFFF"/>
            <w:hideMark/>
          </w:tcPr>
          <w:p w14:paraId="10E52D9E"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-1.019.101.839,64</w:t>
            </w:r>
          </w:p>
        </w:tc>
        <w:tc>
          <w:tcPr>
            <w:tcW w:w="2968" w:type="dxa"/>
            <w:gridSpan w:val="2"/>
            <w:tcBorders>
              <w:top w:val="nil"/>
              <w:left w:val="nil"/>
              <w:bottom w:val="nil"/>
              <w:right w:val="single" w:sz="4" w:space="0" w:color="000000"/>
            </w:tcBorders>
            <w:shd w:val="clear" w:color="000000" w:fill="FFFFFF"/>
            <w:hideMark/>
          </w:tcPr>
          <w:p w14:paraId="4313C9E9"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Demais Obrigações a Curto Prazo</w:t>
            </w:r>
          </w:p>
        </w:tc>
        <w:tc>
          <w:tcPr>
            <w:tcW w:w="374" w:type="dxa"/>
            <w:tcBorders>
              <w:top w:val="nil"/>
              <w:left w:val="nil"/>
              <w:bottom w:val="nil"/>
              <w:right w:val="single" w:sz="4" w:space="0" w:color="000000"/>
            </w:tcBorders>
            <w:shd w:val="clear" w:color="000000" w:fill="FFFFFF"/>
            <w:hideMark/>
          </w:tcPr>
          <w:p w14:paraId="6935BC5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4D88625A"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9.270.118.268,25</w:t>
            </w:r>
          </w:p>
        </w:tc>
        <w:tc>
          <w:tcPr>
            <w:tcW w:w="1426" w:type="dxa"/>
            <w:tcBorders>
              <w:top w:val="nil"/>
              <w:left w:val="nil"/>
              <w:bottom w:val="nil"/>
              <w:right w:val="single" w:sz="4" w:space="0" w:color="000000"/>
            </w:tcBorders>
            <w:shd w:val="clear" w:color="000000" w:fill="FFFFFF"/>
            <w:hideMark/>
          </w:tcPr>
          <w:p w14:paraId="0431E85F"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11.638.169.698,08</w:t>
            </w:r>
          </w:p>
        </w:tc>
      </w:tr>
      <w:tr w:rsidR="00251BD1" w:rsidRPr="00103CC2" w14:paraId="6E120DDE"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2EDB775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Demais Créditos e Valores a Curto Prazo</w:t>
            </w:r>
          </w:p>
        </w:tc>
        <w:tc>
          <w:tcPr>
            <w:tcW w:w="374" w:type="dxa"/>
            <w:tcBorders>
              <w:top w:val="nil"/>
              <w:left w:val="nil"/>
              <w:bottom w:val="nil"/>
              <w:right w:val="single" w:sz="4" w:space="0" w:color="000000"/>
            </w:tcBorders>
            <w:shd w:val="clear" w:color="000000" w:fill="FFFFFF"/>
            <w:hideMark/>
          </w:tcPr>
          <w:p w14:paraId="347ED02D"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00051A5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19" w:type="dxa"/>
            <w:tcBorders>
              <w:top w:val="nil"/>
              <w:left w:val="nil"/>
              <w:bottom w:val="nil"/>
              <w:right w:val="single" w:sz="4" w:space="0" w:color="000000"/>
            </w:tcBorders>
            <w:shd w:val="clear" w:color="000000" w:fill="FFFFFF"/>
            <w:hideMark/>
          </w:tcPr>
          <w:p w14:paraId="5ECFC308"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7.749.272.344,10</w:t>
            </w:r>
          </w:p>
        </w:tc>
        <w:tc>
          <w:tcPr>
            <w:tcW w:w="2968" w:type="dxa"/>
            <w:gridSpan w:val="2"/>
            <w:tcBorders>
              <w:top w:val="nil"/>
              <w:left w:val="nil"/>
              <w:bottom w:val="nil"/>
              <w:right w:val="single" w:sz="4" w:space="0" w:color="000000"/>
            </w:tcBorders>
            <w:shd w:val="clear" w:color="000000" w:fill="FFFFFF"/>
            <w:hideMark/>
          </w:tcPr>
          <w:p w14:paraId="637A04C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5B169CE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0D8D92B3"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tcBorders>
              <w:top w:val="nil"/>
              <w:left w:val="nil"/>
              <w:bottom w:val="nil"/>
              <w:right w:val="single" w:sz="4" w:space="0" w:color="000000"/>
            </w:tcBorders>
            <w:shd w:val="clear" w:color="000000" w:fill="FFFFFF"/>
            <w:hideMark/>
          </w:tcPr>
          <w:p w14:paraId="0B41958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7CBA4E28"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45AAF5D5"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Investimentos e Aplicações Temporárias a Curto Prazo</w:t>
            </w:r>
          </w:p>
        </w:tc>
        <w:tc>
          <w:tcPr>
            <w:tcW w:w="374" w:type="dxa"/>
            <w:tcBorders>
              <w:top w:val="nil"/>
              <w:left w:val="nil"/>
              <w:bottom w:val="nil"/>
              <w:right w:val="single" w:sz="4" w:space="0" w:color="000000"/>
            </w:tcBorders>
            <w:shd w:val="clear" w:color="000000" w:fill="FFFFFF"/>
            <w:hideMark/>
          </w:tcPr>
          <w:p w14:paraId="4AA5D3B4"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56B78CBC"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29.850,20</w:t>
            </w:r>
          </w:p>
        </w:tc>
        <w:tc>
          <w:tcPr>
            <w:tcW w:w="1519" w:type="dxa"/>
            <w:tcBorders>
              <w:top w:val="nil"/>
              <w:left w:val="nil"/>
              <w:bottom w:val="nil"/>
              <w:right w:val="single" w:sz="4" w:space="0" w:color="000000"/>
            </w:tcBorders>
            <w:shd w:val="clear" w:color="000000" w:fill="FFFFFF"/>
            <w:hideMark/>
          </w:tcPr>
          <w:p w14:paraId="5A9EFB2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43.536,82</w:t>
            </w:r>
          </w:p>
        </w:tc>
        <w:tc>
          <w:tcPr>
            <w:tcW w:w="2968" w:type="dxa"/>
            <w:gridSpan w:val="2"/>
            <w:tcBorders>
              <w:top w:val="nil"/>
              <w:left w:val="nil"/>
              <w:bottom w:val="nil"/>
              <w:right w:val="single" w:sz="4" w:space="0" w:color="000000"/>
            </w:tcBorders>
            <w:shd w:val="clear" w:color="000000" w:fill="FFFFFF"/>
            <w:hideMark/>
          </w:tcPr>
          <w:p w14:paraId="20163F3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108318D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105CA203"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tcBorders>
              <w:top w:val="nil"/>
              <w:left w:val="nil"/>
              <w:bottom w:val="nil"/>
              <w:right w:val="single" w:sz="4" w:space="0" w:color="000000"/>
            </w:tcBorders>
            <w:shd w:val="clear" w:color="000000" w:fill="FFFFFF"/>
            <w:hideMark/>
          </w:tcPr>
          <w:p w14:paraId="4CBFFF8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4C127E09"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12554141"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Estoques</w:t>
            </w:r>
          </w:p>
        </w:tc>
        <w:tc>
          <w:tcPr>
            <w:tcW w:w="374" w:type="dxa"/>
            <w:tcBorders>
              <w:top w:val="nil"/>
              <w:left w:val="nil"/>
              <w:bottom w:val="nil"/>
              <w:right w:val="single" w:sz="4" w:space="0" w:color="000000"/>
            </w:tcBorders>
            <w:shd w:val="clear" w:color="000000" w:fill="FFFFFF"/>
            <w:hideMark/>
          </w:tcPr>
          <w:p w14:paraId="6BB523AB"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1F2634C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74.433.850,99</w:t>
            </w:r>
          </w:p>
        </w:tc>
        <w:tc>
          <w:tcPr>
            <w:tcW w:w="1519" w:type="dxa"/>
            <w:tcBorders>
              <w:top w:val="nil"/>
              <w:left w:val="nil"/>
              <w:bottom w:val="nil"/>
              <w:right w:val="single" w:sz="4" w:space="0" w:color="000000"/>
            </w:tcBorders>
            <w:shd w:val="clear" w:color="000000" w:fill="FFFFFF"/>
            <w:hideMark/>
          </w:tcPr>
          <w:p w14:paraId="17C3B89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73.547.710,71</w:t>
            </w:r>
          </w:p>
        </w:tc>
        <w:tc>
          <w:tcPr>
            <w:tcW w:w="2968" w:type="dxa"/>
            <w:gridSpan w:val="2"/>
            <w:tcBorders>
              <w:top w:val="nil"/>
              <w:left w:val="nil"/>
              <w:bottom w:val="nil"/>
              <w:right w:val="single" w:sz="4" w:space="0" w:color="000000"/>
            </w:tcBorders>
            <w:shd w:val="clear" w:color="000000" w:fill="FFFFFF"/>
            <w:hideMark/>
          </w:tcPr>
          <w:p w14:paraId="4A8D743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2FAF2E8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6E98C9C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tcBorders>
              <w:top w:val="nil"/>
              <w:left w:val="nil"/>
              <w:bottom w:val="nil"/>
              <w:right w:val="single" w:sz="4" w:space="0" w:color="000000"/>
            </w:tcBorders>
            <w:shd w:val="clear" w:color="000000" w:fill="FFFFFF"/>
            <w:hideMark/>
          </w:tcPr>
          <w:p w14:paraId="7680F3B6"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65154F34"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7C79EEEA"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Ativos Não Circulantes Mantidos para Venda</w:t>
            </w:r>
          </w:p>
        </w:tc>
        <w:tc>
          <w:tcPr>
            <w:tcW w:w="374" w:type="dxa"/>
            <w:tcBorders>
              <w:top w:val="nil"/>
              <w:left w:val="nil"/>
              <w:bottom w:val="nil"/>
              <w:right w:val="single" w:sz="4" w:space="0" w:color="000000"/>
            </w:tcBorders>
            <w:shd w:val="clear" w:color="000000" w:fill="FFFFFF"/>
            <w:hideMark/>
          </w:tcPr>
          <w:p w14:paraId="6CCF8A6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70FE8EE0"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w:t>
            </w:r>
          </w:p>
        </w:tc>
        <w:tc>
          <w:tcPr>
            <w:tcW w:w="1519" w:type="dxa"/>
            <w:tcBorders>
              <w:top w:val="nil"/>
              <w:left w:val="nil"/>
              <w:bottom w:val="nil"/>
              <w:right w:val="single" w:sz="4" w:space="0" w:color="000000"/>
            </w:tcBorders>
            <w:shd w:val="clear" w:color="000000" w:fill="FFFFFF"/>
            <w:hideMark/>
          </w:tcPr>
          <w:p w14:paraId="70BC1D62"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w:t>
            </w:r>
          </w:p>
        </w:tc>
        <w:tc>
          <w:tcPr>
            <w:tcW w:w="2968" w:type="dxa"/>
            <w:gridSpan w:val="2"/>
            <w:tcBorders>
              <w:top w:val="nil"/>
              <w:left w:val="nil"/>
              <w:bottom w:val="nil"/>
              <w:right w:val="single" w:sz="4" w:space="0" w:color="000000"/>
            </w:tcBorders>
            <w:shd w:val="clear" w:color="000000" w:fill="FFFFFF"/>
            <w:hideMark/>
          </w:tcPr>
          <w:p w14:paraId="7BC03C1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18CE82E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45804FC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tcBorders>
              <w:top w:val="nil"/>
              <w:left w:val="nil"/>
              <w:bottom w:val="nil"/>
              <w:right w:val="single" w:sz="4" w:space="0" w:color="000000"/>
            </w:tcBorders>
            <w:shd w:val="clear" w:color="000000" w:fill="FFFFFF"/>
            <w:hideMark/>
          </w:tcPr>
          <w:p w14:paraId="66805A4E"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71100FB4"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7D8C7B2B"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w:t>
            </w:r>
            <w:proofErr w:type="spellStart"/>
            <w:r w:rsidRPr="00103CC2">
              <w:rPr>
                <w:rFonts w:ascii="Arial" w:eastAsia="Times New Roman" w:hAnsi="Arial" w:cs="Arial"/>
                <w:b/>
                <w:bCs/>
                <w:color w:val="000000"/>
                <w:kern w:val="0"/>
                <w:sz w:val="12"/>
                <w:szCs w:val="12"/>
                <w:lang w:eastAsia="pt-BR" w:bidi="ar-SA"/>
              </w:rPr>
              <w:t>VPDs</w:t>
            </w:r>
            <w:proofErr w:type="spellEnd"/>
            <w:r w:rsidRPr="00103CC2">
              <w:rPr>
                <w:rFonts w:ascii="Arial" w:eastAsia="Times New Roman" w:hAnsi="Arial" w:cs="Arial"/>
                <w:b/>
                <w:bCs/>
                <w:color w:val="000000"/>
                <w:kern w:val="0"/>
                <w:sz w:val="12"/>
                <w:szCs w:val="12"/>
                <w:lang w:eastAsia="pt-BR" w:bidi="ar-SA"/>
              </w:rPr>
              <w:t xml:space="preserve"> Pagas Antecipadamente</w:t>
            </w:r>
          </w:p>
        </w:tc>
        <w:tc>
          <w:tcPr>
            <w:tcW w:w="374" w:type="dxa"/>
            <w:tcBorders>
              <w:top w:val="nil"/>
              <w:left w:val="nil"/>
              <w:bottom w:val="nil"/>
              <w:right w:val="single" w:sz="4" w:space="0" w:color="000000"/>
            </w:tcBorders>
            <w:shd w:val="clear" w:color="000000" w:fill="FFFFFF"/>
            <w:hideMark/>
          </w:tcPr>
          <w:p w14:paraId="115E1570"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6169240E"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340.054,26</w:t>
            </w:r>
          </w:p>
        </w:tc>
        <w:tc>
          <w:tcPr>
            <w:tcW w:w="1519" w:type="dxa"/>
            <w:tcBorders>
              <w:top w:val="nil"/>
              <w:left w:val="nil"/>
              <w:bottom w:val="nil"/>
              <w:right w:val="single" w:sz="4" w:space="0" w:color="000000"/>
            </w:tcBorders>
            <w:shd w:val="clear" w:color="000000" w:fill="FFFFFF"/>
            <w:hideMark/>
          </w:tcPr>
          <w:p w14:paraId="19991A0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560.470,42</w:t>
            </w:r>
          </w:p>
        </w:tc>
        <w:tc>
          <w:tcPr>
            <w:tcW w:w="2968" w:type="dxa"/>
            <w:gridSpan w:val="2"/>
            <w:tcBorders>
              <w:top w:val="nil"/>
              <w:left w:val="nil"/>
              <w:bottom w:val="nil"/>
              <w:right w:val="single" w:sz="4" w:space="0" w:color="000000"/>
            </w:tcBorders>
            <w:shd w:val="clear" w:color="000000" w:fill="FFFFFF"/>
            <w:hideMark/>
          </w:tcPr>
          <w:p w14:paraId="218882C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0D0E701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7DEE69EE"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tcBorders>
              <w:top w:val="nil"/>
              <w:left w:val="nil"/>
              <w:bottom w:val="nil"/>
              <w:right w:val="single" w:sz="4" w:space="0" w:color="000000"/>
            </w:tcBorders>
            <w:shd w:val="clear" w:color="000000" w:fill="FFFFFF"/>
            <w:hideMark/>
          </w:tcPr>
          <w:p w14:paraId="3E62D848"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0B20C412" w14:textId="77777777" w:rsidTr="001F5575">
        <w:trPr>
          <w:trHeight w:val="199"/>
          <w:jc w:val="center"/>
        </w:trPr>
        <w:tc>
          <w:tcPr>
            <w:tcW w:w="3765" w:type="dxa"/>
            <w:gridSpan w:val="6"/>
            <w:tcBorders>
              <w:top w:val="single" w:sz="4" w:space="0" w:color="000000"/>
              <w:left w:val="single" w:sz="4" w:space="0" w:color="000000"/>
              <w:bottom w:val="single" w:sz="4" w:space="0" w:color="000000"/>
              <w:right w:val="single" w:sz="4" w:space="0" w:color="000000"/>
            </w:tcBorders>
            <w:shd w:val="clear" w:color="000000" w:fill="FFFFFF"/>
            <w:hideMark/>
          </w:tcPr>
          <w:p w14:paraId="10376C85"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ATIVO NÃO CIRCULANTE</w:t>
            </w:r>
          </w:p>
        </w:tc>
        <w:tc>
          <w:tcPr>
            <w:tcW w:w="374" w:type="dxa"/>
            <w:tcBorders>
              <w:top w:val="single" w:sz="4" w:space="0" w:color="000000"/>
              <w:left w:val="nil"/>
              <w:bottom w:val="single" w:sz="4" w:space="0" w:color="000000"/>
              <w:right w:val="single" w:sz="4" w:space="0" w:color="000000"/>
            </w:tcBorders>
            <w:shd w:val="clear" w:color="000000" w:fill="FFFFFF"/>
            <w:hideMark/>
          </w:tcPr>
          <w:p w14:paraId="394AF52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single" w:sz="4" w:space="0" w:color="000000"/>
              <w:left w:val="nil"/>
              <w:bottom w:val="single" w:sz="4" w:space="0" w:color="000000"/>
              <w:right w:val="single" w:sz="4" w:space="0" w:color="000000"/>
            </w:tcBorders>
            <w:shd w:val="clear" w:color="000000" w:fill="FFFFFF"/>
            <w:hideMark/>
          </w:tcPr>
          <w:p w14:paraId="0BAC5E12"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155.949.408.420,95</w:t>
            </w:r>
          </w:p>
        </w:tc>
        <w:tc>
          <w:tcPr>
            <w:tcW w:w="1519" w:type="dxa"/>
            <w:tcBorders>
              <w:top w:val="single" w:sz="4" w:space="0" w:color="000000"/>
              <w:left w:val="nil"/>
              <w:bottom w:val="single" w:sz="4" w:space="0" w:color="000000"/>
              <w:right w:val="single" w:sz="4" w:space="0" w:color="000000"/>
            </w:tcBorders>
            <w:shd w:val="clear" w:color="000000" w:fill="FFFFFF"/>
            <w:hideMark/>
          </w:tcPr>
          <w:p w14:paraId="6EA19E25"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142.491.930.567,00</w:t>
            </w:r>
          </w:p>
        </w:tc>
        <w:tc>
          <w:tcPr>
            <w:tcW w:w="2968" w:type="dxa"/>
            <w:gridSpan w:val="2"/>
            <w:tcBorders>
              <w:top w:val="single" w:sz="4" w:space="0" w:color="000000"/>
              <w:left w:val="nil"/>
              <w:bottom w:val="single" w:sz="4" w:space="0" w:color="000000"/>
              <w:right w:val="single" w:sz="4" w:space="0" w:color="000000"/>
            </w:tcBorders>
            <w:shd w:val="clear" w:color="000000" w:fill="FFFFFF"/>
            <w:hideMark/>
          </w:tcPr>
          <w:p w14:paraId="493CE7D4"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PASSIVO NÃO CIRCULANTE</w:t>
            </w:r>
          </w:p>
        </w:tc>
        <w:tc>
          <w:tcPr>
            <w:tcW w:w="374" w:type="dxa"/>
            <w:tcBorders>
              <w:top w:val="single" w:sz="4" w:space="0" w:color="000000"/>
              <w:left w:val="nil"/>
              <w:bottom w:val="single" w:sz="4" w:space="0" w:color="000000"/>
              <w:right w:val="single" w:sz="4" w:space="0" w:color="000000"/>
            </w:tcBorders>
            <w:shd w:val="clear" w:color="000000" w:fill="FFFFFF"/>
            <w:hideMark/>
          </w:tcPr>
          <w:p w14:paraId="4096898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single" w:sz="4" w:space="0" w:color="000000"/>
              <w:left w:val="nil"/>
              <w:bottom w:val="single" w:sz="4" w:space="0" w:color="000000"/>
              <w:right w:val="single" w:sz="4" w:space="0" w:color="000000"/>
            </w:tcBorders>
            <w:shd w:val="clear" w:color="000000" w:fill="FFFFFF"/>
            <w:hideMark/>
          </w:tcPr>
          <w:p w14:paraId="6A27E8BF"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3.470.646.983,07</w:t>
            </w:r>
          </w:p>
        </w:tc>
        <w:tc>
          <w:tcPr>
            <w:tcW w:w="1426" w:type="dxa"/>
            <w:tcBorders>
              <w:top w:val="single" w:sz="4" w:space="0" w:color="000000"/>
              <w:left w:val="nil"/>
              <w:bottom w:val="single" w:sz="4" w:space="0" w:color="000000"/>
              <w:right w:val="single" w:sz="4" w:space="0" w:color="000000"/>
            </w:tcBorders>
            <w:shd w:val="clear" w:color="000000" w:fill="FFFFFF"/>
            <w:hideMark/>
          </w:tcPr>
          <w:p w14:paraId="1818D143"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520.876.421,24</w:t>
            </w:r>
          </w:p>
        </w:tc>
      </w:tr>
      <w:tr w:rsidR="00251BD1" w:rsidRPr="00103CC2" w14:paraId="021B7C86"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030E9A05"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Ativo Realizável a Longo Prazo</w:t>
            </w:r>
          </w:p>
        </w:tc>
        <w:tc>
          <w:tcPr>
            <w:tcW w:w="374" w:type="dxa"/>
            <w:tcBorders>
              <w:top w:val="nil"/>
              <w:left w:val="nil"/>
              <w:bottom w:val="nil"/>
              <w:right w:val="single" w:sz="4" w:space="0" w:color="000000"/>
            </w:tcBorders>
            <w:shd w:val="clear" w:color="000000" w:fill="FFFFFF"/>
            <w:hideMark/>
          </w:tcPr>
          <w:p w14:paraId="62375D20"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00FC6E05"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134.613.579.292,43</w:t>
            </w:r>
          </w:p>
        </w:tc>
        <w:tc>
          <w:tcPr>
            <w:tcW w:w="1519" w:type="dxa"/>
            <w:tcBorders>
              <w:top w:val="nil"/>
              <w:left w:val="nil"/>
              <w:bottom w:val="nil"/>
              <w:right w:val="single" w:sz="4" w:space="0" w:color="000000"/>
            </w:tcBorders>
            <w:shd w:val="clear" w:color="000000" w:fill="FFFFFF"/>
            <w:hideMark/>
          </w:tcPr>
          <w:p w14:paraId="6F1574AE"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122.621.409.661,33</w:t>
            </w:r>
          </w:p>
        </w:tc>
        <w:tc>
          <w:tcPr>
            <w:tcW w:w="2968" w:type="dxa"/>
            <w:gridSpan w:val="2"/>
            <w:tcBorders>
              <w:top w:val="nil"/>
              <w:left w:val="nil"/>
              <w:bottom w:val="nil"/>
              <w:right w:val="single" w:sz="4" w:space="0" w:color="000000"/>
            </w:tcBorders>
            <w:shd w:val="clear" w:color="000000" w:fill="FFFFFF"/>
            <w:hideMark/>
          </w:tcPr>
          <w:p w14:paraId="252A2043"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Obrigações Trab., Prev. e Assist. a Pagar a Longo Prazo</w:t>
            </w:r>
          </w:p>
        </w:tc>
        <w:tc>
          <w:tcPr>
            <w:tcW w:w="374" w:type="dxa"/>
            <w:tcBorders>
              <w:top w:val="nil"/>
              <w:left w:val="nil"/>
              <w:bottom w:val="nil"/>
              <w:right w:val="single" w:sz="4" w:space="0" w:color="000000"/>
            </w:tcBorders>
            <w:shd w:val="clear" w:color="000000" w:fill="FFFFFF"/>
            <w:hideMark/>
          </w:tcPr>
          <w:p w14:paraId="5C2482A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7FB62CF7"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39.118.545,43</w:t>
            </w:r>
          </w:p>
        </w:tc>
        <w:tc>
          <w:tcPr>
            <w:tcW w:w="1426" w:type="dxa"/>
            <w:tcBorders>
              <w:top w:val="nil"/>
              <w:left w:val="nil"/>
              <w:bottom w:val="nil"/>
              <w:right w:val="single" w:sz="4" w:space="0" w:color="000000"/>
            </w:tcBorders>
            <w:shd w:val="clear" w:color="000000" w:fill="FFFFFF"/>
            <w:hideMark/>
          </w:tcPr>
          <w:p w14:paraId="0AE8052E"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38.034.469,38</w:t>
            </w:r>
          </w:p>
        </w:tc>
      </w:tr>
      <w:tr w:rsidR="00251BD1" w:rsidRPr="00103CC2" w14:paraId="526BB330"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7384C6B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Créditos a Longo Prazo</w:t>
            </w:r>
          </w:p>
        </w:tc>
        <w:tc>
          <w:tcPr>
            <w:tcW w:w="374" w:type="dxa"/>
            <w:tcBorders>
              <w:top w:val="nil"/>
              <w:left w:val="nil"/>
              <w:bottom w:val="nil"/>
              <w:right w:val="single" w:sz="4" w:space="0" w:color="000000"/>
            </w:tcBorders>
            <w:shd w:val="clear" w:color="000000" w:fill="FFFFFF"/>
            <w:hideMark/>
          </w:tcPr>
          <w:p w14:paraId="47C94B5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105CB4D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134.306.047.598,08</w:t>
            </w:r>
          </w:p>
        </w:tc>
        <w:tc>
          <w:tcPr>
            <w:tcW w:w="1519" w:type="dxa"/>
            <w:tcBorders>
              <w:top w:val="nil"/>
              <w:left w:val="nil"/>
              <w:bottom w:val="nil"/>
              <w:right w:val="single" w:sz="4" w:space="0" w:color="000000"/>
            </w:tcBorders>
            <w:shd w:val="clear" w:color="000000" w:fill="FFFFFF"/>
            <w:hideMark/>
          </w:tcPr>
          <w:p w14:paraId="4F93046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121.339.573.827,25</w:t>
            </w:r>
          </w:p>
        </w:tc>
        <w:tc>
          <w:tcPr>
            <w:tcW w:w="2968" w:type="dxa"/>
            <w:gridSpan w:val="2"/>
            <w:tcBorders>
              <w:top w:val="nil"/>
              <w:left w:val="nil"/>
              <w:bottom w:val="nil"/>
              <w:right w:val="single" w:sz="4" w:space="0" w:color="000000"/>
            </w:tcBorders>
            <w:shd w:val="clear" w:color="000000" w:fill="FFFFFF"/>
            <w:hideMark/>
          </w:tcPr>
          <w:p w14:paraId="561C00BD"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Empréstimos e Financiamentos a Longo Prazo</w:t>
            </w:r>
          </w:p>
        </w:tc>
        <w:tc>
          <w:tcPr>
            <w:tcW w:w="374" w:type="dxa"/>
            <w:tcBorders>
              <w:top w:val="nil"/>
              <w:left w:val="nil"/>
              <w:bottom w:val="nil"/>
              <w:right w:val="single" w:sz="4" w:space="0" w:color="000000"/>
            </w:tcBorders>
            <w:shd w:val="clear" w:color="000000" w:fill="FFFFFF"/>
            <w:hideMark/>
          </w:tcPr>
          <w:p w14:paraId="0B552409"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5C542AC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290.800.817,00</w:t>
            </w:r>
          </w:p>
        </w:tc>
        <w:tc>
          <w:tcPr>
            <w:tcW w:w="1426" w:type="dxa"/>
            <w:tcBorders>
              <w:top w:val="nil"/>
              <w:left w:val="nil"/>
              <w:bottom w:val="nil"/>
              <w:right w:val="single" w:sz="4" w:space="0" w:color="000000"/>
            </w:tcBorders>
            <w:shd w:val="clear" w:color="000000" w:fill="FFFFFF"/>
            <w:hideMark/>
          </w:tcPr>
          <w:p w14:paraId="23FA3FBB"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225.552.918,79</w:t>
            </w:r>
          </w:p>
        </w:tc>
      </w:tr>
      <w:tr w:rsidR="00251BD1" w:rsidRPr="00103CC2" w14:paraId="4ECDDC8B"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08C6128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Clientes</w:t>
            </w:r>
          </w:p>
        </w:tc>
        <w:tc>
          <w:tcPr>
            <w:tcW w:w="374" w:type="dxa"/>
            <w:tcBorders>
              <w:top w:val="nil"/>
              <w:left w:val="nil"/>
              <w:bottom w:val="nil"/>
              <w:right w:val="single" w:sz="4" w:space="0" w:color="000000"/>
            </w:tcBorders>
            <w:shd w:val="clear" w:color="000000" w:fill="FFFFFF"/>
            <w:hideMark/>
          </w:tcPr>
          <w:p w14:paraId="31C09F1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45A38F4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1.659.131,13</w:t>
            </w:r>
          </w:p>
        </w:tc>
        <w:tc>
          <w:tcPr>
            <w:tcW w:w="1519" w:type="dxa"/>
            <w:tcBorders>
              <w:top w:val="nil"/>
              <w:left w:val="nil"/>
              <w:bottom w:val="nil"/>
              <w:right w:val="single" w:sz="4" w:space="0" w:color="000000"/>
            </w:tcBorders>
            <w:shd w:val="clear" w:color="000000" w:fill="FFFFFF"/>
            <w:hideMark/>
          </w:tcPr>
          <w:p w14:paraId="2EBCFF9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2.109.680,35</w:t>
            </w:r>
          </w:p>
        </w:tc>
        <w:tc>
          <w:tcPr>
            <w:tcW w:w="2968" w:type="dxa"/>
            <w:gridSpan w:val="2"/>
            <w:tcBorders>
              <w:top w:val="nil"/>
              <w:left w:val="nil"/>
              <w:bottom w:val="nil"/>
              <w:right w:val="single" w:sz="4" w:space="0" w:color="000000"/>
            </w:tcBorders>
            <w:shd w:val="clear" w:color="000000" w:fill="FFFFFF"/>
            <w:hideMark/>
          </w:tcPr>
          <w:p w14:paraId="23A651C6"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Fornecedores e Contas a Pagar a Longo Prazo</w:t>
            </w:r>
          </w:p>
        </w:tc>
        <w:tc>
          <w:tcPr>
            <w:tcW w:w="374" w:type="dxa"/>
            <w:tcBorders>
              <w:top w:val="nil"/>
              <w:left w:val="nil"/>
              <w:bottom w:val="nil"/>
              <w:right w:val="single" w:sz="4" w:space="0" w:color="000000"/>
            </w:tcBorders>
            <w:shd w:val="clear" w:color="000000" w:fill="FFFFFF"/>
            <w:hideMark/>
          </w:tcPr>
          <w:p w14:paraId="3E9BCD74"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7A25C1A4"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w:t>
            </w:r>
          </w:p>
        </w:tc>
        <w:tc>
          <w:tcPr>
            <w:tcW w:w="1426" w:type="dxa"/>
            <w:tcBorders>
              <w:top w:val="nil"/>
              <w:left w:val="nil"/>
              <w:bottom w:val="nil"/>
              <w:right w:val="single" w:sz="4" w:space="0" w:color="000000"/>
            </w:tcBorders>
            <w:shd w:val="clear" w:color="000000" w:fill="FFFFFF"/>
            <w:hideMark/>
          </w:tcPr>
          <w:p w14:paraId="15829D01"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1.679.024,40</w:t>
            </w:r>
          </w:p>
        </w:tc>
      </w:tr>
      <w:tr w:rsidR="00251BD1" w:rsidRPr="00103CC2" w14:paraId="62B3A7B8"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4A92AEA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Empréstimos e Financiamentos Concedidos</w:t>
            </w:r>
          </w:p>
        </w:tc>
        <w:tc>
          <w:tcPr>
            <w:tcW w:w="374" w:type="dxa"/>
            <w:tcBorders>
              <w:top w:val="nil"/>
              <w:left w:val="nil"/>
              <w:bottom w:val="nil"/>
              <w:right w:val="single" w:sz="4" w:space="0" w:color="000000"/>
            </w:tcBorders>
            <w:shd w:val="clear" w:color="000000" w:fill="FFFFFF"/>
            <w:hideMark/>
          </w:tcPr>
          <w:p w14:paraId="7842A3DD"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02</w:t>
            </w:r>
          </w:p>
        </w:tc>
        <w:tc>
          <w:tcPr>
            <w:tcW w:w="1538" w:type="dxa"/>
            <w:gridSpan w:val="3"/>
            <w:tcBorders>
              <w:top w:val="nil"/>
              <w:left w:val="nil"/>
              <w:bottom w:val="nil"/>
              <w:right w:val="single" w:sz="4" w:space="0" w:color="000000"/>
            </w:tcBorders>
            <w:shd w:val="clear" w:color="000000" w:fill="FFFFFF"/>
            <w:hideMark/>
          </w:tcPr>
          <w:p w14:paraId="2F9550C5"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134.805.552.166,88</w:t>
            </w:r>
          </w:p>
        </w:tc>
        <w:tc>
          <w:tcPr>
            <w:tcW w:w="1519" w:type="dxa"/>
            <w:tcBorders>
              <w:top w:val="nil"/>
              <w:left w:val="nil"/>
              <w:bottom w:val="nil"/>
              <w:right w:val="single" w:sz="4" w:space="0" w:color="000000"/>
            </w:tcBorders>
            <w:shd w:val="clear" w:color="000000" w:fill="FFFFFF"/>
            <w:hideMark/>
          </w:tcPr>
          <w:p w14:paraId="0E48563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122.422.911.613,34</w:t>
            </w:r>
          </w:p>
        </w:tc>
        <w:tc>
          <w:tcPr>
            <w:tcW w:w="2968" w:type="dxa"/>
            <w:gridSpan w:val="2"/>
            <w:tcBorders>
              <w:top w:val="nil"/>
              <w:left w:val="nil"/>
              <w:bottom w:val="nil"/>
              <w:right w:val="single" w:sz="4" w:space="0" w:color="000000"/>
            </w:tcBorders>
            <w:shd w:val="clear" w:color="000000" w:fill="FFFFFF"/>
            <w:hideMark/>
          </w:tcPr>
          <w:p w14:paraId="0820E5E9"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Obrigações Fiscais a Longo Prazo</w:t>
            </w:r>
          </w:p>
        </w:tc>
        <w:tc>
          <w:tcPr>
            <w:tcW w:w="374" w:type="dxa"/>
            <w:tcBorders>
              <w:top w:val="nil"/>
              <w:left w:val="nil"/>
              <w:bottom w:val="nil"/>
              <w:right w:val="single" w:sz="4" w:space="0" w:color="000000"/>
            </w:tcBorders>
            <w:shd w:val="clear" w:color="000000" w:fill="FFFFFF"/>
            <w:hideMark/>
          </w:tcPr>
          <w:p w14:paraId="7120D244"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132F6481"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20.968.886,79</w:t>
            </w:r>
          </w:p>
        </w:tc>
        <w:tc>
          <w:tcPr>
            <w:tcW w:w="1426" w:type="dxa"/>
            <w:tcBorders>
              <w:top w:val="nil"/>
              <w:left w:val="nil"/>
              <w:bottom w:val="nil"/>
              <w:right w:val="single" w:sz="4" w:space="0" w:color="000000"/>
            </w:tcBorders>
            <w:shd w:val="clear" w:color="000000" w:fill="FFFFFF"/>
            <w:hideMark/>
          </w:tcPr>
          <w:p w14:paraId="1C2F6EA0"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22.101.739,38</w:t>
            </w:r>
          </w:p>
        </w:tc>
      </w:tr>
      <w:tr w:rsidR="00251BD1" w:rsidRPr="00103CC2" w14:paraId="425274F7"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2136358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Dívida Ativa Não Tributária</w:t>
            </w:r>
          </w:p>
        </w:tc>
        <w:tc>
          <w:tcPr>
            <w:tcW w:w="374" w:type="dxa"/>
            <w:tcBorders>
              <w:top w:val="nil"/>
              <w:left w:val="nil"/>
              <w:bottom w:val="nil"/>
              <w:right w:val="single" w:sz="4" w:space="0" w:color="000000"/>
            </w:tcBorders>
            <w:shd w:val="clear" w:color="000000" w:fill="FFFFFF"/>
            <w:hideMark/>
          </w:tcPr>
          <w:p w14:paraId="37AF72C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60D2F8C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39.134.318,42</w:t>
            </w:r>
          </w:p>
        </w:tc>
        <w:tc>
          <w:tcPr>
            <w:tcW w:w="1519" w:type="dxa"/>
            <w:tcBorders>
              <w:top w:val="nil"/>
              <w:left w:val="nil"/>
              <w:bottom w:val="nil"/>
              <w:right w:val="single" w:sz="4" w:space="0" w:color="000000"/>
            </w:tcBorders>
            <w:shd w:val="clear" w:color="000000" w:fill="FFFFFF"/>
            <w:hideMark/>
          </w:tcPr>
          <w:p w14:paraId="189E1AB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39.134.318,42</w:t>
            </w:r>
          </w:p>
        </w:tc>
        <w:tc>
          <w:tcPr>
            <w:tcW w:w="2968" w:type="dxa"/>
            <w:gridSpan w:val="2"/>
            <w:tcBorders>
              <w:top w:val="nil"/>
              <w:left w:val="nil"/>
              <w:bottom w:val="nil"/>
              <w:right w:val="single" w:sz="4" w:space="0" w:color="000000"/>
            </w:tcBorders>
            <w:shd w:val="clear" w:color="000000" w:fill="FFFFFF"/>
            <w:hideMark/>
          </w:tcPr>
          <w:p w14:paraId="0473E26F"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Provisões a Longo Prazo</w:t>
            </w:r>
          </w:p>
        </w:tc>
        <w:tc>
          <w:tcPr>
            <w:tcW w:w="374" w:type="dxa"/>
            <w:tcBorders>
              <w:top w:val="nil"/>
              <w:left w:val="nil"/>
              <w:bottom w:val="nil"/>
              <w:right w:val="single" w:sz="4" w:space="0" w:color="000000"/>
            </w:tcBorders>
            <w:shd w:val="clear" w:color="000000" w:fill="FFFFFF"/>
            <w:hideMark/>
          </w:tcPr>
          <w:p w14:paraId="6CC26AC7"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05</w:t>
            </w:r>
          </w:p>
        </w:tc>
        <w:tc>
          <w:tcPr>
            <w:tcW w:w="1670" w:type="dxa"/>
            <w:gridSpan w:val="2"/>
            <w:tcBorders>
              <w:top w:val="nil"/>
              <w:left w:val="nil"/>
              <w:bottom w:val="nil"/>
              <w:right w:val="single" w:sz="4" w:space="0" w:color="000000"/>
            </w:tcBorders>
            <w:shd w:val="clear" w:color="000000" w:fill="FFFFFF"/>
            <w:hideMark/>
          </w:tcPr>
          <w:p w14:paraId="798745CE"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3.074.129.233,40</w:t>
            </w:r>
          </w:p>
        </w:tc>
        <w:tc>
          <w:tcPr>
            <w:tcW w:w="1426" w:type="dxa"/>
            <w:tcBorders>
              <w:top w:val="nil"/>
              <w:left w:val="nil"/>
              <w:bottom w:val="nil"/>
              <w:right w:val="single" w:sz="4" w:space="0" w:color="000000"/>
            </w:tcBorders>
            <w:shd w:val="clear" w:color="000000" w:fill="FFFFFF"/>
            <w:hideMark/>
          </w:tcPr>
          <w:p w14:paraId="558DF73B"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187.876.613,00</w:t>
            </w:r>
          </w:p>
        </w:tc>
      </w:tr>
      <w:tr w:rsidR="00251BD1" w:rsidRPr="00103CC2" w14:paraId="2CD90A08"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705DFC1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Demais Créditos e Valores</w:t>
            </w:r>
          </w:p>
        </w:tc>
        <w:tc>
          <w:tcPr>
            <w:tcW w:w="374" w:type="dxa"/>
            <w:tcBorders>
              <w:top w:val="nil"/>
              <w:left w:val="nil"/>
              <w:bottom w:val="nil"/>
              <w:right w:val="single" w:sz="4" w:space="0" w:color="000000"/>
            </w:tcBorders>
            <w:shd w:val="clear" w:color="000000" w:fill="FFFFFF"/>
            <w:hideMark/>
          </w:tcPr>
          <w:p w14:paraId="609D392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0AA6609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1.185.283.376,26</w:t>
            </w:r>
          </w:p>
        </w:tc>
        <w:tc>
          <w:tcPr>
            <w:tcW w:w="1519" w:type="dxa"/>
            <w:tcBorders>
              <w:top w:val="nil"/>
              <w:left w:val="nil"/>
              <w:bottom w:val="nil"/>
              <w:right w:val="single" w:sz="4" w:space="0" w:color="000000"/>
            </w:tcBorders>
            <w:shd w:val="clear" w:color="000000" w:fill="FFFFFF"/>
            <w:hideMark/>
          </w:tcPr>
          <w:p w14:paraId="2BD35486"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tcBorders>
              <w:top w:val="nil"/>
              <w:left w:val="nil"/>
              <w:bottom w:val="nil"/>
              <w:right w:val="single" w:sz="4" w:space="0" w:color="000000"/>
            </w:tcBorders>
            <w:shd w:val="clear" w:color="000000" w:fill="FFFFFF"/>
            <w:hideMark/>
          </w:tcPr>
          <w:p w14:paraId="655E54D8"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Demais Obrigações a Longo Prazo</w:t>
            </w:r>
          </w:p>
        </w:tc>
        <w:tc>
          <w:tcPr>
            <w:tcW w:w="374" w:type="dxa"/>
            <w:tcBorders>
              <w:top w:val="nil"/>
              <w:left w:val="nil"/>
              <w:bottom w:val="nil"/>
              <w:right w:val="single" w:sz="4" w:space="0" w:color="000000"/>
            </w:tcBorders>
            <w:shd w:val="clear" w:color="000000" w:fill="FFFFFF"/>
            <w:hideMark/>
          </w:tcPr>
          <w:p w14:paraId="6EE9DD33"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1CD7DB9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43.919.501,20</w:t>
            </w:r>
          </w:p>
        </w:tc>
        <w:tc>
          <w:tcPr>
            <w:tcW w:w="1426" w:type="dxa"/>
            <w:tcBorders>
              <w:top w:val="nil"/>
              <w:left w:val="nil"/>
              <w:bottom w:val="nil"/>
              <w:right w:val="single" w:sz="4" w:space="0" w:color="000000"/>
            </w:tcBorders>
            <w:shd w:val="clear" w:color="000000" w:fill="FFFFFF"/>
            <w:hideMark/>
          </w:tcPr>
          <w:p w14:paraId="20104FFB"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43.731.657,04</w:t>
            </w:r>
          </w:p>
        </w:tc>
      </w:tr>
      <w:tr w:rsidR="00251BD1" w:rsidRPr="00103CC2" w14:paraId="5E3F5A9B"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1D62911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Ajustes para Perdas em Créditos a Longo Prazo</w:t>
            </w:r>
          </w:p>
        </w:tc>
        <w:tc>
          <w:tcPr>
            <w:tcW w:w="374" w:type="dxa"/>
            <w:tcBorders>
              <w:top w:val="nil"/>
              <w:left w:val="nil"/>
              <w:bottom w:val="nil"/>
              <w:right w:val="single" w:sz="4" w:space="0" w:color="000000"/>
            </w:tcBorders>
            <w:shd w:val="clear" w:color="000000" w:fill="FFFFFF"/>
            <w:hideMark/>
          </w:tcPr>
          <w:p w14:paraId="69645A4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49E7F723"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-1.725.581.394,61</w:t>
            </w:r>
          </w:p>
        </w:tc>
        <w:tc>
          <w:tcPr>
            <w:tcW w:w="1519" w:type="dxa"/>
            <w:tcBorders>
              <w:top w:val="nil"/>
              <w:left w:val="nil"/>
              <w:bottom w:val="nil"/>
              <w:right w:val="single" w:sz="4" w:space="0" w:color="000000"/>
            </w:tcBorders>
            <w:shd w:val="clear" w:color="000000" w:fill="FFFFFF"/>
            <w:hideMark/>
          </w:tcPr>
          <w:p w14:paraId="6300CD0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-1.124.581.784,86</w:t>
            </w:r>
          </w:p>
        </w:tc>
        <w:tc>
          <w:tcPr>
            <w:tcW w:w="2968" w:type="dxa"/>
            <w:gridSpan w:val="2"/>
            <w:tcBorders>
              <w:top w:val="nil"/>
              <w:left w:val="nil"/>
              <w:bottom w:val="nil"/>
              <w:right w:val="single" w:sz="4" w:space="0" w:color="000000"/>
            </w:tcBorders>
            <w:shd w:val="clear" w:color="000000" w:fill="FFFFFF"/>
            <w:hideMark/>
          </w:tcPr>
          <w:p w14:paraId="30C6AB83"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Resultado Diferido</w:t>
            </w:r>
          </w:p>
        </w:tc>
        <w:tc>
          <w:tcPr>
            <w:tcW w:w="374" w:type="dxa"/>
            <w:tcBorders>
              <w:top w:val="nil"/>
              <w:left w:val="nil"/>
              <w:bottom w:val="nil"/>
              <w:right w:val="single" w:sz="4" w:space="0" w:color="000000"/>
            </w:tcBorders>
            <w:shd w:val="clear" w:color="000000" w:fill="FFFFFF"/>
            <w:hideMark/>
          </w:tcPr>
          <w:p w14:paraId="50AE80E1"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51930BBB"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1.709.999,25</w:t>
            </w:r>
          </w:p>
        </w:tc>
        <w:tc>
          <w:tcPr>
            <w:tcW w:w="1426" w:type="dxa"/>
            <w:tcBorders>
              <w:top w:val="nil"/>
              <w:left w:val="nil"/>
              <w:bottom w:val="nil"/>
              <w:right w:val="single" w:sz="4" w:space="0" w:color="000000"/>
            </w:tcBorders>
            <w:shd w:val="clear" w:color="000000" w:fill="FFFFFF"/>
            <w:hideMark/>
          </w:tcPr>
          <w:p w14:paraId="1135F687"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1.899.999,25</w:t>
            </w:r>
          </w:p>
        </w:tc>
      </w:tr>
      <w:tr w:rsidR="00251BD1" w:rsidRPr="00103CC2" w14:paraId="6856D2FE"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3F83C3A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Demais Créditos e Valores a Longo Prazo</w:t>
            </w:r>
          </w:p>
        </w:tc>
        <w:tc>
          <w:tcPr>
            <w:tcW w:w="374" w:type="dxa"/>
            <w:tcBorders>
              <w:top w:val="nil"/>
              <w:left w:val="nil"/>
              <w:bottom w:val="nil"/>
              <w:right w:val="single" w:sz="4" w:space="0" w:color="000000"/>
            </w:tcBorders>
            <w:shd w:val="clear" w:color="000000" w:fill="FFFFFF"/>
            <w:hideMark/>
          </w:tcPr>
          <w:p w14:paraId="3CF695B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5ADB885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19" w:type="dxa"/>
            <w:tcBorders>
              <w:top w:val="nil"/>
              <w:left w:val="nil"/>
              <w:bottom w:val="nil"/>
              <w:right w:val="single" w:sz="4" w:space="0" w:color="000000"/>
            </w:tcBorders>
            <w:shd w:val="clear" w:color="000000" w:fill="FFFFFF"/>
            <w:hideMark/>
          </w:tcPr>
          <w:p w14:paraId="330973A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974.058.877,19</w:t>
            </w:r>
          </w:p>
        </w:tc>
        <w:tc>
          <w:tcPr>
            <w:tcW w:w="2968" w:type="dxa"/>
            <w:gridSpan w:val="2"/>
            <w:tcBorders>
              <w:top w:val="single" w:sz="4" w:space="0" w:color="000000"/>
              <w:left w:val="nil"/>
              <w:bottom w:val="single" w:sz="4" w:space="0" w:color="000000"/>
              <w:right w:val="single" w:sz="4" w:space="0" w:color="000000"/>
            </w:tcBorders>
            <w:shd w:val="clear" w:color="000000" w:fill="FFFFFF"/>
            <w:hideMark/>
          </w:tcPr>
          <w:p w14:paraId="0CA69A8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TOTAL DO PASSIVO EXIGÍVEL</w:t>
            </w:r>
          </w:p>
        </w:tc>
        <w:tc>
          <w:tcPr>
            <w:tcW w:w="374" w:type="dxa"/>
            <w:tcBorders>
              <w:top w:val="single" w:sz="4" w:space="0" w:color="000000"/>
              <w:left w:val="nil"/>
              <w:bottom w:val="single" w:sz="4" w:space="0" w:color="000000"/>
              <w:right w:val="single" w:sz="4" w:space="0" w:color="000000"/>
            </w:tcBorders>
            <w:shd w:val="clear" w:color="000000" w:fill="FFFFFF"/>
            <w:hideMark/>
          </w:tcPr>
          <w:p w14:paraId="6E83AE45"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single" w:sz="4" w:space="0" w:color="000000"/>
              <w:left w:val="nil"/>
              <w:bottom w:val="single" w:sz="4" w:space="0" w:color="000000"/>
              <w:right w:val="single" w:sz="4" w:space="0" w:color="000000"/>
            </w:tcBorders>
            <w:shd w:val="clear" w:color="000000" w:fill="FFFFFF"/>
            <w:hideMark/>
          </w:tcPr>
          <w:p w14:paraId="4CC17CDC"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13.537.757.441,98</w:t>
            </w:r>
          </w:p>
        </w:tc>
        <w:tc>
          <w:tcPr>
            <w:tcW w:w="1426" w:type="dxa"/>
            <w:tcBorders>
              <w:top w:val="single" w:sz="4" w:space="0" w:color="000000"/>
              <w:left w:val="nil"/>
              <w:bottom w:val="single" w:sz="4" w:space="0" w:color="000000"/>
              <w:right w:val="single" w:sz="4" w:space="0" w:color="000000"/>
            </w:tcBorders>
            <w:shd w:val="clear" w:color="000000" w:fill="FFFFFF"/>
            <w:hideMark/>
          </w:tcPr>
          <w:p w14:paraId="35DFDE10"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15.808.989.032,80</w:t>
            </w:r>
          </w:p>
        </w:tc>
      </w:tr>
      <w:tr w:rsidR="00251BD1" w:rsidRPr="00103CC2" w14:paraId="237B3F19"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65E9498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Investimentos e Aplicações Temporárias a Longo Prazo</w:t>
            </w:r>
          </w:p>
        </w:tc>
        <w:tc>
          <w:tcPr>
            <w:tcW w:w="374" w:type="dxa"/>
            <w:tcBorders>
              <w:top w:val="nil"/>
              <w:left w:val="nil"/>
              <w:bottom w:val="nil"/>
              <w:right w:val="single" w:sz="4" w:space="0" w:color="000000"/>
            </w:tcBorders>
            <w:shd w:val="clear" w:color="000000" w:fill="FFFFFF"/>
            <w:hideMark/>
          </w:tcPr>
          <w:p w14:paraId="41B7293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2AB52D6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307.531.694,35</w:t>
            </w:r>
          </w:p>
        </w:tc>
        <w:tc>
          <w:tcPr>
            <w:tcW w:w="1519" w:type="dxa"/>
            <w:tcBorders>
              <w:top w:val="nil"/>
              <w:left w:val="nil"/>
              <w:bottom w:val="nil"/>
              <w:right w:val="single" w:sz="4" w:space="0" w:color="000000"/>
            </w:tcBorders>
            <w:shd w:val="clear" w:color="000000" w:fill="FFFFFF"/>
            <w:hideMark/>
          </w:tcPr>
          <w:p w14:paraId="039A822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307.776.956,89</w:t>
            </w:r>
          </w:p>
        </w:tc>
        <w:tc>
          <w:tcPr>
            <w:tcW w:w="6438" w:type="dxa"/>
            <w:gridSpan w:val="6"/>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98020E8"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PATRIMÔNIO LÍQUIDO</w:t>
            </w:r>
          </w:p>
        </w:tc>
      </w:tr>
      <w:tr w:rsidR="00251BD1" w:rsidRPr="00103CC2" w14:paraId="7F7E0B47" w14:textId="77777777" w:rsidTr="001F5575">
        <w:trPr>
          <w:trHeight w:val="42"/>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4A305B4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Estoques</w:t>
            </w:r>
          </w:p>
        </w:tc>
        <w:tc>
          <w:tcPr>
            <w:tcW w:w="374" w:type="dxa"/>
            <w:tcBorders>
              <w:top w:val="nil"/>
              <w:left w:val="nil"/>
              <w:bottom w:val="nil"/>
              <w:right w:val="single" w:sz="4" w:space="0" w:color="000000"/>
            </w:tcBorders>
            <w:shd w:val="clear" w:color="000000" w:fill="FFFFFF"/>
            <w:hideMark/>
          </w:tcPr>
          <w:p w14:paraId="3C2996C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228ABCD8"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3F7B6ECE"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6438" w:type="dxa"/>
            <w:gridSpan w:val="6"/>
            <w:vMerge/>
            <w:tcBorders>
              <w:top w:val="nil"/>
              <w:left w:val="single" w:sz="4" w:space="0" w:color="000000"/>
              <w:bottom w:val="nil"/>
              <w:right w:val="single" w:sz="4" w:space="0" w:color="000000"/>
            </w:tcBorders>
            <w:vAlign w:val="center"/>
            <w:hideMark/>
          </w:tcPr>
          <w:p w14:paraId="7D56A17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77336E3A" w14:textId="77777777" w:rsidTr="001F5575">
        <w:trPr>
          <w:trHeight w:val="162"/>
          <w:jc w:val="center"/>
        </w:trPr>
        <w:tc>
          <w:tcPr>
            <w:tcW w:w="3765" w:type="dxa"/>
            <w:gridSpan w:val="6"/>
            <w:vMerge/>
            <w:tcBorders>
              <w:top w:val="nil"/>
              <w:left w:val="single" w:sz="4" w:space="0" w:color="000000"/>
              <w:bottom w:val="nil"/>
              <w:right w:val="single" w:sz="4" w:space="0" w:color="000000"/>
            </w:tcBorders>
            <w:vAlign w:val="center"/>
            <w:hideMark/>
          </w:tcPr>
          <w:p w14:paraId="21839F1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517B691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067C27A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6409C1E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5618AE5"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ESPECIFICAÇÃO</w:t>
            </w:r>
          </w:p>
        </w:tc>
        <w:tc>
          <w:tcPr>
            <w:tcW w:w="374" w:type="dxa"/>
            <w:tcBorders>
              <w:top w:val="nil"/>
              <w:left w:val="nil"/>
              <w:bottom w:val="single" w:sz="4" w:space="0" w:color="000000"/>
              <w:right w:val="single" w:sz="4" w:space="0" w:color="000000"/>
            </w:tcBorders>
            <w:shd w:val="clear" w:color="000000" w:fill="FFFFFF"/>
            <w:vAlign w:val="center"/>
            <w:hideMark/>
          </w:tcPr>
          <w:p w14:paraId="6A1A5F50"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C75E07"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2020</w:t>
            </w:r>
          </w:p>
        </w:tc>
        <w:tc>
          <w:tcPr>
            <w:tcW w:w="1426"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4B6EDD7A"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2019</w:t>
            </w:r>
          </w:p>
        </w:tc>
      </w:tr>
      <w:tr w:rsidR="00251BD1" w:rsidRPr="00103CC2" w14:paraId="0DA06C30"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0B18B044"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Investimentos</w:t>
            </w:r>
          </w:p>
        </w:tc>
        <w:tc>
          <w:tcPr>
            <w:tcW w:w="374" w:type="dxa"/>
            <w:tcBorders>
              <w:top w:val="nil"/>
              <w:left w:val="nil"/>
              <w:bottom w:val="nil"/>
              <w:right w:val="single" w:sz="4" w:space="0" w:color="000000"/>
            </w:tcBorders>
            <w:shd w:val="clear" w:color="000000" w:fill="FFFFFF"/>
            <w:hideMark/>
          </w:tcPr>
          <w:p w14:paraId="4D2EEAA8"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1BED1396"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21.891.421,84</w:t>
            </w:r>
          </w:p>
        </w:tc>
        <w:tc>
          <w:tcPr>
            <w:tcW w:w="1519" w:type="dxa"/>
            <w:vMerge w:val="restart"/>
            <w:tcBorders>
              <w:top w:val="nil"/>
              <w:left w:val="single" w:sz="4" w:space="0" w:color="000000"/>
              <w:bottom w:val="nil"/>
              <w:right w:val="single" w:sz="4" w:space="0" w:color="000000"/>
            </w:tcBorders>
            <w:shd w:val="clear" w:color="000000" w:fill="FFFFFF"/>
            <w:hideMark/>
          </w:tcPr>
          <w:p w14:paraId="71153230"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21.891.421,84</w:t>
            </w:r>
          </w:p>
        </w:tc>
        <w:tc>
          <w:tcPr>
            <w:tcW w:w="2968" w:type="dxa"/>
            <w:gridSpan w:val="2"/>
            <w:vMerge/>
            <w:tcBorders>
              <w:top w:val="nil"/>
              <w:left w:val="single" w:sz="4" w:space="0" w:color="000000"/>
              <w:bottom w:val="nil"/>
              <w:right w:val="single" w:sz="4" w:space="0" w:color="000000"/>
            </w:tcBorders>
            <w:vAlign w:val="center"/>
            <w:hideMark/>
          </w:tcPr>
          <w:p w14:paraId="55334D5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single" w:sz="4" w:space="0" w:color="000000"/>
              <w:right w:val="single" w:sz="4" w:space="0" w:color="000000"/>
            </w:tcBorders>
            <w:shd w:val="clear" w:color="000000" w:fill="FFFFFF"/>
            <w:vAlign w:val="center"/>
            <w:hideMark/>
          </w:tcPr>
          <w:p w14:paraId="2C2A6CF4"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single" w:sz="4" w:space="0" w:color="000000"/>
              <w:right w:val="single" w:sz="4" w:space="0" w:color="000000"/>
            </w:tcBorders>
            <w:vAlign w:val="center"/>
            <w:hideMark/>
          </w:tcPr>
          <w:p w14:paraId="72A2938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single" w:sz="4" w:space="0" w:color="000000"/>
              <w:left w:val="single" w:sz="4" w:space="0" w:color="000000"/>
              <w:bottom w:val="single" w:sz="4" w:space="0" w:color="000000"/>
              <w:right w:val="single" w:sz="4" w:space="0" w:color="000000"/>
            </w:tcBorders>
            <w:vAlign w:val="center"/>
            <w:hideMark/>
          </w:tcPr>
          <w:p w14:paraId="62024F1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07A2CD2D"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5E633092"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1E4B47A7"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490899C0"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69FF2A8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7D1027DB"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Patrimônio Social e Capital Social</w:t>
            </w:r>
          </w:p>
        </w:tc>
        <w:tc>
          <w:tcPr>
            <w:tcW w:w="374" w:type="dxa"/>
            <w:tcBorders>
              <w:top w:val="nil"/>
              <w:left w:val="nil"/>
              <w:bottom w:val="nil"/>
              <w:right w:val="single" w:sz="4" w:space="0" w:color="000000"/>
            </w:tcBorders>
            <w:shd w:val="clear" w:color="000000" w:fill="FFFFFF"/>
            <w:hideMark/>
          </w:tcPr>
          <w:p w14:paraId="6FD5E515"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7BC23F73"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12.180.081.942,07</w:t>
            </w:r>
          </w:p>
        </w:tc>
        <w:tc>
          <w:tcPr>
            <w:tcW w:w="1426" w:type="dxa"/>
            <w:vMerge w:val="restart"/>
            <w:tcBorders>
              <w:top w:val="nil"/>
              <w:left w:val="single" w:sz="4" w:space="0" w:color="000000"/>
              <w:bottom w:val="nil"/>
              <w:right w:val="single" w:sz="4" w:space="0" w:color="000000"/>
            </w:tcBorders>
            <w:shd w:val="clear" w:color="000000" w:fill="FFFFFF"/>
            <w:hideMark/>
          </w:tcPr>
          <w:p w14:paraId="6609237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11.664.392.626,51</w:t>
            </w:r>
          </w:p>
        </w:tc>
      </w:tr>
      <w:tr w:rsidR="00251BD1" w:rsidRPr="00103CC2" w14:paraId="04B5E9B5"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0BA5E04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Participações Permanentes</w:t>
            </w:r>
          </w:p>
        </w:tc>
        <w:tc>
          <w:tcPr>
            <w:tcW w:w="374" w:type="dxa"/>
            <w:tcBorders>
              <w:top w:val="nil"/>
              <w:left w:val="nil"/>
              <w:bottom w:val="nil"/>
              <w:right w:val="single" w:sz="4" w:space="0" w:color="000000"/>
            </w:tcBorders>
            <w:shd w:val="clear" w:color="000000" w:fill="FFFFFF"/>
            <w:hideMark/>
          </w:tcPr>
          <w:p w14:paraId="7599248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0F1C60F6"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21.868.726,30</w:t>
            </w:r>
          </w:p>
        </w:tc>
        <w:tc>
          <w:tcPr>
            <w:tcW w:w="1519" w:type="dxa"/>
            <w:vMerge w:val="restart"/>
            <w:tcBorders>
              <w:top w:val="nil"/>
              <w:left w:val="single" w:sz="4" w:space="0" w:color="000000"/>
              <w:bottom w:val="nil"/>
              <w:right w:val="single" w:sz="4" w:space="0" w:color="000000"/>
            </w:tcBorders>
            <w:shd w:val="clear" w:color="000000" w:fill="FFFFFF"/>
            <w:hideMark/>
          </w:tcPr>
          <w:p w14:paraId="4EC07D2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21.868.726,30</w:t>
            </w:r>
          </w:p>
        </w:tc>
        <w:tc>
          <w:tcPr>
            <w:tcW w:w="2968" w:type="dxa"/>
            <w:gridSpan w:val="2"/>
            <w:vMerge/>
            <w:tcBorders>
              <w:top w:val="nil"/>
              <w:left w:val="single" w:sz="4" w:space="0" w:color="000000"/>
              <w:bottom w:val="nil"/>
              <w:right w:val="single" w:sz="4" w:space="0" w:color="000000"/>
            </w:tcBorders>
            <w:vAlign w:val="center"/>
            <w:hideMark/>
          </w:tcPr>
          <w:p w14:paraId="498D4AE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4C807489"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77039112"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5EE14F8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r>
      <w:tr w:rsidR="00251BD1" w:rsidRPr="00103CC2" w14:paraId="76E63D51"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51D3868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3ADD486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562F835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77CD837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2239E359"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Adiantamentos para Futuro Aumento de Capital (AFAC)</w:t>
            </w:r>
          </w:p>
        </w:tc>
        <w:tc>
          <w:tcPr>
            <w:tcW w:w="374" w:type="dxa"/>
            <w:tcBorders>
              <w:top w:val="nil"/>
              <w:left w:val="nil"/>
              <w:bottom w:val="nil"/>
              <w:right w:val="single" w:sz="4" w:space="0" w:color="000000"/>
            </w:tcBorders>
            <w:shd w:val="clear" w:color="000000" w:fill="FFFFFF"/>
            <w:hideMark/>
          </w:tcPr>
          <w:p w14:paraId="21D382E8"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4A51D340"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401.902.255,10</w:t>
            </w:r>
          </w:p>
        </w:tc>
        <w:tc>
          <w:tcPr>
            <w:tcW w:w="1426" w:type="dxa"/>
            <w:vMerge w:val="restart"/>
            <w:tcBorders>
              <w:top w:val="nil"/>
              <w:left w:val="single" w:sz="4" w:space="0" w:color="000000"/>
              <w:bottom w:val="nil"/>
              <w:right w:val="single" w:sz="4" w:space="0" w:color="000000"/>
            </w:tcBorders>
            <w:shd w:val="clear" w:color="000000" w:fill="FFFFFF"/>
            <w:hideMark/>
          </w:tcPr>
          <w:p w14:paraId="40221757"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581.383.549,73</w:t>
            </w:r>
          </w:p>
        </w:tc>
      </w:tr>
      <w:tr w:rsidR="00251BD1" w:rsidRPr="00103CC2" w14:paraId="044AD429"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79CB4F0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Participações Avaliadas p/Método da Equivalência Patrim</w:t>
            </w:r>
            <w:r w:rsidRPr="00103CC2">
              <w:rPr>
                <w:rFonts w:ascii="Arial" w:eastAsia="Times New Roman" w:hAnsi="Arial" w:cs="Arial"/>
                <w:color w:val="000000"/>
                <w:kern w:val="0"/>
                <w:sz w:val="12"/>
                <w:szCs w:val="12"/>
                <w:lang w:eastAsia="pt-BR" w:bidi="ar-SA"/>
              </w:rPr>
              <w:t>o</w:t>
            </w:r>
            <w:r w:rsidRPr="00103CC2">
              <w:rPr>
                <w:rFonts w:ascii="Arial" w:eastAsia="Times New Roman" w:hAnsi="Arial" w:cs="Arial"/>
                <w:color w:val="000000"/>
                <w:kern w:val="0"/>
                <w:sz w:val="12"/>
                <w:szCs w:val="12"/>
                <w:lang w:eastAsia="pt-BR" w:bidi="ar-SA"/>
              </w:rPr>
              <w:t>nial</w:t>
            </w:r>
          </w:p>
        </w:tc>
        <w:tc>
          <w:tcPr>
            <w:tcW w:w="374" w:type="dxa"/>
            <w:tcBorders>
              <w:top w:val="nil"/>
              <w:left w:val="nil"/>
              <w:bottom w:val="nil"/>
              <w:right w:val="single" w:sz="4" w:space="0" w:color="000000"/>
            </w:tcBorders>
            <w:shd w:val="clear" w:color="000000" w:fill="FFFFFF"/>
            <w:hideMark/>
          </w:tcPr>
          <w:p w14:paraId="07A38A1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27F5B0B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17.051.543,14</w:t>
            </w:r>
          </w:p>
        </w:tc>
        <w:tc>
          <w:tcPr>
            <w:tcW w:w="1519" w:type="dxa"/>
            <w:vMerge w:val="restart"/>
            <w:tcBorders>
              <w:top w:val="nil"/>
              <w:left w:val="single" w:sz="4" w:space="0" w:color="000000"/>
              <w:bottom w:val="nil"/>
              <w:right w:val="single" w:sz="4" w:space="0" w:color="000000"/>
            </w:tcBorders>
            <w:shd w:val="clear" w:color="000000" w:fill="FFFFFF"/>
            <w:hideMark/>
          </w:tcPr>
          <w:p w14:paraId="1789D2F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17.051.543,14</w:t>
            </w:r>
          </w:p>
        </w:tc>
        <w:tc>
          <w:tcPr>
            <w:tcW w:w="2968" w:type="dxa"/>
            <w:gridSpan w:val="2"/>
            <w:vMerge/>
            <w:tcBorders>
              <w:top w:val="nil"/>
              <w:left w:val="single" w:sz="4" w:space="0" w:color="000000"/>
              <w:bottom w:val="nil"/>
              <w:right w:val="single" w:sz="4" w:space="0" w:color="000000"/>
            </w:tcBorders>
            <w:vAlign w:val="center"/>
            <w:hideMark/>
          </w:tcPr>
          <w:p w14:paraId="1D704B0B"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7FBA6A1"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0C347331"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5333C64A"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r>
      <w:tr w:rsidR="00251BD1" w:rsidRPr="00103CC2" w14:paraId="488E4E20"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45B9E31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074AAE8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5716F09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2619F3B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4CA72877"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Reservas de Capital</w:t>
            </w:r>
          </w:p>
        </w:tc>
        <w:tc>
          <w:tcPr>
            <w:tcW w:w="374" w:type="dxa"/>
            <w:tcBorders>
              <w:top w:val="nil"/>
              <w:left w:val="nil"/>
              <w:bottom w:val="nil"/>
              <w:right w:val="single" w:sz="4" w:space="0" w:color="000000"/>
            </w:tcBorders>
            <w:shd w:val="clear" w:color="000000" w:fill="FFFFFF"/>
            <w:hideMark/>
          </w:tcPr>
          <w:p w14:paraId="43C84289"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74AD4B6C"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w:t>
            </w:r>
          </w:p>
        </w:tc>
        <w:tc>
          <w:tcPr>
            <w:tcW w:w="1426" w:type="dxa"/>
            <w:vMerge w:val="restart"/>
            <w:tcBorders>
              <w:top w:val="nil"/>
              <w:left w:val="single" w:sz="4" w:space="0" w:color="000000"/>
              <w:bottom w:val="nil"/>
              <w:right w:val="single" w:sz="4" w:space="0" w:color="000000"/>
            </w:tcBorders>
            <w:shd w:val="clear" w:color="000000" w:fill="FFFFFF"/>
            <w:hideMark/>
          </w:tcPr>
          <w:p w14:paraId="37335D47"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2.266.923,14</w:t>
            </w:r>
          </w:p>
        </w:tc>
      </w:tr>
      <w:tr w:rsidR="00251BD1" w:rsidRPr="00103CC2" w14:paraId="0B849748"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1657F99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Participações Avaliadas pelo Método de Custo</w:t>
            </w:r>
          </w:p>
        </w:tc>
        <w:tc>
          <w:tcPr>
            <w:tcW w:w="374" w:type="dxa"/>
            <w:tcBorders>
              <w:top w:val="nil"/>
              <w:left w:val="nil"/>
              <w:bottom w:val="nil"/>
              <w:right w:val="single" w:sz="4" w:space="0" w:color="000000"/>
            </w:tcBorders>
            <w:shd w:val="clear" w:color="000000" w:fill="FFFFFF"/>
            <w:hideMark/>
          </w:tcPr>
          <w:p w14:paraId="480EF92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0178810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4.817.183,16</w:t>
            </w:r>
          </w:p>
        </w:tc>
        <w:tc>
          <w:tcPr>
            <w:tcW w:w="1519" w:type="dxa"/>
            <w:vMerge w:val="restart"/>
            <w:tcBorders>
              <w:top w:val="nil"/>
              <w:left w:val="single" w:sz="4" w:space="0" w:color="000000"/>
              <w:bottom w:val="nil"/>
              <w:right w:val="single" w:sz="4" w:space="0" w:color="000000"/>
            </w:tcBorders>
            <w:shd w:val="clear" w:color="000000" w:fill="FFFFFF"/>
            <w:hideMark/>
          </w:tcPr>
          <w:p w14:paraId="06FB47D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4.817.183,16</w:t>
            </w:r>
          </w:p>
        </w:tc>
        <w:tc>
          <w:tcPr>
            <w:tcW w:w="2968" w:type="dxa"/>
            <w:gridSpan w:val="2"/>
            <w:vMerge/>
            <w:tcBorders>
              <w:top w:val="nil"/>
              <w:left w:val="single" w:sz="4" w:space="0" w:color="000000"/>
              <w:bottom w:val="nil"/>
              <w:right w:val="single" w:sz="4" w:space="0" w:color="000000"/>
            </w:tcBorders>
            <w:vAlign w:val="center"/>
            <w:hideMark/>
          </w:tcPr>
          <w:p w14:paraId="710073A0"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3960A904"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4C40BF44"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6AF6721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r>
      <w:tr w:rsidR="00251BD1" w:rsidRPr="00103CC2" w14:paraId="72FBC554"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78AC696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0954F38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1B1065B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5F1B73E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3B3B1F65"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Ajustes de Avaliação Patrimonial</w:t>
            </w:r>
          </w:p>
        </w:tc>
        <w:tc>
          <w:tcPr>
            <w:tcW w:w="374" w:type="dxa"/>
            <w:tcBorders>
              <w:top w:val="nil"/>
              <w:left w:val="nil"/>
              <w:bottom w:val="nil"/>
              <w:right w:val="single" w:sz="4" w:space="0" w:color="000000"/>
            </w:tcBorders>
            <w:shd w:val="clear" w:color="000000" w:fill="FFFFFF"/>
            <w:hideMark/>
          </w:tcPr>
          <w:p w14:paraId="6630266D"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603F2167"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33.706.140,92</w:t>
            </w:r>
          </w:p>
        </w:tc>
        <w:tc>
          <w:tcPr>
            <w:tcW w:w="1426" w:type="dxa"/>
            <w:vMerge w:val="restart"/>
            <w:tcBorders>
              <w:top w:val="nil"/>
              <w:left w:val="single" w:sz="4" w:space="0" w:color="000000"/>
              <w:bottom w:val="nil"/>
              <w:right w:val="single" w:sz="4" w:space="0" w:color="000000"/>
            </w:tcBorders>
            <w:shd w:val="clear" w:color="000000" w:fill="FFFFFF"/>
            <w:hideMark/>
          </w:tcPr>
          <w:p w14:paraId="70F14548"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35.905.204,38</w:t>
            </w:r>
          </w:p>
        </w:tc>
      </w:tr>
      <w:tr w:rsidR="00251BD1" w:rsidRPr="00103CC2" w14:paraId="004ACFA1"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3FCE103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Propriedades para Investimento</w:t>
            </w:r>
          </w:p>
        </w:tc>
        <w:tc>
          <w:tcPr>
            <w:tcW w:w="374" w:type="dxa"/>
            <w:tcBorders>
              <w:top w:val="nil"/>
              <w:left w:val="nil"/>
              <w:bottom w:val="nil"/>
              <w:right w:val="single" w:sz="4" w:space="0" w:color="000000"/>
            </w:tcBorders>
            <w:shd w:val="clear" w:color="000000" w:fill="FFFFFF"/>
            <w:hideMark/>
          </w:tcPr>
          <w:p w14:paraId="5F4FF83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19F1928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638FCC6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1EA1EA42"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44A4A118"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7AC4FB9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71F5DDC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r>
      <w:tr w:rsidR="00251BD1" w:rsidRPr="00103CC2" w14:paraId="0B5233E7"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510BF1F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524F279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41AF9CC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091F84D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19373B0B"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Reservas de Lucros</w:t>
            </w:r>
          </w:p>
        </w:tc>
        <w:tc>
          <w:tcPr>
            <w:tcW w:w="374" w:type="dxa"/>
            <w:tcBorders>
              <w:top w:val="nil"/>
              <w:left w:val="nil"/>
              <w:bottom w:val="nil"/>
              <w:right w:val="single" w:sz="4" w:space="0" w:color="000000"/>
            </w:tcBorders>
            <w:shd w:val="clear" w:color="000000" w:fill="FFFFFF"/>
            <w:hideMark/>
          </w:tcPr>
          <w:p w14:paraId="76E0C4C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27EAC1F8"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w:t>
            </w:r>
          </w:p>
        </w:tc>
        <w:tc>
          <w:tcPr>
            <w:tcW w:w="1426" w:type="dxa"/>
            <w:vMerge w:val="restart"/>
            <w:tcBorders>
              <w:top w:val="nil"/>
              <w:left w:val="single" w:sz="4" w:space="0" w:color="000000"/>
              <w:bottom w:val="nil"/>
              <w:right w:val="single" w:sz="4" w:space="0" w:color="000000"/>
            </w:tcBorders>
            <w:shd w:val="clear" w:color="000000" w:fill="FFFFFF"/>
            <w:hideMark/>
          </w:tcPr>
          <w:p w14:paraId="7420044F"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w:t>
            </w:r>
          </w:p>
        </w:tc>
      </w:tr>
      <w:tr w:rsidR="00251BD1" w:rsidRPr="00103CC2" w14:paraId="1D977393"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6B9DD94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Propriedades para Investimento</w:t>
            </w:r>
          </w:p>
        </w:tc>
        <w:tc>
          <w:tcPr>
            <w:tcW w:w="374" w:type="dxa"/>
            <w:tcBorders>
              <w:top w:val="nil"/>
              <w:left w:val="nil"/>
              <w:bottom w:val="nil"/>
              <w:right w:val="single" w:sz="4" w:space="0" w:color="000000"/>
            </w:tcBorders>
            <w:shd w:val="clear" w:color="000000" w:fill="FFFFFF"/>
            <w:hideMark/>
          </w:tcPr>
          <w:p w14:paraId="21A5EAD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752DFC0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0029DFC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61798883"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0E76F98A"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054FCCDF"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61734128"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r>
      <w:tr w:rsidR="00251BD1" w:rsidRPr="00103CC2" w14:paraId="6B7CE0A6"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5639924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9ADEA1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1FFA399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5D80296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18C11C34"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Demais Reservas</w:t>
            </w:r>
          </w:p>
        </w:tc>
        <w:tc>
          <w:tcPr>
            <w:tcW w:w="374" w:type="dxa"/>
            <w:tcBorders>
              <w:top w:val="nil"/>
              <w:left w:val="nil"/>
              <w:bottom w:val="nil"/>
              <w:right w:val="single" w:sz="4" w:space="0" w:color="000000"/>
            </w:tcBorders>
            <w:shd w:val="clear" w:color="000000" w:fill="FFFFFF"/>
            <w:hideMark/>
          </w:tcPr>
          <w:p w14:paraId="4363AAD1"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619CE90B"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2.199.249,26</w:t>
            </w:r>
          </w:p>
        </w:tc>
        <w:tc>
          <w:tcPr>
            <w:tcW w:w="1426" w:type="dxa"/>
            <w:vMerge w:val="restart"/>
            <w:tcBorders>
              <w:top w:val="nil"/>
              <w:left w:val="single" w:sz="4" w:space="0" w:color="000000"/>
              <w:bottom w:val="nil"/>
              <w:right w:val="single" w:sz="4" w:space="0" w:color="000000"/>
            </w:tcBorders>
            <w:shd w:val="clear" w:color="000000" w:fill="FFFFFF"/>
            <w:hideMark/>
          </w:tcPr>
          <w:p w14:paraId="5BA53205"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2.695.992,14</w:t>
            </w:r>
          </w:p>
        </w:tc>
      </w:tr>
      <w:tr w:rsidR="00251BD1" w:rsidRPr="00103CC2" w14:paraId="4CC3669D"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30C343A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Depreciação Acumulada de Propriedades p/ Investime</w:t>
            </w:r>
            <w:r w:rsidRPr="00103CC2">
              <w:rPr>
                <w:rFonts w:ascii="Arial" w:eastAsia="Times New Roman" w:hAnsi="Arial" w:cs="Arial"/>
                <w:color w:val="000000"/>
                <w:kern w:val="0"/>
                <w:sz w:val="12"/>
                <w:szCs w:val="12"/>
                <w:lang w:eastAsia="pt-BR" w:bidi="ar-SA"/>
              </w:rPr>
              <w:t>n</w:t>
            </w:r>
            <w:r w:rsidRPr="00103CC2">
              <w:rPr>
                <w:rFonts w:ascii="Arial" w:eastAsia="Times New Roman" w:hAnsi="Arial" w:cs="Arial"/>
                <w:color w:val="000000"/>
                <w:kern w:val="0"/>
                <w:sz w:val="12"/>
                <w:szCs w:val="12"/>
                <w:lang w:eastAsia="pt-BR" w:bidi="ar-SA"/>
              </w:rPr>
              <w:t>tos</w:t>
            </w:r>
          </w:p>
        </w:tc>
        <w:tc>
          <w:tcPr>
            <w:tcW w:w="374" w:type="dxa"/>
            <w:tcBorders>
              <w:top w:val="nil"/>
              <w:left w:val="nil"/>
              <w:bottom w:val="nil"/>
              <w:right w:val="single" w:sz="4" w:space="0" w:color="000000"/>
            </w:tcBorders>
            <w:shd w:val="clear" w:color="000000" w:fill="FFFFFF"/>
            <w:hideMark/>
          </w:tcPr>
          <w:p w14:paraId="4E07478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08506C3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1054A08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199FEC89"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741F6C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28A5BE56"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7983B4F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r>
      <w:tr w:rsidR="00251BD1" w:rsidRPr="00103CC2" w14:paraId="70A1E3BA"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7F44761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00724CA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3BF2B06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6866392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34AC963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Resultados Acumulados</w:t>
            </w:r>
          </w:p>
        </w:tc>
        <w:tc>
          <w:tcPr>
            <w:tcW w:w="374" w:type="dxa"/>
            <w:tcBorders>
              <w:top w:val="nil"/>
              <w:left w:val="nil"/>
              <w:bottom w:val="nil"/>
              <w:right w:val="single" w:sz="4" w:space="0" w:color="000000"/>
            </w:tcBorders>
            <w:shd w:val="clear" w:color="000000" w:fill="FFFFFF"/>
            <w:hideMark/>
          </w:tcPr>
          <w:p w14:paraId="5C0C9E04"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6B16E2F5"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195.107.016.253,79</w:t>
            </w:r>
          </w:p>
        </w:tc>
        <w:tc>
          <w:tcPr>
            <w:tcW w:w="1426" w:type="dxa"/>
            <w:vMerge w:val="restart"/>
            <w:tcBorders>
              <w:top w:val="nil"/>
              <w:left w:val="single" w:sz="4" w:space="0" w:color="000000"/>
              <w:bottom w:val="nil"/>
              <w:right w:val="single" w:sz="4" w:space="0" w:color="000000"/>
            </w:tcBorders>
            <w:shd w:val="clear" w:color="000000" w:fill="FFFFFF"/>
            <w:hideMark/>
          </w:tcPr>
          <w:p w14:paraId="680DB33C"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178.229.570.499,85</w:t>
            </w:r>
          </w:p>
        </w:tc>
      </w:tr>
      <w:tr w:rsidR="00251BD1" w:rsidRPr="00103CC2" w14:paraId="2A64C647"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0DAA5C1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Redução ao Valor Rec. de Propriedades para Invest</w:t>
            </w:r>
            <w:r w:rsidRPr="00103CC2">
              <w:rPr>
                <w:rFonts w:ascii="Arial" w:eastAsia="Times New Roman" w:hAnsi="Arial" w:cs="Arial"/>
                <w:color w:val="000000"/>
                <w:kern w:val="0"/>
                <w:sz w:val="12"/>
                <w:szCs w:val="12"/>
                <w:lang w:eastAsia="pt-BR" w:bidi="ar-SA"/>
              </w:rPr>
              <w:t>i</w:t>
            </w:r>
            <w:r w:rsidRPr="00103CC2">
              <w:rPr>
                <w:rFonts w:ascii="Arial" w:eastAsia="Times New Roman" w:hAnsi="Arial" w:cs="Arial"/>
                <w:color w:val="000000"/>
                <w:kern w:val="0"/>
                <w:sz w:val="12"/>
                <w:szCs w:val="12"/>
                <w:lang w:eastAsia="pt-BR" w:bidi="ar-SA"/>
              </w:rPr>
              <w:t>mentos</w:t>
            </w:r>
          </w:p>
        </w:tc>
        <w:tc>
          <w:tcPr>
            <w:tcW w:w="374" w:type="dxa"/>
            <w:tcBorders>
              <w:top w:val="nil"/>
              <w:left w:val="nil"/>
              <w:bottom w:val="nil"/>
              <w:right w:val="single" w:sz="4" w:space="0" w:color="000000"/>
            </w:tcBorders>
            <w:shd w:val="clear" w:color="000000" w:fill="FFFFFF"/>
            <w:hideMark/>
          </w:tcPr>
          <w:p w14:paraId="5B9BD29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03E9FA5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4234AFA5"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7A432BF2"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DF9EF67"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7862326F"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6A35BB71"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r>
      <w:tr w:rsidR="00251BD1" w:rsidRPr="00103CC2" w14:paraId="24359A70"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77175EA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5697ADE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13F71A1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09AF928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2F963B0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Resultado do Exercício</w:t>
            </w:r>
          </w:p>
        </w:tc>
        <w:tc>
          <w:tcPr>
            <w:tcW w:w="374" w:type="dxa"/>
            <w:tcBorders>
              <w:top w:val="nil"/>
              <w:left w:val="nil"/>
              <w:bottom w:val="nil"/>
              <w:right w:val="single" w:sz="4" w:space="0" w:color="000000"/>
            </w:tcBorders>
            <w:shd w:val="clear" w:color="000000" w:fill="FFFFFF"/>
            <w:hideMark/>
          </w:tcPr>
          <w:p w14:paraId="3162AB5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315527B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16.650.106.057,39</w:t>
            </w:r>
          </w:p>
        </w:tc>
        <w:tc>
          <w:tcPr>
            <w:tcW w:w="1426" w:type="dxa"/>
            <w:vMerge w:val="restart"/>
            <w:tcBorders>
              <w:top w:val="nil"/>
              <w:left w:val="single" w:sz="4" w:space="0" w:color="000000"/>
              <w:bottom w:val="nil"/>
              <w:right w:val="single" w:sz="4" w:space="0" w:color="000000"/>
            </w:tcBorders>
            <w:shd w:val="clear" w:color="000000" w:fill="FFFFFF"/>
            <w:hideMark/>
          </w:tcPr>
          <w:p w14:paraId="2AE166E8"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13.282.640.745,42</w:t>
            </w:r>
          </w:p>
        </w:tc>
      </w:tr>
      <w:tr w:rsidR="00251BD1" w:rsidRPr="00103CC2" w14:paraId="7DC39160"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3772917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Investimentos do RPPS de Longo Prazo</w:t>
            </w:r>
          </w:p>
        </w:tc>
        <w:tc>
          <w:tcPr>
            <w:tcW w:w="374" w:type="dxa"/>
            <w:tcBorders>
              <w:top w:val="nil"/>
              <w:left w:val="nil"/>
              <w:bottom w:val="nil"/>
              <w:right w:val="single" w:sz="4" w:space="0" w:color="000000"/>
            </w:tcBorders>
            <w:shd w:val="clear" w:color="000000" w:fill="FFFFFF"/>
            <w:hideMark/>
          </w:tcPr>
          <w:p w14:paraId="4142F60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40E4E05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277FC1E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6B3F63C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9E3E2D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3681732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1F2C339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450438DF" w14:textId="77777777" w:rsidTr="001F5575">
        <w:trPr>
          <w:trHeight w:val="225"/>
          <w:jc w:val="center"/>
        </w:trPr>
        <w:tc>
          <w:tcPr>
            <w:tcW w:w="3765" w:type="dxa"/>
            <w:gridSpan w:val="6"/>
            <w:vMerge/>
            <w:tcBorders>
              <w:top w:val="nil"/>
              <w:left w:val="single" w:sz="4" w:space="0" w:color="000000"/>
              <w:bottom w:val="nil"/>
              <w:right w:val="single" w:sz="4" w:space="0" w:color="000000"/>
            </w:tcBorders>
            <w:vAlign w:val="center"/>
            <w:hideMark/>
          </w:tcPr>
          <w:p w14:paraId="52ACFD3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517A419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5A33940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07C1A2C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2A8ECA3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Resultados de Exercícios Anteriores</w:t>
            </w:r>
          </w:p>
        </w:tc>
        <w:tc>
          <w:tcPr>
            <w:tcW w:w="374" w:type="dxa"/>
            <w:tcBorders>
              <w:top w:val="nil"/>
              <w:left w:val="nil"/>
              <w:bottom w:val="nil"/>
              <w:right w:val="single" w:sz="4" w:space="0" w:color="000000"/>
            </w:tcBorders>
            <w:shd w:val="clear" w:color="000000" w:fill="FFFFFF"/>
            <w:hideMark/>
          </w:tcPr>
          <w:p w14:paraId="42F18277"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06</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4626F62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178.232.334.165,87</w:t>
            </w:r>
          </w:p>
        </w:tc>
        <w:tc>
          <w:tcPr>
            <w:tcW w:w="1426" w:type="dxa"/>
            <w:vMerge w:val="restart"/>
            <w:tcBorders>
              <w:top w:val="nil"/>
              <w:left w:val="single" w:sz="4" w:space="0" w:color="000000"/>
              <w:bottom w:val="nil"/>
              <w:right w:val="single" w:sz="4" w:space="0" w:color="000000"/>
            </w:tcBorders>
            <w:shd w:val="clear" w:color="000000" w:fill="FFFFFF"/>
            <w:hideMark/>
          </w:tcPr>
          <w:p w14:paraId="5FBF329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164.796.806.925,32</w:t>
            </w:r>
          </w:p>
        </w:tc>
      </w:tr>
      <w:tr w:rsidR="00251BD1" w:rsidRPr="00103CC2" w14:paraId="16365262"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4E06AC6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Investimentos do RPPS de Longo Prazo</w:t>
            </w:r>
          </w:p>
        </w:tc>
        <w:tc>
          <w:tcPr>
            <w:tcW w:w="374" w:type="dxa"/>
            <w:tcBorders>
              <w:top w:val="nil"/>
              <w:left w:val="nil"/>
              <w:bottom w:val="nil"/>
              <w:right w:val="single" w:sz="4" w:space="0" w:color="000000"/>
            </w:tcBorders>
            <w:shd w:val="clear" w:color="000000" w:fill="FFFFFF"/>
            <w:hideMark/>
          </w:tcPr>
          <w:p w14:paraId="71120DF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5CAEAF4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3487C61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57C7EF4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C34094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6353E9D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253FA8A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45C3A7E8"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3D033E2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40748C7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523D04A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09E82B3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2ACEF82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Ajustes de Exercícios Anteriores</w:t>
            </w:r>
          </w:p>
        </w:tc>
        <w:tc>
          <w:tcPr>
            <w:tcW w:w="374" w:type="dxa"/>
            <w:tcBorders>
              <w:top w:val="nil"/>
              <w:left w:val="nil"/>
              <w:bottom w:val="nil"/>
              <w:right w:val="single" w:sz="4" w:space="0" w:color="000000"/>
            </w:tcBorders>
            <w:shd w:val="clear" w:color="000000" w:fill="FFFFFF"/>
            <w:hideMark/>
          </w:tcPr>
          <w:p w14:paraId="6112F73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2FA1D26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224.576.030,53</w:t>
            </w:r>
          </w:p>
        </w:tc>
        <w:tc>
          <w:tcPr>
            <w:tcW w:w="1426" w:type="dxa"/>
            <w:vMerge w:val="restart"/>
            <w:tcBorders>
              <w:top w:val="nil"/>
              <w:left w:val="single" w:sz="4" w:space="0" w:color="000000"/>
              <w:bottom w:val="nil"/>
              <w:right w:val="single" w:sz="4" w:space="0" w:color="000000"/>
            </w:tcBorders>
            <w:shd w:val="clear" w:color="000000" w:fill="FFFFFF"/>
            <w:hideMark/>
          </w:tcPr>
          <w:p w14:paraId="6E120E83"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150.122.829,11</w:t>
            </w:r>
          </w:p>
        </w:tc>
      </w:tr>
      <w:tr w:rsidR="00251BD1" w:rsidRPr="00103CC2" w14:paraId="4149AC1E"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7E0D53E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Redução ao Valor Recuperável de Investimentos do RPPS</w:t>
            </w:r>
          </w:p>
        </w:tc>
        <w:tc>
          <w:tcPr>
            <w:tcW w:w="374" w:type="dxa"/>
            <w:tcBorders>
              <w:top w:val="nil"/>
              <w:left w:val="nil"/>
              <w:bottom w:val="nil"/>
              <w:right w:val="single" w:sz="4" w:space="0" w:color="000000"/>
            </w:tcBorders>
            <w:shd w:val="clear" w:color="000000" w:fill="FFFFFF"/>
            <w:hideMark/>
          </w:tcPr>
          <w:p w14:paraId="6058E94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4DFB699E"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410FBE25"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13FE72E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38BADA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4091214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1AB588B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44363A43"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425CCF1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D82920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1529187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649C8C3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64BCAF10"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Ações / Cotas em Tesouraria</w:t>
            </w:r>
          </w:p>
        </w:tc>
        <w:tc>
          <w:tcPr>
            <w:tcW w:w="374" w:type="dxa"/>
            <w:tcBorders>
              <w:top w:val="nil"/>
              <w:left w:val="nil"/>
              <w:bottom w:val="nil"/>
              <w:right w:val="single" w:sz="4" w:space="0" w:color="000000"/>
            </w:tcBorders>
            <w:shd w:val="clear" w:color="000000" w:fill="FFFFFF"/>
            <w:hideMark/>
          </w:tcPr>
          <w:p w14:paraId="3594EDC7"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2D72B386"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w:t>
            </w:r>
          </w:p>
        </w:tc>
        <w:tc>
          <w:tcPr>
            <w:tcW w:w="1426" w:type="dxa"/>
            <w:vMerge w:val="restart"/>
            <w:tcBorders>
              <w:top w:val="nil"/>
              <w:left w:val="single" w:sz="4" w:space="0" w:color="000000"/>
              <w:bottom w:val="nil"/>
              <w:right w:val="single" w:sz="4" w:space="0" w:color="000000"/>
            </w:tcBorders>
            <w:shd w:val="clear" w:color="000000" w:fill="FFFFFF"/>
            <w:hideMark/>
          </w:tcPr>
          <w:p w14:paraId="245DF96B"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w:t>
            </w:r>
          </w:p>
        </w:tc>
      </w:tr>
      <w:tr w:rsidR="00251BD1" w:rsidRPr="00103CC2" w14:paraId="47A051DB"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6F66059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Demais Investimentos Permanentes</w:t>
            </w:r>
          </w:p>
        </w:tc>
        <w:tc>
          <w:tcPr>
            <w:tcW w:w="374" w:type="dxa"/>
            <w:tcBorders>
              <w:top w:val="nil"/>
              <w:left w:val="nil"/>
              <w:bottom w:val="nil"/>
              <w:right w:val="single" w:sz="4" w:space="0" w:color="000000"/>
            </w:tcBorders>
            <w:shd w:val="clear" w:color="000000" w:fill="FFFFFF"/>
            <w:hideMark/>
          </w:tcPr>
          <w:p w14:paraId="37F239B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629E027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22.695,54</w:t>
            </w:r>
          </w:p>
        </w:tc>
        <w:tc>
          <w:tcPr>
            <w:tcW w:w="1519" w:type="dxa"/>
            <w:vMerge w:val="restart"/>
            <w:tcBorders>
              <w:top w:val="nil"/>
              <w:left w:val="single" w:sz="4" w:space="0" w:color="000000"/>
              <w:bottom w:val="nil"/>
              <w:right w:val="single" w:sz="4" w:space="0" w:color="000000"/>
            </w:tcBorders>
            <w:shd w:val="clear" w:color="000000" w:fill="FFFFFF"/>
            <w:hideMark/>
          </w:tcPr>
          <w:p w14:paraId="62D1844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22.695,54</w:t>
            </w:r>
          </w:p>
        </w:tc>
        <w:tc>
          <w:tcPr>
            <w:tcW w:w="2968" w:type="dxa"/>
            <w:gridSpan w:val="2"/>
            <w:vMerge/>
            <w:tcBorders>
              <w:top w:val="nil"/>
              <w:left w:val="single" w:sz="4" w:space="0" w:color="000000"/>
              <w:bottom w:val="nil"/>
              <w:right w:val="single" w:sz="4" w:space="0" w:color="000000"/>
            </w:tcBorders>
            <w:vAlign w:val="center"/>
            <w:hideMark/>
          </w:tcPr>
          <w:p w14:paraId="1ACC1A45"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3187C52"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7D66128D"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4FE2B757"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r>
      <w:tr w:rsidR="00251BD1" w:rsidRPr="00103CC2" w14:paraId="1DC23F17"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6C7122C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4B5160C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0BF981D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7DF6D1A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hideMark/>
          </w:tcPr>
          <w:p w14:paraId="00D59E28"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TOTAL DO PATRIMÔNIO LÍQUIDO</w:t>
            </w:r>
          </w:p>
        </w:tc>
        <w:tc>
          <w:tcPr>
            <w:tcW w:w="374" w:type="dxa"/>
            <w:tcBorders>
              <w:top w:val="single" w:sz="4" w:space="0" w:color="000000"/>
              <w:left w:val="nil"/>
              <w:bottom w:val="single" w:sz="4" w:space="0" w:color="000000"/>
              <w:right w:val="single" w:sz="4" w:space="0" w:color="000000"/>
            </w:tcBorders>
            <w:shd w:val="clear" w:color="000000" w:fill="FFFFFF"/>
            <w:hideMark/>
          </w:tcPr>
          <w:p w14:paraId="1E2117B6"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hideMark/>
          </w:tcPr>
          <w:p w14:paraId="769756EA"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207.724.905.841,14</w:t>
            </w:r>
          </w:p>
        </w:tc>
        <w:tc>
          <w:tcPr>
            <w:tcW w:w="1426" w:type="dxa"/>
            <w:vMerge w:val="restart"/>
            <w:tcBorders>
              <w:top w:val="single" w:sz="4" w:space="0" w:color="000000"/>
              <w:left w:val="single" w:sz="4" w:space="0" w:color="000000"/>
              <w:bottom w:val="single" w:sz="4" w:space="0" w:color="000000"/>
              <w:right w:val="single" w:sz="4" w:space="0" w:color="000000"/>
            </w:tcBorders>
            <w:shd w:val="clear" w:color="000000" w:fill="FFFFFF"/>
            <w:hideMark/>
          </w:tcPr>
          <w:p w14:paraId="26EE4463"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190.516.214.795,75</w:t>
            </w:r>
          </w:p>
        </w:tc>
      </w:tr>
      <w:tr w:rsidR="00251BD1" w:rsidRPr="00103CC2" w14:paraId="00F5BF0F"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3FFB26E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Demais Investimentos Permanentes</w:t>
            </w:r>
          </w:p>
        </w:tc>
        <w:tc>
          <w:tcPr>
            <w:tcW w:w="374" w:type="dxa"/>
            <w:tcBorders>
              <w:top w:val="nil"/>
              <w:left w:val="nil"/>
              <w:bottom w:val="nil"/>
              <w:right w:val="single" w:sz="4" w:space="0" w:color="000000"/>
            </w:tcBorders>
            <w:shd w:val="clear" w:color="000000" w:fill="FFFFFF"/>
            <w:hideMark/>
          </w:tcPr>
          <w:p w14:paraId="210F513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63AA9B4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22.695,54</w:t>
            </w:r>
          </w:p>
        </w:tc>
        <w:tc>
          <w:tcPr>
            <w:tcW w:w="1519" w:type="dxa"/>
            <w:vMerge w:val="restart"/>
            <w:tcBorders>
              <w:top w:val="nil"/>
              <w:left w:val="single" w:sz="4" w:space="0" w:color="000000"/>
              <w:bottom w:val="nil"/>
              <w:right w:val="single" w:sz="4" w:space="0" w:color="000000"/>
            </w:tcBorders>
            <w:shd w:val="clear" w:color="000000" w:fill="FFFFFF"/>
            <w:hideMark/>
          </w:tcPr>
          <w:p w14:paraId="2313711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22.695,54</w:t>
            </w:r>
          </w:p>
        </w:tc>
        <w:tc>
          <w:tcPr>
            <w:tcW w:w="2968" w:type="dxa"/>
            <w:gridSpan w:val="2"/>
            <w:vMerge/>
            <w:tcBorders>
              <w:top w:val="nil"/>
              <w:left w:val="single" w:sz="4" w:space="0" w:color="000000"/>
              <w:bottom w:val="nil"/>
              <w:right w:val="single" w:sz="4" w:space="0" w:color="000000"/>
            </w:tcBorders>
            <w:vAlign w:val="center"/>
            <w:hideMark/>
          </w:tcPr>
          <w:p w14:paraId="3BE5928F"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single" w:sz="4" w:space="0" w:color="000000"/>
              <w:right w:val="single" w:sz="4" w:space="0" w:color="000000"/>
            </w:tcBorders>
            <w:shd w:val="clear" w:color="000000" w:fill="FFFFFF"/>
            <w:hideMark/>
          </w:tcPr>
          <w:p w14:paraId="71345BAD"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vMerge/>
            <w:tcBorders>
              <w:top w:val="nil"/>
              <w:left w:val="nil"/>
              <w:bottom w:val="single" w:sz="4" w:space="0" w:color="000000"/>
              <w:right w:val="single" w:sz="4" w:space="0" w:color="000000"/>
            </w:tcBorders>
            <w:vAlign w:val="center"/>
            <w:hideMark/>
          </w:tcPr>
          <w:p w14:paraId="00ADF2FD"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426" w:type="dxa"/>
            <w:vMerge/>
            <w:tcBorders>
              <w:top w:val="single" w:sz="4" w:space="0" w:color="000000"/>
              <w:left w:val="single" w:sz="4" w:space="0" w:color="000000"/>
              <w:bottom w:val="single" w:sz="4" w:space="0" w:color="000000"/>
              <w:right w:val="single" w:sz="4" w:space="0" w:color="000000"/>
            </w:tcBorders>
            <w:vAlign w:val="center"/>
            <w:hideMark/>
          </w:tcPr>
          <w:p w14:paraId="2C4F8032"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r>
      <w:tr w:rsidR="00251BD1" w:rsidRPr="00103CC2" w14:paraId="5F052CAE"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6EAF469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5534613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558271E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08581BC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372EAD5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14BC826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1EE2775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71081B1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12219124"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649006D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Redução ao Valor Recuperável de Demais Invest. Perm.</w:t>
            </w:r>
          </w:p>
        </w:tc>
        <w:tc>
          <w:tcPr>
            <w:tcW w:w="374" w:type="dxa"/>
            <w:tcBorders>
              <w:top w:val="nil"/>
              <w:left w:val="nil"/>
              <w:bottom w:val="nil"/>
              <w:right w:val="single" w:sz="4" w:space="0" w:color="000000"/>
            </w:tcBorders>
            <w:shd w:val="clear" w:color="000000" w:fill="FFFFFF"/>
            <w:hideMark/>
          </w:tcPr>
          <w:p w14:paraId="046475E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1D0CC19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0D6AA18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4EC4A22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688E46C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353F17F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508825D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27BBEEEA"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2CC9BD3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526D989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5184958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666840D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488D57A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71691ED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68D161F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43A839B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05F24926"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6FC94605"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Imobilizado</w:t>
            </w:r>
          </w:p>
        </w:tc>
        <w:tc>
          <w:tcPr>
            <w:tcW w:w="374" w:type="dxa"/>
            <w:tcBorders>
              <w:top w:val="nil"/>
              <w:left w:val="nil"/>
              <w:bottom w:val="nil"/>
              <w:right w:val="single" w:sz="4" w:space="0" w:color="000000"/>
            </w:tcBorders>
            <w:shd w:val="clear" w:color="000000" w:fill="FFFFFF"/>
            <w:hideMark/>
          </w:tcPr>
          <w:p w14:paraId="179024C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0FE0B766"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21.190.730.679,62</w:t>
            </w:r>
          </w:p>
        </w:tc>
        <w:tc>
          <w:tcPr>
            <w:tcW w:w="1519" w:type="dxa"/>
            <w:vMerge w:val="restart"/>
            <w:tcBorders>
              <w:top w:val="nil"/>
              <w:left w:val="single" w:sz="4" w:space="0" w:color="000000"/>
              <w:bottom w:val="nil"/>
              <w:right w:val="single" w:sz="4" w:space="0" w:color="000000"/>
            </w:tcBorders>
            <w:shd w:val="clear" w:color="000000" w:fill="FFFFFF"/>
            <w:hideMark/>
          </w:tcPr>
          <w:p w14:paraId="3AE87F40"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19.724.694.115,22</w:t>
            </w:r>
          </w:p>
        </w:tc>
        <w:tc>
          <w:tcPr>
            <w:tcW w:w="2968" w:type="dxa"/>
            <w:gridSpan w:val="2"/>
            <w:vMerge/>
            <w:tcBorders>
              <w:top w:val="nil"/>
              <w:left w:val="single" w:sz="4" w:space="0" w:color="000000"/>
              <w:bottom w:val="nil"/>
              <w:right w:val="single" w:sz="4" w:space="0" w:color="000000"/>
            </w:tcBorders>
            <w:vAlign w:val="center"/>
            <w:hideMark/>
          </w:tcPr>
          <w:p w14:paraId="046680C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6B66696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52E6162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5FEC43C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3E990387"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3AECEE54"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E7FD6D9"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7961FD7F"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3F46F9F5"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20EFF98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3145965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55A5C566"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5392B79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685D7C10"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0F29215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Bens Móveis</w:t>
            </w:r>
          </w:p>
        </w:tc>
        <w:tc>
          <w:tcPr>
            <w:tcW w:w="374" w:type="dxa"/>
            <w:tcBorders>
              <w:top w:val="nil"/>
              <w:left w:val="nil"/>
              <w:bottom w:val="nil"/>
              <w:right w:val="single" w:sz="4" w:space="0" w:color="000000"/>
            </w:tcBorders>
            <w:shd w:val="clear" w:color="000000" w:fill="FFFFFF"/>
            <w:hideMark/>
          </w:tcPr>
          <w:p w14:paraId="37F0010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0D6388B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2.024.335.201,26</w:t>
            </w:r>
          </w:p>
        </w:tc>
        <w:tc>
          <w:tcPr>
            <w:tcW w:w="1519" w:type="dxa"/>
            <w:vMerge w:val="restart"/>
            <w:tcBorders>
              <w:top w:val="nil"/>
              <w:left w:val="single" w:sz="4" w:space="0" w:color="000000"/>
              <w:bottom w:val="nil"/>
              <w:right w:val="single" w:sz="4" w:space="0" w:color="000000"/>
            </w:tcBorders>
            <w:shd w:val="clear" w:color="000000" w:fill="FFFFFF"/>
            <w:hideMark/>
          </w:tcPr>
          <w:p w14:paraId="3E817A6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2.008.501.764,10</w:t>
            </w:r>
          </w:p>
        </w:tc>
        <w:tc>
          <w:tcPr>
            <w:tcW w:w="2968" w:type="dxa"/>
            <w:gridSpan w:val="2"/>
            <w:vMerge/>
            <w:tcBorders>
              <w:top w:val="nil"/>
              <w:left w:val="single" w:sz="4" w:space="0" w:color="000000"/>
              <w:bottom w:val="nil"/>
              <w:right w:val="single" w:sz="4" w:space="0" w:color="000000"/>
            </w:tcBorders>
            <w:vAlign w:val="center"/>
            <w:hideMark/>
          </w:tcPr>
          <w:p w14:paraId="0842712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7FCB36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347C1B8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183946C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493B38A3"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656D52F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E15CAA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150CC74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2645E1B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61F1B53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10C13F7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60ABAAB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34C01D9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663D926C"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7FF8B3C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Bens Móveis</w:t>
            </w:r>
          </w:p>
        </w:tc>
        <w:tc>
          <w:tcPr>
            <w:tcW w:w="374" w:type="dxa"/>
            <w:tcBorders>
              <w:top w:val="nil"/>
              <w:left w:val="nil"/>
              <w:bottom w:val="nil"/>
              <w:right w:val="single" w:sz="4" w:space="0" w:color="000000"/>
            </w:tcBorders>
            <w:shd w:val="clear" w:color="000000" w:fill="FFFFFF"/>
            <w:hideMark/>
          </w:tcPr>
          <w:p w14:paraId="0316E9F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211958A8"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3.102.004.029,43</w:t>
            </w:r>
          </w:p>
        </w:tc>
        <w:tc>
          <w:tcPr>
            <w:tcW w:w="1519" w:type="dxa"/>
            <w:vMerge w:val="restart"/>
            <w:tcBorders>
              <w:top w:val="nil"/>
              <w:left w:val="single" w:sz="4" w:space="0" w:color="000000"/>
              <w:bottom w:val="nil"/>
              <w:right w:val="single" w:sz="4" w:space="0" w:color="000000"/>
            </w:tcBorders>
            <w:shd w:val="clear" w:color="000000" w:fill="FFFFFF"/>
            <w:hideMark/>
          </w:tcPr>
          <w:p w14:paraId="646AEEE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2.936.859.667,72</w:t>
            </w:r>
          </w:p>
        </w:tc>
        <w:tc>
          <w:tcPr>
            <w:tcW w:w="2968" w:type="dxa"/>
            <w:gridSpan w:val="2"/>
            <w:vMerge/>
            <w:tcBorders>
              <w:top w:val="nil"/>
              <w:left w:val="single" w:sz="4" w:space="0" w:color="000000"/>
              <w:bottom w:val="nil"/>
              <w:right w:val="single" w:sz="4" w:space="0" w:color="000000"/>
            </w:tcBorders>
            <w:vAlign w:val="center"/>
            <w:hideMark/>
          </w:tcPr>
          <w:p w14:paraId="755C553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23EAA8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6921AF4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4C4DF85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1F7DF87F"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6327317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1A29D1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06707D6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2487A55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02DFF5E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64E9178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5D37640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3104C81E"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157C3DA2"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3EB2F28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Depreciação/Amortização/Exaustão </w:t>
            </w:r>
            <w:proofErr w:type="spellStart"/>
            <w:r w:rsidRPr="00103CC2">
              <w:rPr>
                <w:rFonts w:ascii="Arial" w:eastAsia="Times New Roman" w:hAnsi="Arial" w:cs="Arial"/>
                <w:color w:val="000000"/>
                <w:kern w:val="0"/>
                <w:sz w:val="12"/>
                <w:szCs w:val="12"/>
                <w:lang w:eastAsia="pt-BR" w:bidi="ar-SA"/>
              </w:rPr>
              <w:t>Acum</w:t>
            </w:r>
            <w:proofErr w:type="spellEnd"/>
            <w:r w:rsidRPr="00103CC2">
              <w:rPr>
                <w:rFonts w:ascii="Arial" w:eastAsia="Times New Roman" w:hAnsi="Arial" w:cs="Arial"/>
                <w:color w:val="000000"/>
                <w:kern w:val="0"/>
                <w:sz w:val="12"/>
                <w:szCs w:val="12"/>
                <w:lang w:eastAsia="pt-BR" w:bidi="ar-SA"/>
              </w:rPr>
              <w:t>. de Bens Móveis</w:t>
            </w:r>
          </w:p>
        </w:tc>
        <w:tc>
          <w:tcPr>
            <w:tcW w:w="374" w:type="dxa"/>
            <w:tcBorders>
              <w:top w:val="nil"/>
              <w:left w:val="nil"/>
              <w:bottom w:val="nil"/>
              <w:right w:val="single" w:sz="4" w:space="0" w:color="000000"/>
            </w:tcBorders>
            <w:shd w:val="clear" w:color="000000" w:fill="FFFFFF"/>
            <w:hideMark/>
          </w:tcPr>
          <w:p w14:paraId="72102A4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713370F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-1.077.503.860,61</w:t>
            </w:r>
          </w:p>
        </w:tc>
        <w:tc>
          <w:tcPr>
            <w:tcW w:w="1519" w:type="dxa"/>
            <w:vMerge w:val="restart"/>
            <w:tcBorders>
              <w:top w:val="nil"/>
              <w:left w:val="single" w:sz="4" w:space="0" w:color="000000"/>
              <w:bottom w:val="nil"/>
              <w:right w:val="single" w:sz="4" w:space="0" w:color="000000"/>
            </w:tcBorders>
            <w:shd w:val="clear" w:color="000000" w:fill="FFFFFF"/>
            <w:hideMark/>
          </w:tcPr>
          <w:p w14:paraId="5D82698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-928.192.936,06</w:t>
            </w:r>
          </w:p>
        </w:tc>
        <w:tc>
          <w:tcPr>
            <w:tcW w:w="2968" w:type="dxa"/>
            <w:gridSpan w:val="2"/>
            <w:vMerge/>
            <w:tcBorders>
              <w:top w:val="nil"/>
              <w:left w:val="single" w:sz="4" w:space="0" w:color="000000"/>
              <w:bottom w:val="nil"/>
              <w:right w:val="single" w:sz="4" w:space="0" w:color="000000"/>
            </w:tcBorders>
            <w:vAlign w:val="center"/>
            <w:hideMark/>
          </w:tcPr>
          <w:p w14:paraId="6F18701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1790CD5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29234CD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4A46B43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3296F184"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5A55244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0F5E7D8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3701AE6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568C9EE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6BB7E21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0868BF8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35897D88"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76A1A72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136EEAB7"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63BC272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Redução ao Valor Recuperável de Bens Móveis</w:t>
            </w:r>
          </w:p>
        </w:tc>
        <w:tc>
          <w:tcPr>
            <w:tcW w:w="374" w:type="dxa"/>
            <w:tcBorders>
              <w:top w:val="nil"/>
              <w:left w:val="nil"/>
              <w:bottom w:val="nil"/>
              <w:right w:val="single" w:sz="4" w:space="0" w:color="000000"/>
            </w:tcBorders>
            <w:shd w:val="clear" w:color="000000" w:fill="FFFFFF"/>
            <w:hideMark/>
          </w:tcPr>
          <w:p w14:paraId="4436C09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0387F86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-164.967,56</w:t>
            </w:r>
          </w:p>
        </w:tc>
        <w:tc>
          <w:tcPr>
            <w:tcW w:w="1519" w:type="dxa"/>
            <w:vMerge w:val="restart"/>
            <w:tcBorders>
              <w:top w:val="nil"/>
              <w:left w:val="single" w:sz="4" w:space="0" w:color="000000"/>
              <w:bottom w:val="nil"/>
              <w:right w:val="single" w:sz="4" w:space="0" w:color="000000"/>
            </w:tcBorders>
            <w:shd w:val="clear" w:color="000000" w:fill="FFFFFF"/>
            <w:hideMark/>
          </w:tcPr>
          <w:p w14:paraId="1251C8E3"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-164.967,56</w:t>
            </w:r>
          </w:p>
        </w:tc>
        <w:tc>
          <w:tcPr>
            <w:tcW w:w="2968" w:type="dxa"/>
            <w:gridSpan w:val="2"/>
            <w:vMerge/>
            <w:tcBorders>
              <w:top w:val="nil"/>
              <w:left w:val="single" w:sz="4" w:space="0" w:color="000000"/>
              <w:bottom w:val="nil"/>
              <w:right w:val="single" w:sz="4" w:space="0" w:color="000000"/>
            </w:tcBorders>
            <w:vAlign w:val="center"/>
            <w:hideMark/>
          </w:tcPr>
          <w:p w14:paraId="66945FC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652BB27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586AFA5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1B11C2E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46F67BB7"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212F3D4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C4FB67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0918115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7B5DA76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52EBAC6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3641B5A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11E3618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5B221E6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1735C059"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78F4EAD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Bens Imóveis</w:t>
            </w:r>
          </w:p>
        </w:tc>
        <w:tc>
          <w:tcPr>
            <w:tcW w:w="374" w:type="dxa"/>
            <w:tcBorders>
              <w:top w:val="nil"/>
              <w:left w:val="nil"/>
              <w:bottom w:val="nil"/>
              <w:right w:val="single" w:sz="4" w:space="0" w:color="000000"/>
            </w:tcBorders>
            <w:shd w:val="clear" w:color="000000" w:fill="FFFFFF"/>
            <w:hideMark/>
          </w:tcPr>
          <w:p w14:paraId="66E1AE9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7AF2CBB6"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19.166.395.478,36</w:t>
            </w:r>
          </w:p>
        </w:tc>
        <w:tc>
          <w:tcPr>
            <w:tcW w:w="1519" w:type="dxa"/>
            <w:vMerge w:val="restart"/>
            <w:tcBorders>
              <w:top w:val="nil"/>
              <w:left w:val="single" w:sz="4" w:space="0" w:color="000000"/>
              <w:bottom w:val="nil"/>
              <w:right w:val="single" w:sz="4" w:space="0" w:color="000000"/>
            </w:tcBorders>
            <w:shd w:val="clear" w:color="000000" w:fill="FFFFFF"/>
            <w:hideMark/>
          </w:tcPr>
          <w:p w14:paraId="4F7DF98E"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17.716.192.351,12</w:t>
            </w:r>
          </w:p>
        </w:tc>
        <w:tc>
          <w:tcPr>
            <w:tcW w:w="2968" w:type="dxa"/>
            <w:gridSpan w:val="2"/>
            <w:vMerge/>
            <w:tcBorders>
              <w:top w:val="nil"/>
              <w:left w:val="single" w:sz="4" w:space="0" w:color="000000"/>
              <w:bottom w:val="nil"/>
              <w:right w:val="single" w:sz="4" w:space="0" w:color="000000"/>
            </w:tcBorders>
            <w:vAlign w:val="center"/>
            <w:hideMark/>
          </w:tcPr>
          <w:p w14:paraId="2EDBA0E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3AB9132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69210A2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338F301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0BDFBC20"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0420DAD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B775E8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2D71B89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7EC302A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1A4A527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304A218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26F6104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48DAC5B6"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099E3725"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2140C56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Bens Imóveis</w:t>
            </w:r>
          </w:p>
        </w:tc>
        <w:tc>
          <w:tcPr>
            <w:tcW w:w="374" w:type="dxa"/>
            <w:tcBorders>
              <w:top w:val="nil"/>
              <w:left w:val="nil"/>
              <w:bottom w:val="nil"/>
              <w:right w:val="single" w:sz="4" w:space="0" w:color="000000"/>
            </w:tcBorders>
            <w:shd w:val="clear" w:color="000000" w:fill="FFFFFF"/>
            <w:hideMark/>
          </w:tcPr>
          <w:p w14:paraId="4CE1FFF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1524C69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21.690.752.319,16</w:t>
            </w:r>
          </w:p>
        </w:tc>
        <w:tc>
          <w:tcPr>
            <w:tcW w:w="1519" w:type="dxa"/>
            <w:vMerge w:val="restart"/>
            <w:tcBorders>
              <w:top w:val="nil"/>
              <w:left w:val="single" w:sz="4" w:space="0" w:color="000000"/>
              <w:bottom w:val="nil"/>
              <w:right w:val="single" w:sz="4" w:space="0" w:color="000000"/>
            </w:tcBorders>
            <w:shd w:val="clear" w:color="000000" w:fill="FFFFFF"/>
            <w:hideMark/>
          </w:tcPr>
          <w:p w14:paraId="3EE3B3B3"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20.137.497.664,36</w:t>
            </w:r>
          </w:p>
        </w:tc>
        <w:tc>
          <w:tcPr>
            <w:tcW w:w="2968" w:type="dxa"/>
            <w:gridSpan w:val="2"/>
            <w:vMerge/>
            <w:tcBorders>
              <w:top w:val="nil"/>
              <w:left w:val="single" w:sz="4" w:space="0" w:color="000000"/>
              <w:bottom w:val="nil"/>
              <w:right w:val="single" w:sz="4" w:space="0" w:color="000000"/>
            </w:tcBorders>
            <w:vAlign w:val="center"/>
            <w:hideMark/>
          </w:tcPr>
          <w:p w14:paraId="4071A4E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62CF372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4284F20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0146866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3E432854"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15B63C3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0B31E58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143F942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662329B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6E03501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102564C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0597935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22FC25C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6FA96FA1"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316EE5D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Depr./Amortização/Exaustão </w:t>
            </w:r>
            <w:proofErr w:type="spellStart"/>
            <w:r w:rsidRPr="00103CC2">
              <w:rPr>
                <w:rFonts w:ascii="Arial" w:eastAsia="Times New Roman" w:hAnsi="Arial" w:cs="Arial"/>
                <w:color w:val="000000"/>
                <w:kern w:val="0"/>
                <w:sz w:val="12"/>
                <w:szCs w:val="12"/>
                <w:lang w:eastAsia="pt-BR" w:bidi="ar-SA"/>
              </w:rPr>
              <w:t>Acum</w:t>
            </w:r>
            <w:proofErr w:type="spellEnd"/>
            <w:r w:rsidRPr="00103CC2">
              <w:rPr>
                <w:rFonts w:ascii="Arial" w:eastAsia="Times New Roman" w:hAnsi="Arial" w:cs="Arial"/>
                <w:color w:val="000000"/>
                <w:kern w:val="0"/>
                <w:sz w:val="12"/>
                <w:szCs w:val="12"/>
                <w:lang w:eastAsia="pt-BR" w:bidi="ar-SA"/>
              </w:rPr>
              <w:t>. de Bens Imóveis</w:t>
            </w:r>
          </w:p>
        </w:tc>
        <w:tc>
          <w:tcPr>
            <w:tcW w:w="374" w:type="dxa"/>
            <w:tcBorders>
              <w:top w:val="nil"/>
              <w:left w:val="nil"/>
              <w:bottom w:val="nil"/>
              <w:right w:val="single" w:sz="4" w:space="0" w:color="000000"/>
            </w:tcBorders>
            <w:shd w:val="clear" w:color="000000" w:fill="FFFFFF"/>
            <w:hideMark/>
          </w:tcPr>
          <w:p w14:paraId="06748CA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4045905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-1.318.165.399,04</w:t>
            </w:r>
          </w:p>
        </w:tc>
        <w:tc>
          <w:tcPr>
            <w:tcW w:w="1519" w:type="dxa"/>
            <w:vMerge w:val="restart"/>
            <w:tcBorders>
              <w:top w:val="nil"/>
              <w:left w:val="single" w:sz="4" w:space="0" w:color="000000"/>
              <w:bottom w:val="nil"/>
              <w:right w:val="single" w:sz="4" w:space="0" w:color="000000"/>
            </w:tcBorders>
            <w:shd w:val="clear" w:color="000000" w:fill="FFFFFF"/>
            <w:hideMark/>
          </w:tcPr>
          <w:p w14:paraId="47BECB4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-1.215.113.871,48</w:t>
            </w:r>
          </w:p>
        </w:tc>
        <w:tc>
          <w:tcPr>
            <w:tcW w:w="2968" w:type="dxa"/>
            <w:gridSpan w:val="2"/>
            <w:vMerge/>
            <w:tcBorders>
              <w:top w:val="nil"/>
              <w:left w:val="single" w:sz="4" w:space="0" w:color="000000"/>
              <w:bottom w:val="nil"/>
              <w:right w:val="single" w:sz="4" w:space="0" w:color="000000"/>
            </w:tcBorders>
            <w:vAlign w:val="center"/>
            <w:hideMark/>
          </w:tcPr>
          <w:p w14:paraId="7D89E1D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DAA275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73B4D30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7B11A9B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562BABC0"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522C67B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0C9333B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0634C13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30E50F8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5E90AE5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6F7E123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528D4EB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1211F68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496CD9DE"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6468D79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Redução ao Valor Recuperável de Bens Imóveis</w:t>
            </w:r>
          </w:p>
        </w:tc>
        <w:tc>
          <w:tcPr>
            <w:tcW w:w="374" w:type="dxa"/>
            <w:tcBorders>
              <w:top w:val="nil"/>
              <w:left w:val="nil"/>
              <w:bottom w:val="nil"/>
              <w:right w:val="single" w:sz="4" w:space="0" w:color="000000"/>
            </w:tcBorders>
            <w:shd w:val="clear" w:color="000000" w:fill="FFFFFF"/>
            <w:hideMark/>
          </w:tcPr>
          <w:p w14:paraId="25248D5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064ED3E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-1.206.191.441,76</w:t>
            </w:r>
          </w:p>
        </w:tc>
        <w:tc>
          <w:tcPr>
            <w:tcW w:w="1519" w:type="dxa"/>
            <w:vMerge w:val="restart"/>
            <w:tcBorders>
              <w:top w:val="nil"/>
              <w:left w:val="single" w:sz="4" w:space="0" w:color="000000"/>
              <w:bottom w:val="nil"/>
              <w:right w:val="single" w:sz="4" w:space="0" w:color="000000"/>
            </w:tcBorders>
            <w:shd w:val="clear" w:color="000000" w:fill="FFFFFF"/>
            <w:hideMark/>
          </w:tcPr>
          <w:p w14:paraId="1924904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-1.206.191.441,76</w:t>
            </w:r>
          </w:p>
        </w:tc>
        <w:tc>
          <w:tcPr>
            <w:tcW w:w="2968" w:type="dxa"/>
            <w:gridSpan w:val="2"/>
            <w:vMerge/>
            <w:tcBorders>
              <w:top w:val="nil"/>
              <w:left w:val="single" w:sz="4" w:space="0" w:color="000000"/>
              <w:bottom w:val="nil"/>
              <w:right w:val="single" w:sz="4" w:space="0" w:color="000000"/>
            </w:tcBorders>
            <w:vAlign w:val="center"/>
            <w:hideMark/>
          </w:tcPr>
          <w:p w14:paraId="2ABFA63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1558958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026E089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524C051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63628F6A"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6FEEEA3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3B9B641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535CB8B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27278BA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3324E4C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296963B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4B23FB0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3E627D0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13BFED87"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5724BF9B"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Intangível</w:t>
            </w:r>
          </w:p>
        </w:tc>
        <w:tc>
          <w:tcPr>
            <w:tcW w:w="374" w:type="dxa"/>
            <w:tcBorders>
              <w:top w:val="nil"/>
              <w:left w:val="nil"/>
              <w:bottom w:val="nil"/>
              <w:right w:val="single" w:sz="4" w:space="0" w:color="000000"/>
            </w:tcBorders>
            <w:shd w:val="clear" w:color="000000" w:fill="FFFFFF"/>
            <w:hideMark/>
          </w:tcPr>
          <w:p w14:paraId="37D77EF1"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612DB106"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123.061.071,92</w:t>
            </w:r>
          </w:p>
        </w:tc>
        <w:tc>
          <w:tcPr>
            <w:tcW w:w="1519" w:type="dxa"/>
            <w:vMerge w:val="restart"/>
            <w:tcBorders>
              <w:top w:val="nil"/>
              <w:left w:val="single" w:sz="4" w:space="0" w:color="000000"/>
              <w:bottom w:val="nil"/>
              <w:right w:val="single" w:sz="4" w:space="0" w:color="000000"/>
            </w:tcBorders>
            <w:shd w:val="clear" w:color="000000" w:fill="FFFFFF"/>
            <w:hideMark/>
          </w:tcPr>
          <w:p w14:paraId="30ED2C57"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123.241.571,12</w:t>
            </w:r>
          </w:p>
        </w:tc>
        <w:tc>
          <w:tcPr>
            <w:tcW w:w="2968" w:type="dxa"/>
            <w:gridSpan w:val="2"/>
            <w:vMerge/>
            <w:tcBorders>
              <w:top w:val="nil"/>
              <w:left w:val="single" w:sz="4" w:space="0" w:color="000000"/>
              <w:bottom w:val="nil"/>
              <w:right w:val="single" w:sz="4" w:space="0" w:color="000000"/>
            </w:tcBorders>
            <w:vAlign w:val="center"/>
            <w:hideMark/>
          </w:tcPr>
          <w:p w14:paraId="15CAD46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1445D1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56B4597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5FD89B0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44FD999C"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45081E4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637F23A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1F886410"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4E7386D7"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4108B57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06260AB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7C75032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30082EF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4B292167"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4FFAC92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Softwares</w:t>
            </w:r>
          </w:p>
        </w:tc>
        <w:tc>
          <w:tcPr>
            <w:tcW w:w="374" w:type="dxa"/>
            <w:tcBorders>
              <w:top w:val="nil"/>
              <w:left w:val="nil"/>
              <w:bottom w:val="nil"/>
              <w:right w:val="single" w:sz="4" w:space="0" w:color="000000"/>
            </w:tcBorders>
            <w:shd w:val="clear" w:color="000000" w:fill="FFFFFF"/>
            <w:hideMark/>
          </w:tcPr>
          <w:p w14:paraId="6303514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1151090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103.488.171,62</w:t>
            </w:r>
          </w:p>
        </w:tc>
        <w:tc>
          <w:tcPr>
            <w:tcW w:w="1519" w:type="dxa"/>
            <w:vMerge w:val="restart"/>
            <w:tcBorders>
              <w:top w:val="nil"/>
              <w:left w:val="single" w:sz="4" w:space="0" w:color="000000"/>
              <w:bottom w:val="nil"/>
              <w:right w:val="single" w:sz="4" w:space="0" w:color="000000"/>
            </w:tcBorders>
            <w:shd w:val="clear" w:color="000000" w:fill="FFFFFF"/>
            <w:hideMark/>
          </w:tcPr>
          <w:p w14:paraId="6CD3FFE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103.664.193,72</w:t>
            </w:r>
          </w:p>
        </w:tc>
        <w:tc>
          <w:tcPr>
            <w:tcW w:w="2968" w:type="dxa"/>
            <w:gridSpan w:val="2"/>
            <w:vMerge/>
            <w:tcBorders>
              <w:top w:val="nil"/>
              <w:left w:val="single" w:sz="4" w:space="0" w:color="000000"/>
              <w:bottom w:val="nil"/>
              <w:right w:val="single" w:sz="4" w:space="0" w:color="000000"/>
            </w:tcBorders>
            <w:vAlign w:val="center"/>
            <w:hideMark/>
          </w:tcPr>
          <w:p w14:paraId="1C0DEB4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5D080E6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191CAEA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7C65097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7CC06D16"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03F339F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503B8D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1AD79AA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5C53C9A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156B401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4E859B7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76A96B5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5C88876E"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431968BE"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7D25D4E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Softwares</w:t>
            </w:r>
          </w:p>
        </w:tc>
        <w:tc>
          <w:tcPr>
            <w:tcW w:w="374" w:type="dxa"/>
            <w:tcBorders>
              <w:top w:val="nil"/>
              <w:left w:val="nil"/>
              <w:bottom w:val="nil"/>
              <w:right w:val="single" w:sz="4" w:space="0" w:color="000000"/>
            </w:tcBorders>
            <w:shd w:val="clear" w:color="000000" w:fill="FFFFFF"/>
            <w:hideMark/>
          </w:tcPr>
          <w:p w14:paraId="2F66BD0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136F68A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116.345.729,65</w:t>
            </w:r>
          </w:p>
        </w:tc>
        <w:tc>
          <w:tcPr>
            <w:tcW w:w="1519" w:type="dxa"/>
            <w:vMerge w:val="restart"/>
            <w:tcBorders>
              <w:top w:val="nil"/>
              <w:left w:val="single" w:sz="4" w:space="0" w:color="000000"/>
              <w:bottom w:val="nil"/>
              <w:right w:val="single" w:sz="4" w:space="0" w:color="000000"/>
            </w:tcBorders>
            <w:shd w:val="clear" w:color="000000" w:fill="FFFFFF"/>
            <w:hideMark/>
          </w:tcPr>
          <w:p w14:paraId="340F7D3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113.833.995,52</w:t>
            </w:r>
          </w:p>
        </w:tc>
        <w:tc>
          <w:tcPr>
            <w:tcW w:w="2968" w:type="dxa"/>
            <w:gridSpan w:val="2"/>
            <w:vMerge/>
            <w:tcBorders>
              <w:top w:val="nil"/>
              <w:left w:val="single" w:sz="4" w:space="0" w:color="000000"/>
              <w:bottom w:val="nil"/>
              <w:right w:val="single" w:sz="4" w:space="0" w:color="000000"/>
            </w:tcBorders>
            <w:vAlign w:val="center"/>
            <w:hideMark/>
          </w:tcPr>
          <w:p w14:paraId="514405B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399D248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5C8F85C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090C976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5802436D"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40D4137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2FACEC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0ADADA3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08F265D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5639DE9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051D3FD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4E27E88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6C10B525"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4DFB7AC4"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69E1978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Amortização Acumulada de Softwares</w:t>
            </w:r>
          </w:p>
        </w:tc>
        <w:tc>
          <w:tcPr>
            <w:tcW w:w="374" w:type="dxa"/>
            <w:tcBorders>
              <w:top w:val="nil"/>
              <w:left w:val="nil"/>
              <w:bottom w:val="nil"/>
              <w:right w:val="single" w:sz="4" w:space="0" w:color="000000"/>
            </w:tcBorders>
            <w:shd w:val="clear" w:color="000000" w:fill="FFFFFF"/>
            <w:hideMark/>
          </w:tcPr>
          <w:p w14:paraId="0E7EAAE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2C6E19E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-12.857.558,03</w:t>
            </w:r>
          </w:p>
        </w:tc>
        <w:tc>
          <w:tcPr>
            <w:tcW w:w="1519" w:type="dxa"/>
            <w:vMerge w:val="restart"/>
            <w:tcBorders>
              <w:top w:val="nil"/>
              <w:left w:val="single" w:sz="4" w:space="0" w:color="000000"/>
              <w:bottom w:val="nil"/>
              <w:right w:val="single" w:sz="4" w:space="0" w:color="000000"/>
            </w:tcBorders>
            <w:shd w:val="clear" w:color="000000" w:fill="FFFFFF"/>
            <w:hideMark/>
          </w:tcPr>
          <w:p w14:paraId="16E3CA05"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-10.169.801,80</w:t>
            </w:r>
          </w:p>
        </w:tc>
        <w:tc>
          <w:tcPr>
            <w:tcW w:w="2968" w:type="dxa"/>
            <w:gridSpan w:val="2"/>
            <w:vMerge/>
            <w:tcBorders>
              <w:top w:val="nil"/>
              <w:left w:val="single" w:sz="4" w:space="0" w:color="000000"/>
              <w:bottom w:val="nil"/>
              <w:right w:val="single" w:sz="4" w:space="0" w:color="000000"/>
            </w:tcBorders>
            <w:vAlign w:val="center"/>
            <w:hideMark/>
          </w:tcPr>
          <w:p w14:paraId="3BC9F04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4D13415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76BF4C6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23E2C71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79F24552"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43A195C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8FB042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40DBFDE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52A757C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78E08D7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599F21C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48E0E27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765D722E"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3B5E22CD"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5E5A494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Redução ao Valor Recuperável de Softwares</w:t>
            </w:r>
          </w:p>
        </w:tc>
        <w:tc>
          <w:tcPr>
            <w:tcW w:w="374" w:type="dxa"/>
            <w:tcBorders>
              <w:top w:val="nil"/>
              <w:left w:val="nil"/>
              <w:bottom w:val="nil"/>
              <w:right w:val="single" w:sz="4" w:space="0" w:color="000000"/>
            </w:tcBorders>
            <w:shd w:val="clear" w:color="000000" w:fill="FFFFFF"/>
            <w:hideMark/>
          </w:tcPr>
          <w:p w14:paraId="48BB328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508EC5F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104DEC9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187A8F3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30D3E39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4BCF698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6F0F5C8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2F51C54C"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2569F84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6D67760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3528563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677F79A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206BE6E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6686B5F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590084F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03FA2B0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45A02619"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6F0AC3F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Marcas, Direitos e Patentes Industriais</w:t>
            </w:r>
          </w:p>
        </w:tc>
        <w:tc>
          <w:tcPr>
            <w:tcW w:w="374" w:type="dxa"/>
            <w:tcBorders>
              <w:top w:val="nil"/>
              <w:left w:val="nil"/>
              <w:bottom w:val="nil"/>
              <w:right w:val="single" w:sz="4" w:space="0" w:color="000000"/>
            </w:tcBorders>
            <w:shd w:val="clear" w:color="000000" w:fill="FFFFFF"/>
            <w:hideMark/>
          </w:tcPr>
          <w:p w14:paraId="0B0C758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7806A39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7.000.460,73</w:t>
            </w:r>
          </w:p>
        </w:tc>
        <w:tc>
          <w:tcPr>
            <w:tcW w:w="1519" w:type="dxa"/>
            <w:vMerge w:val="restart"/>
            <w:tcBorders>
              <w:top w:val="nil"/>
              <w:left w:val="single" w:sz="4" w:space="0" w:color="000000"/>
              <w:bottom w:val="nil"/>
              <w:right w:val="single" w:sz="4" w:space="0" w:color="000000"/>
            </w:tcBorders>
            <w:shd w:val="clear" w:color="000000" w:fill="FFFFFF"/>
            <w:hideMark/>
          </w:tcPr>
          <w:p w14:paraId="31BFFF3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7.004.937,83</w:t>
            </w:r>
          </w:p>
        </w:tc>
        <w:tc>
          <w:tcPr>
            <w:tcW w:w="2968" w:type="dxa"/>
            <w:gridSpan w:val="2"/>
            <w:vMerge/>
            <w:tcBorders>
              <w:top w:val="nil"/>
              <w:left w:val="single" w:sz="4" w:space="0" w:color="000000"/>
              <w:bottom w:val="nil"/>
              <w:right w:val="single" w:sz="4" w:space="0" w:color="000000"/>
            </w:tcBorders>
            <w:vAlign w:val="center"/>
            <w:hideMark/>
          </w:tcPr>
          <w:p w14:paraId="2DAE2BD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0DD552B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4BD30E5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7ADB2ED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1D0D48C1"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2BE2780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A229FE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0D5DE73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667D0C7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6653198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1D06242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0FA5F883"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6D3B753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0D423830"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21ACD26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Marcas, Direitos e Patentes Industriais</w:t>
            </w:r>
          </w:p>
        </w:tc>
        <w:tc>
          <w:tcPr>
            <w:tcW w:w="374" w:type="dxa"/>
            <w:tcBorders>
              <w:top w:val="nil"/>
              <w:left w:val="nil"/>
              <w:bottom w:val="nil"/>
              <w:right w:val="single" w:sz="4" w:space="0" w:color="000000"/>
            </w:tcBorders>
            <w:shd w:val="clear" w:color="000000" w:fill="FFFFFF"/>
            <w:hideMark/>
          </w:tcPr>
          <w:p w14:paraId="7E0FAAE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3A1C4DB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8.062.252,66</w:t>
            </w:r>
          </w:p>
        </w:tc>
        <w:tc>
          <w:tcPr>
            <w:tcW w:w="1519" w:type="dxa"/>
            <w:vMerge w:val="restart"/>
            <w:tcBorders>
              <w:top w:val="nil"/>
              <w:left w:val="single" w:sz="4" w:space="0" w:color="000000"/>
              <w:bottom w:val="nil"/>
              <w:right w:val="single" w:sz="4" w:space="0" w:color="000000"/>
            </w:tcBorders>
            <w:shd w:val="clear" w:color="000000" w:fill="FFFFFF"/>
            <w:hideMark/>
          </w:tcPr>
          <w:p w14:paraId="6ADD36D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8.066.729,76</w:t>
            </w:r>
          </w:p>
        </w:tc>
        <w:tc>
          <w:tcPr>
            <w:tcW w:w="2968" w:type="dxa"/>
            <w:gridSpan w:val="2"/>
            <w:vMerge/>
            <w:tcBorders>
              <w:top w:val="nil"/>
              <w:left w:val="single" w:sz="4" w:space="0" w:color="000000"/>
              <w:bottom w:val="nil"/>
              <w:right w:val="single" w:sz="4" w:space="0" w:color="000000"/>
            </w:tcBorders>
            <w:vAlign w:val="center"/>
            <w:hideMark/>
          </w:tcPr>
          <w:p w14:paraId="438D06F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1451AC3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1C489C7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28A6421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63A63118"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4072360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88F3A9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29C714A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5570699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548FA9A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266C902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2DE25D1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601A150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13E0BB98"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79B6475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Amortização Acumulada de Marcas, Direitos e Patentes </w:t>
            </w:r>
            <w:proofErr w:type="spellStart"/>
            <w:r w:rsidRPr="00103CC2">
              <w:rPr>
                <w:rFonts w:ascii="Arial" w:eastAsia="Times New Roman" w:hAnsi="Arial" w:cs="Arial"/>
                <w:color w:val="000000"/>
                <w:kern w:val="0"/>
                <w:sz w:val="12"/>
                <w:szCs w:val="12"/>
                <w:lang w:eastAsia="pt-BR" w:bidi="ar-SA"/>
              </w:rPr>
              <w:t>Ind</w:t>
            </w:r>
            <w:proofErr w:type="spellEnd"/>
          </w:p>
        </w:tc>
        <w:tc>
          <w:tcPr>
            <w:tcW w:w="374" w:type="dxa"/>
            <w:tcBorders>
              <w:top w:val="nil"/>
              <w:left w:val="nil"/>
              <w:bottom w:val="nil"/>
              <w:right w:val="single" w:sz="4" w:space="0" w:color="000000"/>
            </w:tcBorders>
            <w:shd w:val="clear" w:color="000000" w:fill="FFFFFF"/>
            <w:hideMark/>
          </w:tcPr>
          <w:p w14:paraId="60DC152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76250BE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-1.061.791,93</w:t>
            </w:r>
          </w:p>
        </w:tc>
        <w:tc>
          <w:tcPr>
            <w:tcW w:w="1519" w:type="dxa"/>
            <w:vMerge w:val="restart"/>
            <w:tcBorders>
              <w:top w:val="nil"/>
              <w:left w:val="single" w:sz="4" w:space="0" w:color="000000"/>
              <w:bottom w:val="nil"/>
              <w:right w:val="single" w:sz="4" w:space="0" w:color="000000"/>
            </w:tcBorders>
            <w:shd w:val="clear" w:color="000000" w:fill="FFFFFF"/>
            <w:hideMark/>
          </w:tcPr>
          <w:p w14:paraId="0647863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-1.061.791,93</w:t>
            </w:r>
          </w:p>
        </w:tc>
        <w:tc>
          <w:tcPr>
            <w:tcW w:w="2968" w:type="dxa"/>
            <w:gridSpan w:val="2"/>
            <w:vMerge/>
            <w:tcBorders>
              <w:top w:val="nil"/>
              <w:left w:val="single" w:sz="4" w:space="0" w:color="000000"/>
              <w:bottom w:val="nil"/>
              <w:right w:val="single" w:sz="4" w:space="0" w:color="000000"/>
            </w:tcBorders>
            <w:vAlign w:val="center"/>
            <w:hideMark/>
          </w:tcPr>
          <w:p w14:paraId="00F50DC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541D5EC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05CAFFC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57C3F6D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3CF02187"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2F897FE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48FB7D0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72F9634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6462181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22433C3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086AE31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0797285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4CF3B83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28055BC8"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63430D4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Redução ao Valor Recuperável de Marcas, Direitos e Pat.</w:t>
            </w:r>
          </w:p>
        </w:tc>
        <w:tc>
          <w:tcPr>
            <w:tcW w:w="374" w:type="dxa"/>
            <w:tcBorders>
              <w:top w:val="nil"/>
              <w:left w:val="nil"/>
              <w:bottom w:val="nil"/>
              <w:right w:val="single" w:sz="4" w:space="0" w:color="000000"/>
            </w:tcBorders>
            <w:shd w:val="clear" w:color="000000" w:fill="FFFFFF"/>
            <w:hideMark/>
          </w:tcPr>
          <w:p w14:paraId="1E6284A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448835F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388C08A5"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6F3484B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4CD389F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6A5F9DF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713C0E8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1B30291A"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709ED74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18B6A86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32671B9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389AFF3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2D3EE9F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61A310B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47C4D76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65878618"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2EDA0838"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21A590E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Direitos de Uso de Imóveis</w:t>
            </w:r>
          </w:p>
        </w:tc>
        <w:tc>
          <w:tcPr>
            <w:tcW w:w="374" w:type="dxa"/>
            <w:tcBorders>
              <w:top w:val="nil"/>
              <w:left w:val="nil"/>
              <w:bottom w:val="nil"/>
              <w:right w:val="single" w:sz="4" w:space="0" w:color="000000"/>
            </w:tcBorders>
            <w:shd w:val="clear" w:color="000000" w:fill="FFFFFF"/>
            <w:hideMark/>
          </w:tcPr>
          <w:p w14:paraId="67B3D7A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79664D8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12.572.439,57</w:t>
            </w:r>
          </w:p>
        </w:tc>
        <w:tc>
          <w:tcPr>
            <w:tcW w:w="1519" w:type="dxa"/>
            <w:vMerge w:val="restart"/>
            <w:tcBorders>
              <w:top w:val="nil"/>
              <w:left w:val="single" w:sz="4" w:space="0" w:color="000000"/>
              <w:bottom w:val="nil"/>
              <w:right w:val="single" w:sz="4" w:space="0" w:color="000000"/>
            </w:tcBorders>
            <w:shd w:val="clear" w:color="000000" w:fill="FFFFFF"/>
            <w:hideMark/>
          </w:tcPr>
          <w:p w14:paraId="64B8548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12.572.439,57</w:t>
            </w:r>
          </w:p>
        </w:tc>
        <w:tc>
          <w:tcPr>
            <w:tcW w:w="2968" w:type="dxa"/>
            <w:gridSpan w:val="2"/>
            <w:vMerge/>
            <w:tcBorders>
              <w:top w:val="nil"/>
              <w:left w:val="single" w:sz="4" w:space="0" w:color="000000"/>
              <w:bottom w:val="nil"/>
              <w:right w:val="single" w:sz="4" w:space="0" w:color="000000"/>
            </w:tcBorders>
            <w:vAlign w:val="center"/>
            <w:hideMark/>
          </w:tcPr>
          <w:p w14:paraId="0E8EE8C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1B85D7B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78B0654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22298B8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2C1577CD"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7D7A07D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4D8B7F1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7B98B52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2C69B04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6D9C158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17F2499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44FECBC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7DDD410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65EF081D"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4EA1B27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Direitos de Uso de Imóveis</w:t>
            </w:r>
          </w:p>
        </w:tc>
        <w:tc>
          <w:tcPr>
            <w:tcW w:w="374" w:type="dxa"/>
            <w:tcBorders>
              <w:top w:val="nil"/>
              <w:left w:val="nil"/>
              <w:bottom w:val="nil"/>
              <w:right w:val="single" w:sz="4" w:space="0" w:color="000000"/>
            </w:tcBorders>
            <w:shd w:val="clear" w:color="000000" w:fill="FFFFFF"/>
            <w:hideMark/>
          </w:tcPr>
          <w:p w14:paraId="2C49360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0FAABBD5"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12.572.439,57</w:t>
            </w:r>
          </w:p>
        </w:tc>
        <w:tc>
          <w:tcPr>
            <w:tcW w:w="1519" w:type="dxa"/>
            <w:vMerge w:val="restart"/>
            <w:tcBorders>
              <w:top w:val="nil"/>
              <w:left w:val="single" w:sz="4" w:space="0" w:color="000000"/>
              <w:bottom w:val="nil"/>
              <w:right w:val="single" w:sz="4" w:space="0" w:color="000000"/>
            </w:tcBorders>
            <w:shd w:val="clear" w:color="000000" w:fill="FFFFFF"/>
            <w:hideMark/>
          </w:tcPr>
          <w:p w14:paraId="23F49593"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12.572.439,57</w:t>
            </w:r>
          </w:p>
        </w:tc>
        <w:tc>
          <w:tcPr>
            <w:tcW w:w="2968" w:type="dxa"/>
            <w:gridSpan w:val="2"/>
            <w:vMerge/>
            <w:tcBorders>
              <w:top w:val="nil"/>
              <w:left w:val="single" w:sz="4" w:space="0" w:color="000000"/>
              <w:bottom w:val="nil"/>
              <w:right w:val="single" w:sz="4" w:space="0" w:color="000000"/>
            </w:tcBorders>
            <w:vAlign w:val="center"/>
            <w:hideMark/>
          </w:tcPr>
          <w:p w14:paraId="791AEEE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194C379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1BFC5DC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3BA5E27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148DB894"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1E17228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894F87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060C385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1DD9E5B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4B4EEA0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2D75307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03D10CDE"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05E746A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2D864598"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1BEEC5A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Amortização Acumulada de Direito de Uso de Imóveis</w:t>
            </w:r>
          </w:p>
        </w:tc>
        <w:tc>
          <w:tcPr>
            <w:tcW w:w="374" w:type="dxa"/>
            <w:tcBorders>
              <w:top w:val="nil"/>
              <w:left w:val="nil"/>
              <w:bottom w:val="nil"/>
              <w:right w:val="single" w:sz="4" w:space="0" w:color="000000"/>
            </w:tcBorders>
            <w:shd w:val="clear" w:color="000000" w:fill="FFFFFF"/>
            <w:hideMark/>
          </w:tcPr>
          <w:p w14:paraId="32227BB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6FF16E6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1C254B7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5DCD23B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1E01D9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2DDCECB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0F72432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6462732F"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1328B4A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1BA8569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240EE7D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6AE064F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3D8F27D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37F8F6C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651FA0D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096AE1B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6C2A3572"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2FE9D16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Redução ao Valor Recuperável Direito de Uso de Imóveis</w:t>
            </w:r>
          </w:p>
        </w:tc>
        <w:tc>
          <w:tcPr>
            <w:tcW w:w="374" w:type="dxa"/>
            <w:tcBorders>
              <w:top w:val="nil"/>
              <w:left w:val="nil"/>
              <w:bottom w:val="nil"/>
              <w:right w:val="single" w:sz="4" w:space="0" w:color="000000"/>
            </w:tcBorders>
            <w:shd w:val="clear" w:color="000000" w:fill="FFFFFF"/>
            <w:hideMark/>
          </w:tcPr>
          <w:p w14:paraId="3812410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2F551AE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1519" w:type="dxa"/>
            <w:vMerge w:val="restart"/>
            <w:tcBorders>
              <w:top w:val="nil"/>
              <w:left w:val="single" w:sz="4" w:space="0" w:color="000000"/>
              <w:bottom w:val="nil"/>
              <w:right w:val="single" w:sz="4" w:space="0" w:color="000000"/>
            </w:tcBorders>
            <w:shd w:val="clear" w:color="000000" w:fill="FFFFFF"/>
            <w:hideMark/>
          </w:tcPr>
          <w:p w14:paraId="6EF70C8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968" w:type="dxa"/>
            <w:gridSpan w:val="2"/>
            <w:vMerge/>
            <w:tcBorders>
              <w:top w:val="nil"/>
              <w:left w:val="single" w:sz="4" w:space="0" w:color="000000"/>
              <w:bottom w:val="nil"/>
              <w:right w:val="single" w:sz="4" w:space="0" w:color="000000"/>
            </w:tcBorders>
            <w:vAlign w:val="center"/>
            <w:hideMark/>
          </w:tcPr>
          <w:p w14:paraId="16A9733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7DB6A1E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626F1F3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5C0CA53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72DFC701"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2A513EC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09E2A64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57118B9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5724261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20D6608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5B42E86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30DA6F7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46F2FCF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1B6242BA"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0DE25672"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xml:space="preserve">    Diferido</w:t>
            </w:r>
          </w:p>
        </w:tc>
        <w:tc>
          <w:tcPr>
            <w:tcW w:w="374" w:type="dxa"/>
            <w:tcBorders>
              <w:top w:val="nil"/>
              <w:left w:val="nil"/>
              <w:bottom w:val="nil"/>
              <w:right w:val="single" w:sz="4" w:space="0" w:color="000000"/>
            </w:tcBorders>
            <w:shd w:val="clear" w:color="000000" w:fill="FFFFFF"/>
            <w:hideMark/>
          </w:tcPr>
          <w:p w14:paraId="3F1B083D"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0B17E82D"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145.955,14</w:t>
            </w:r>
          </w:p>
        </w:tc>
        <w:tc>
          <w:tcPr>
            <w:tcW w:w="1519" w:type="dxa"/>
            <w:vMerge w:val="restart"/>
            <w:tcBorders>
              <w:top w:val="nil"/>
              <w:left w:val="single" w:sz="4" w:space="0" w:color="000000"/>
              <w:bottom w:val="nil"/>
              <w:right w:val="single" w:sz="4" w:space="0" w:color="000000"/>
            </w:tcBorders>
            <w:shd w:val="clear" w:color="000000" w:fill="FFFFFF"/>
            <w:hideMark/>
          </w:tcPr>
          <w:p w14:paraId="2F32BBEC"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693.797,49</w:t>
            </w:r>
          </w:p>
        </w:tc>
        <w:tc>
          <w:tcPr>
            <w:tcW w:w="2968" w:type="dxa"/>
            <w:gridSpan w:val="2"/>
            <w:vMerge/>
            <w:tcBorders>
              <w:top w:val="nil"/>
              <w:left w:val="single" w:sz="4" w:space="0" w:color="000000"/>
              <w:bottom w:val="nil"/>
              <w:right w:val="single" w:sz="4" w:space="0" w:color="000000"/>
            </w:tcBorders>
            <w:vAlign w:val="center"/>
            <w:hideMark/>
          </w:tcPr>
          <w:p w14:paraId="486021B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2AF9CF7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4C997A6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36F9774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344CBBF6"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23A6A22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4AA87290"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3B3FCC77"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1993B604"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52BA878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58EF0CB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65C839F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4D64EFB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4819E982"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7ED3919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Diferido</w:t>
            </w:r>
          </w:p>
        </w:tc>
        <w:tc>
          <w:tcPr>
            <w:tcW w:w="374" w:type="dxa"/>
            <w:tcBorders>
              <w:top w:val="nil"/>
              <w:left w:val="nil"/>
              <w:bottom w:val="nil"/>
              <w:right w:val="single" w:sz="4" w:space="0" w:color="000000"/>
            </w:tcBorders>
            <w:shd w:val="clear" w:color="000000" w:fill="FFFFFF"/>
            <w:hideMark/>
          </w:tcPr>
          <w:p w14:paraId="1585947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409E6DA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255.028.533,21</w:t>
            </w:r>
          </w:p>
        </w:tc>
        <w:tc>
          <w:tcPr>
            <w:tcW w:w="1519" w:type="dxa"/>
            <w:vMerge w:val="restart"/>
            <w:tcBorders>
              <w:top w:val="nil"/>
              <w:left w:val="single" w:sz="4" w:space="0" w:color="000000"/>
              <w:bottom w:val="nil"/>
              <w:right w:val="single" w:sz="4" w:space="0" w:color="000000"/>
            </w:tcBorders>
            <w:shd w:val="clear" w:color="000000" w:fill="FFFFFF"/>
            <w:hideMark/>
          </w:tcPr>
          <w:p w14:paraId="18E09AB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255.028.533,21</w:t>
            </w:r>
          </w:p>
        </w:tc>
        <w:tc>
          <w:tcPr>
            <w:tcW w:w="2968" w:type="dxa"/>
            <w:gridSpan w:val="2"/>
            <w:vMerge/>
            <w:tcBorders>
              <w:top w:val="nil"/>
              <w:left w:val="single" w:sz="4" w:space="0" w:color="000000"/>
              <w:bottom w:val="nil"/>
              <w:right w:val="single" w:sz="4" w:space="0" w:color="000000"/>
            </w:tcBorders>
            <w:vAlign w:val="center"/>
            <w:hideMark/>
          </w:tcPr>
          <w:p w14:paraId="7B9D626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5FD4310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6A68C050"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4FA6ABC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0A98DF31" w14:textId="77777777" w:rsidTr="001F5575">
        <w:trPr>
          <w:trHeight w:val="120"/>
          <w:jc w:val="center"/>
        </w:trPr>
        <w:tc>
          <w:tcPr>
            <w:tcW w:w="3765" w:type="dxa"/>
            <w:gridSpan w:val="6"/>
            <w:vMerge/>
            <w:tcBorders>
              <w:top w:val="nil"/>
              <w:left w:val="single" w:sz="4" w:space="0" w:color="000000"/>
              <w:bottom w:val="nil"/>
              <w:right w:val="single" w:sz="4" w:space="0" w:color="000000"/>
            </w:tcBorders>
            <w:vAlign w:val="center"/>
            <w:hideMark/>
          </w:tcPr>
          <w:p w14:paraId="251FFAB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56E30EA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5FB72A3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10DC37C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vMerge w:val="restart"/>
            <w:tcBorders>
              <w:top w:val="nil"/>
              <w:left w:val="single" w:sz="4" w:space="0" w:color="000000"/>
              <w:bottom w:val="nil"/>
              <w:right w:val="single" w:sz="4" w:space="0" w:color="000000"/>
            </w:tcBorders>
            <w:shd w:val="clear" w:color="000000" w:fill="FFFFFF"/>
            <w:hideMark/>
          </w:tcPr>
          <w:p w14:paraId="6B53DFE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0BC14CE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val="restart"/>
            <w:tcBorders>
              <w:top w:val="nil"/>
              <w:left w:val="single" w:sz="4" w:space="0" w:color="000000"/>
              <w:bottom w:val="nil"/>
              <w:right w:val="single" w:sz="4" w:space="0" w:color="000000"/>
            </w:tcBorders>
            <w:shd w:val="clear" w:color="000000" w:fill="FFFFFF"/>
            <w:hideMark/>
          </w:tcPr>
          <w:p w14:paraId="11B0056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vMerge w:val="restart"/>
            <w:tcBorders>
              <w:top w:val="nil"/>
              <w:left w:val="single" w:sz="4" w:space="0" w:color="000000"/>
              <w:bottom w:val="nil"/>
              <w:right w:val="single" w:sz="4" w:space="0" w:color="000000"/>
            </w:tcBorders>
            <w:shd w:val="clear" w:color="000000" w:fill="FFFFFF"/>
            <w:hideMark/>
          </w:tcPr>
          <w:p w14:paraId="28CAE3F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56BE5117" w14:textId="77777777" w:rsidTr="001F5575">
        <w:trPr>
          <w:trHeight w:val="79"/>
          <w:jc w:val="center"/>
        </w:trPr>
        <w:tc>
          <w:tcPr>
            <w:tcW w:w="3765" w:type="dxa"/>
            <w:gridSpan w:val="6"/>
            <w:vMerge w:val="restart"/>
            <w:tcBorders>
              <w:top w:val="nil"/>
              <w:left w:val="single" w:sz="4" w:space="0" w:color="000000"/>
              <w:bottom w:val="nil"/>
              <w:right w:val="single" w:sz="4" w:space="0" w:color="000000"/>
            </w:tcBorders>
            <w:shd w:val="clear" w:color="000000" w:fill="FFFFFF"/>
            <w:hideMark/>
          </w:tcPr>
          <w:p w14:paraId="25B7077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 Amortização Acumulada</w:t>
            </w:r>
          </w:p>
        </w:tc>
        <w:tc>
          <w:tcPr>
            <w:tcW w:w="374" w:type="dxa"/>
            <w:tcBorders>
              <w:top w:val="nil"/>
              <w:left w:val="nil"/>
              <w:bottom w:val="nil"/>
              <w:right w:val="single" w:sz="4" w:space="0" w:color="000000"/>
            </w:tcBorders>
            <w:shd w:val="clear" w:color="000000" w:fill="FFFFFF"/>
            <w:hideMark/>
          </w:tcPr>
          <w:p w14:paraId="79A5F73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val="restart"/>
            <w:tcBorders>
              <w:top w:val="nil"/>
              <w:left w:val="single" w:sz="4" w:space="0" w:color="000000"/>
              <w:bottom w:val="nil"/>
              <w:right w:val="single" w:sz="4" w:space="0" w:color="000000"/>
            </w:tcBorders>
            <w:shd w:val="clear" w:color="000000" w:fill="FFFFFF"/>
            <w:hideMark/>
          </w:tcPr>
          <w:p w14:paraId="6F0A899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-254.882.578,07</w:t>
            </w:r>
          </w:p>
        </w:tc>
        <w:tc>
          <w:tcPr>
            <w:tcW w:w="1519" w:type="dxa"/>
            <w:vMerge w:val="restart"/>
            <w:tcBorders>
              <w:top w:val="nil"/>
              <w:left w:val="single" w:sz="4" w:space="0" w:color="000000"/>
              <w:bottom w:val="nil"/>
              <w:right w:val="single" w:sz="4" w:space="0" w:color="000000"/>
            </w:tcBorders>
            <w:shd w:val="clear" w:color="000000" w:fill="FFFFFF"/>
            <w:hideMark/>
          </w:tcPr>
          <w:p w14:paraId="024C78B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-254.334.735,72</w:t>
            </w:r>
          </w:p>
        </w:tc>
        <w:tc>
          <w:tcPr>
            <w:tcW w:w="2968" w:type="dxa"/>
            <w:gridSpan w:val="2"/>
            <w:vMerge/>
            <w:tcBorders>
              <w:top w:val="nil"/>
              <w:left w:val="single" w:sz="4" w:space="0" w:color="000000"/>
              <w:bottom w:val="nil"/>
              <w:right w:val="single" w:sz="4" w:space="0" w:color="000000"/>
            </w:tcBorders>
            <w:vAlign w:val="center"/>
            <w:hideMark/>
          </w:tcPr>
          <w:p w14:paraId="4ABEB8E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11C83BE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vMerge/>
            <w:tcBorders>
              <w:top w:val="nil"/>
              <w:left w:val="nil"/>
              <w:bottom w:val="nil"/>
              <w:right w:val="single" w:sz="4" w:space="0" w:color="000000"/>
            </w:tcBorders>
            <w:vAlign w:val="center"/>
            <w:hideMark/>
          </w:tcPr>
          <w:p w14:paraId="49AEF06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426" w:type="dxa"/>
            <w:vMerge/>
            <w:tcBorders>
              <w:top w:val="nil"/>
              <w:left w:val="single" w:sz="4" w:space="0" w:color="000000"/>
              <w:bottom w:val="nil"/>
              <w:right w:val="single" w:sz="4" w:space="0" w:color="000000"/>
            </w:tcBorders>
            <w:vAlign w:val="center"/>
            <w:hideMark/>
          </w:tcPr>
          <w:p w14:paraId="574A417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404CFD85" w14:textId="77777777" w:rsidTr="001F5575">
        <w:trPr>
          <w:trHeight w:val="195"/>
          <w:jc w:val="center"/>
        </w:trPr>
        <w:tc>
          <w:tcPr>
            <w:tcW w:w="3765" w:type="dxa"/>
            <w:gridSpan w:val="6"/>
            <w:vMerge/>
            <w:tcBorders>
              <w:top w:val="nil"/>
              <w:left w:val="single" w:sz="4" w:space="0" w:color="000000"/>
              <w:bottom w:val="nil"/>
              <w:right w:val="single" w:sz="4" w:space="0" w:color="000000"/>
            </w:tcBorders>
            <w:vAlign w:val="center"/>
            <w:hideMark/>
          </w:tcPr>
          <w:p w14:paraId="5E39B78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674347AE"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03</w:t>
            </w:r>
          </w:p>
        </w:tc>
        <w:tc>
          <w:tcPr>
            <w:tcW w:w="1538" w:type="dxa"/>
            <w:gridSpan w:val="3"/>
            <w:vMerge/>
            <w:tcBorders>
              <w:top w:val="nil"/>
              <w:left w:val="nil"/>
              <w:bottom w:val="nil"/>
              <w:right w:val="single" w:sz="4" w:space="0" w:color="000000"/>
            </w:tcBorders>
            <w:vAlign w:val="center"/>
            <w:hideMark/>
          </w:tcPr>
          <w:p w14:paraId="1B21C58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79A4051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968" w:type="dxa"/>
            <w:gridSpan w:val="2"/>
            <w:tcBorders>
              <w:top w:val="nil"/>
              <w:left w:val="nil"/>
              <w:bottom w:val="nil"/>
              <w:right w:val="single" w:sz="4" w:space="0" w:color="000000"/>
            </w:tcBorders>
            <w:shd w:val="clear" w:color="000000" w:fill="FFFFFF"/>
            <w:hideMark/>
          </w:tcPr>
          <w:p w14:paraId="24651C6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55FF606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41231A9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426" w:type="dxa"/>
            <w:tcBorders>
              <w:top w:val="nil"/>
              <w:left w:val="nil"/>
              <w:bottom w:val="nil"/>
              <w:right w:val="single" w:sz="4" w:space="0" w:color="000000"/>
            </w:tcBorders>
            <w:shd w:val="clear" w:color="000000" w:fill="FFFFFF"/>
            <w:hideMark/>
          </w:tcPr>
          <w:p w14:paraId="7AC05A16"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r>
      <w:tr w:rsidR="00251BD1" w:rsidRPr="00103CC2" w14:paraId="320669A9" w14:textId="77777777" w:rsidTr="001F5575">
        <w:trPr>
          <w:trHeight w:val="19"/>
          <w:jc w:val="center"/>
        </w:trPr>
        <w:tc>
          <w:tcPr>
            <w:tcW w:w="3765" w:type="dxa"/>
            <w:gridSpan w:val="6"/>
            <w:vMerge/>
            <w:tcBorders>
              <w:top w:val="nil"/>
              <w:left w:val="single" w:sz="4" w:space="0" w:color="000000"/>
              <w:bottom w:val="nil"/>
              <w:right w:val="single" w:sz="4" w:space="0" w:color="000000"/>
            </w:tcBorders>
            <w:vAlign w:val="center"/>
            <w:hideMark/>
          </w:tcPr>
          <w:p w14:paraId="64A6B726"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374" w:type="dxa"/>
            <w:tcBorders>
              <w:top w:val="nil"/>
              <w:left w:val="nil"/>
              <w:bottom w:val="nil"/>
              <w:right w:val="single" w:sz="4" w:space="0" w:color="000000"/>
            </w:tcBorders>
            <w:shd w:val="clear" w:color="000000" w:fill="FFFFFF"/>
            <w:hideMark/>
          </w:tcPr>
          <w:p w14:paraId="6ACD12D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vMerge/>
            <w:tcBorders>
              <w:top w:val="nil"/>
              <w:left w:val="nil"/>
              <w:bottom w:val="nil"/>
              <w:right w:val="single" w:sz="4" w:space="0" w:color="000000"/>
            </w:tcBorders>
            <w:vAlign w:val="center"/>
            <w:hideMark/>
          </w:tcPr>
          <w:p w14:paraId="5859448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1519" w:type="dxa"/>
            <w:vMerge/>
            <w:tcBorders>
              <w:top w:val="nil"/>
              <w:left w:val="single" w:sz="4" w:space="0" w:color="000000"/>
              <w:bottom w:val="nil"/>
              <w:right w:val="single" w:sz="4" w:space="0" w:color="000000"/>
            </w:tcBorders>
            <w:vAlign w:val="center"/>
            <w:hideMark/>
          </w:tcPr>
          <w:p w14:paraId="73A701A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2733" w:type="dxa"/>
            <w:tcBorders>
              <w:top w:val="nil"/>
              <w:left w:val="nil"/>
              <w:bottom w:val="nil"/>
              <w:right w:val="nil"/>
            </w:tcBorders>
            <w:shd w:val="clear" w:color="000000" w:fill="FFFFFF"/>
            <w:hideMark/>
          </w:tcPr>
          <w:p w14:paraId="68F835BE"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35" w:type="dxa"/>
            <w:tcBorders>
              <w:top w:val="nil"/>
              <w:left w:val="nil"/>
              <w:bottom w:val="nil"/>
              <w:right w:val="nil"/>
            </w:tcBorders>
            <w:shd w:val="clear" w:color="000000" w:fill="FFFFFF"/>
            <w:hideMark/>
          </w:tcPr>
          <w:p w14:paraId="1532A97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539B31B6"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736" w:type="dxa"/>
            <w:tcBorders>
              <w:top w:val="nil"/>
              <w:left w:val="nil"/>
              <w:bottom w:val="nil"/>
              <w:right w:val="nil"/>
            </w:tcBorders>
            <w:shd w:val="clear" w:color="000000" w:fill="FFFFFF"/>
            <w:hideMark/>
          </w:tcPr>
          <w:p w14:paraId="03CEEEE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934" w:type="dxa"/>
            <w:tcBorders>
              <w:top w:val="nil"/>
              <w:left w:val="nil"/>
              <w:bottom w:val="nil"/>
              <w:right w:val="nil"/>
            </w:tcBorders>
            <w:shd w:val="clear" w:color="000000" w:fill="FFFFFF"/>
            <w:hideMark/>
          </w:tcPr>
          <w:p w14:paraId="34B00150"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26" w:type="dxa"/>
            <w:tcBorders>
              <w:top w:val="nil"/>
              <w:left w:val="nil"/>
              <w:bottom w:val="nil"/>
              <w:right w:val="nil"/>
            </w:tcBorders>
            <w:shd w:val="clear" w:color="000000" w:fill="FFFFFF"/>
            <w:hideMark/>
          </w:tcPr>
          <w:p w14:paraId="5F2F3B6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3467EF39" w14:textId="77777777" w:rsidTr="001F5575">
        <w:trPr>
          <w:trHeight w:val="199"/>
          <w:jc w:val="center"/>
        </w:trPr>
        <w:tc>
          <w:tcPr>
            <w:tcW w:w="3765" w:type="dxa"/>
            <w:gridSpan w:val="6"/>
            <w:tcBorders>
              <w:top w:val="single" w:sz="4" w:space="0" w:color="000000"/>
              <w:left w:val="single" w:sz="4" w:space="0" w:color="000000"/>
              <w:bottom w:val="single" w:sz="4" w:space="0" w:color="000000"/>
              <w:right w:val="single" w:sz="4" w:space="0" w:color="000000"/>
            </w:tcBorders>
            <w:shd w:val="clear" w:color="000000" w:fill="FFFFFF"/>
            <w:hideMark/>
          </w:tcPr>
          <w:p w14:paraId="3B103550"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TOTAL DO ATIVO</w:t>
            </w:r>
          </w:p>
        </w:tc>
        <w:tc>
          <w:tcPr>
            <w:tcW w:w="374" w:type="dxa"/>
            <w:tcBorders>
              <w:top w:val="single" w:sz="4" w:space="0" w:color="000000"/>
              <w:left w:val="nil"/>
              <w:bottom w:val="single" w:sz="4" w:space="0" w:color="000000"/>
              <w:right w:val="single" w:sz="4" w:space="0" w:color="000000"/>
            </w:tcBorders>
            <w:shd w:val="clear" w:color="000000" w:fill="FFFFFF"/>
            <w:hideMark/>
          </w:tcPr>
          <w:p w14:paraId="77DA0B63"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single" w:sz="4" w:space="0" w:color="000000"/>
              <w:left w:val="nil"/>
              <w:bottom w:val="single" w:sz="4" w:space="0" w:color="000000"/>
              <w:right w:val="single" w:sz="4" w:space="0" w:color="000000"/>
            </w:tcBorders>
            <w:shd w:val="clear" w:color="000000" w:fill="FFFFFF"/>
            <w:hideMark/>
          </w:tcPr>
          <w:p w14:paraId="02F3C031"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221.262.663.283,12</w:t>
            </w:r>
          </w:p>
        </w:tc>
        <w:tc>
          <w:tcPr>
            <w:tcW w:w="1519" w:type="dxa"/>
            <w:tcBorders>
              <w:top w:val="single" w:sz="4" w:space="0" w:color="000000"/>
              <w:left w:val="nil"/>
              <w:bottom w:val="single" w:sz="4" w:space="0" w:color="000000"/>
              <w:right w:val="single" w:sz="4" w:space="0" w:color="000000"/>
            </w:tcBorders>
            <w:shd w:val="clear" w:color="000000" w:fill="FFFFFF"/>
            <w:hideMark/>
          </w:tcPr>
          <w:p w14:paraId="5C20C894"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206.325.203.828,55</w:t>
            </w:r>
          </w:p>
        </w:tc>
        <w:tc>
          <w:tcPr>
            <w:tcW w:w="2968" w:type="dxa"/>
            <w:gridSpan w:val="2"/>
            <w:tcBorders>
              <w:top w:val="single" w:sz="4" w:space="0" w:color="000000"/>
              <w:left w:val="nil"/>
              <w:bottom w:val="single" w:sz="4" w:space="0" w:color="000000"/>
              <w:right w:val="single" w:sz="4" w:space="0" w:color="000000"/>
            </w:tcBorders>
            <w:shd w:val="clear" w:color="000000" w:fill="FFFFFF"/>
            <w:hideMark/>
          </w:tcPr>
          <w:p w14:paraId="70BBB91F"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TOTAL DO PASSIVO E PATRIMÔNIO LÍQUIDO</w:t>
            </w:r>
          </w:p>
        </w:tc>
        <w:tc>
          <w:tcPr>
            <w:tcW w:w="374" w:type="dxa"/>
            <w:tcBorders>
              <w:top w:val="single" w:sz="4" w:space="0" w:color="000000"/>
              <w:left w:val="nil"/>
              <w:bottom w:val="single" w:sz="4" w:space="0" w:color="000000"/>
              <w:right w:val="single" w:sz="4" w:space="0" w:color="000000"/>
            </w:tcBorders>
            <w:shd w:val="clear" w:color="000000" w:fill="FFFFFF"/>
            <w:hideMark/>
          </w:tcPr>
          <w:p w14:paraId="6CB9C58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single" w:sz="4" w:space="0" w:color="000000"/>
              <w:left w:val="nil"/>
              <w:bottom w:val="single" w:sz="4" w:space="0" w:color="000000"/>
              <w:right w:val="single" w:sz="4" w:space="0" w:color="000000"/>
            </w:tcBorders>
            <w:shd w:val="clear" w:color="000000" w:fill="FFFFFF"/>
            <w:hideMark/>
          </w:tcPr>
          <w:p w14:paraId="2DDCDCFC"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221.262.663.283,12</w:t>
            </w:r>
          </w:p>
        </w:tc>
        <w:tc>
          <w:tcPr>
            <w:tcW w:w="1426" w:type="dxa"/>
            <w:tcBorders>
              <w:top w:val="single" w:sz="4" w:space="0" w:color="000000"/>
              <w:left w:val="nil"/>
              <w:bottom w:val="single" w:sz="4" w:space="0" w:color="000000"/>
              <w:right w:val="single" w:sz="4" w:space="0" w:color="000000"/>
            </w:tcBorders>
            <w:shd w:val="clear" w:color="000000" w:fill="FFFFFF"/>
            <w:hideMark/>
          </w:tcPr>
          <w:p w14:paraId="0D1687E4"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206.325.203.828,55</w:t>
            </w:r>
          </w:p>
        </w:tc>
      </w:tr>
      <w:tr w:rsidR="00251BD1" w:rsidRPr="00103CC2" w14:paraId="5195FE7A" w14:textId="77777777" w:rsidTr="001F5575">
        <w:trPr>
          <w:trHeight w:val="19"/>
          <w:jc w:val="center"/>
        </w:trPr>
        <w:tc>
          <w:tcPr>
            <w:tcW w:w="13634" w:type="dxa"/>
            <w:gridSpan w:val="17"/>
            <w:tcBorders>
              <w:top w:val="single" w:sz="4" w:space="0" w:color="000000"/>
              <w:left w:val="nil"/>
              <w:bottom w:val="nil"/>
              <w:right w:val="nil"/>
            </w:tcBorders>
            <w:shd w:val="clear" w:color="000000" w:fill="FFFFFF"/>
            <w:hideMark/>
          </w:tcPr>
          <w:p w14:paraId="12513CC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5ACFC19F" w14:textId="77777777" w:rsidTr="001F5575">
        <w:trPr>
          <w:trHeight w:val="679"/>
          <w:jc w:val="center"/>
        </w:trPr>
        <w:tc>
          <w:tcPr>
            <w:tcW w:w="590" w:type="dxa"/>
            <w:tcBorders>
              <w:top w:val="nil"/>
              <w:left w:val="nil"/>
              <w:bottom w:val="nil"/>
              <w:right w:val="nil"/>
            </w:tcBorders>
            <w:shd w:val="clear" w:color="000000" w:fill="FFFFFF"/>
            <w:hideMark/>
          </w:tcPr>
          <w:p w14:paraId="02507A2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646A9F87"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590" w:type="dxa"/>
            <w:tcBorders>
              <w:top w:val="nil"/>
              <w:left w:val="nil"/>
              <w:bottom w:val="nil"/>
              <w:right w:val="nil"/>
            </w:tcBorders>
            <w:shd w:val="clear" w:color="000000" w:fill="FFFFFF"/>
            <w:hideMark/>
          </w:tcPr>
          <w:p w14:paraId="6976DFD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1075941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14" w:type="dxa"/>
            <w:tcBorders>
              <w:top w:val="nil"/>
              <w:left w:val="nil"/>
              <w:bottom w:val="nil"/>
              <w:right w:val="nil"/>
            </w:tcBorders>
            <w:shd w:val="clear" w:color="000000" w:fill="FFFFFF"/>
            <w:hideMark/>
          </w:tcPr>
          <w:p w14:paraId="09BE380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37" w:type="dxa"/>
            <w:tcBorders>
              <w:top w:val="nil"/>
              <w:left w:val="nil"/>
              <w:bottom w:val="nil"/>
              <w:right w:val="nil"/>
            </w:tcBorders>
            <w:shd w:val="clear" w:color="000000" w:fill="FFFFFF"/>
            <w:hideMark/>
          </w:tcPr>
          <w:p w14:paraId="617834F0"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5B93D791"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20" w:type="dxa"/>
            <w:tcBorders>
              <w:top w:val="nil"/>
              <w:left w:val="nil"/>
              <w:bottom w:val="nil"/>
              <w:right w:val="nil"/>
            </w:tcBorders>
            <w:shd w:val="clear" w:color="000000" w:fill="FFFFFF"/>
            <w:hideMark/>
          </w:tcPr>
          <w:p w14:paraId="51C1C39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420" w:type="dxa"/>
            <w:tcBorders>
              <w:top w:val="nil"/>
              <w:left w:val="nil"/>
              <w:bottom w:val="nil"/>
              <w:right w:val="nil"/>
            </w:tcBorders>
            <w:shd w:val="clear" w:color="000000" w:fill="FFFFFF"/>
            <w:hideMark/>
          </w:tcPr>
          <w:p w14:paraId="117989F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98" w:type="dxa"/>
            <w:tcBorders>
              <w:top w:val="nil"/>
              <w:left w:val="nil"/>
              <w:bottom w:val="nil"/>
              <w:right w:val="nil"/>
            </w:tcBorders>
            <w:shd w:val="clear" w:color="000000" w:fill="FFFFFF"/>
            <w:hideMark/>
          </w:tcPr>
          <w:p w14:paraId="7EAEAA3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519" w:type="dxa"/>
            <w:tcBorders>
              <w:top w:val="nil"/>
              <w:left w:val="nil"/>
              <w:bottom w:val="nil"/>
              <w:right w:val="nil"/>
            </w:tcBorders>
            <w:shd w:val="clear" w:color="000000" w:fill="FFFFFF"/>
            <w:hideMark/>
          </w:tcPr>
          <w:p w14:paraId="0DC4BF86"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733" w:type="dxa"/>
            <w:tcBorders>
              <w:top w:val="nil"/>
              <w:left w:val="nil"/>
              <w:bottom w:val="nil"/>
              <w:right w:val="nil"/>
            </w:tcBorders>
            <w:shd w:val="clear" w:color="000000" w:fill="FFFFFF"/>
            <w:hideMark/>
          </w:tcPr>
          <w:p w14:paraId="4FF42C5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35" w:type="dxa"/>
            <w:tcBorders>
              <w:top w:val="nil"/>
              <w:left w:val="nil"/>
              <w:bottom w:val="nil"/>
              <w:right w:val="nil"/>
            </w:tcBorders>
            <w:shd w:val="clear" w:color="000000" w:fill="FFFFFF"/>
            <w:hideMark/>
          </w:tcPr>
          <w:p w14:paraId="65566D2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3FA5958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736" w:type="dxa"/>
            <w:tcBorders>
              <w:top w:val="nil"/>
              <w:left w:val="nil"/>
              <w:bottom w:val="nil"/>
              <w:right w:val="nil"/>
            </w:tcBorders>
            <w:shd w:val="clear" w:color="000000" w:fill="FFFFFF"/>
            <w:hideMark/>
          </w:tcPr>
          <w:p w14:paraId="4E6656A0"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934" w:type="dxa"/>
            <w:tcBorders>
              <w:top w:val="nil"/>
              <w:left w:val="nil"/>
              <w:bottom w:val="nil"/>
              <w:right w:val="nil"/>
            </w:tcBorders>
            <w:shd w:val="clear" w:color="000000" w:fill="FFFFFF"/>
            <w:hideMark/>
          </w:tcPr>
          <w:p w14:paraId="4716184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26" w:type="dxa"/>
            <w:tcBorders>
              <w:top w:val="nil"/>
              <w:left w:val="nil"/>
              <w:bottom w:val="nil"/>
              <w:right w:val="nil"/>
            </w:tcBorders>
            <w:shd w:val="clear" w:color="000000" w:fill="FFFFFF"/>
            <w:hideMark/>
          </w:tcPr>
          <w:p w14:paraId="35AD778A"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1AE3E8E5" w14:textId="77777777" w:rsidTr="001F5575">
        <w:trPr>
          <w:trHeight w:val="199"/>
          <w:jc w:val="center"/>
        </w:trPr>
        <w:tc>
          <w:tcPr>
            <w:tcW w:w="590" w:type="dxa"/>
            <w:tcBorders>
              <w:top w:val="nil"/>
              <w:left w:val="nil"/>
              <w:bottom w:val="nil"/>
              <w:right w:val="nil"/>
            </w:tcBorders>
            <w:shd w:val="clear" w:color="000000" w:fill="FFFFFF"/>
            <w:hideMark/>
          </w:tcPr>
          <w:p w14:paraId="6F43DE74"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19BA055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590" w:type="dxa"/>
            <w:tcBorders>
              <w:top w:val="nil"/>
              <w:left w:val="nil"/>
              <w:bottom w:val="nil"/>
              <w:right w:val="nil"/>
            </w:tcBorders>
            <w:shd w:val="clear" w:color="000000" w:fill="FFFFFF"/>
            <w:hideMark/>
          </w:tcPr>
          <w:p w14:paraId="106BEEE4"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17B86637"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14" w:type="dxa"/>
            <w:tcBorders>
              <w:top w:val="nil"/>
              <w:left w:val="nil"/>
              <w:bottom w:val="nil"/>
              <w:right w:val="nil"/>
            </w:tcBorders>
            <w:shd w:val="clear" w:color="000000" w:fill="FFFFFF"/>
            <w:hideMark/>
          </w:tcPr>
          <w:p w14:paraId="1836071A"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37" w:type="dxa"/>
            <w:tcBorders>
              <w:top w:val="nil"/>
              <w:left w:val="nil"/>
              <w:bottom w:val="nil"/>
              <w:right w:val="nil"/>
            </w:tcBorders>
            <w:shd w:val="clear" w:color="000000" w:fill="FFFFFF"/>
            <w:hideMark/>
          </w:tcPr>
          <w:p w14:paraId="6BBB2FF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072CB197"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20" w:type="dxa"/>
            <w:tcBorders>
              <w:top w:val="nil"/>
              <w:left w:val="nil"/>
              <w:bottom w:val="nil"/>
              <w:right w:val="nil"/>
            </w:tcBorders>
            <w:shd w:val="clear" w:color="000000" w:fill="FFFFFF"/>
            <w:hideMark/>
          </w:tcPr>
          <w:p w14:paraId="58A595A4"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420" w:type="dxa"/>
            <w:tcBorders>
              <w:top w:val="nil"/>
              <w:left w:val="nil"/>
              <w:bottom w:val="nil"/>
              <w:right w:val="nil"/>
            </w:tcBorders>
            <w:shd w:val="clear" w:color="000000" w:fill="FFFFFF"/>
            <w:hideMark/>
          </w:tcPr>
          <w:p w14:paraId="636A9FB9"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98" w:type="dxa"/>
            <w:tcBorders>
              <w:top w:val="nil"/>
              <w:left w:val="nil"/>
              <w:bottom w:val="nil"/>
              <w:right w:val="nil"/>
            </w:tcBorders>
            <w:shd w:val="clear" w:color="000000" w:fill="FFFFFF"/>
            <w:hideMark/>
          </w:tcPr>
          <w:p w14:paraId="0C7E72AC"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519" w:type="dxa"/>
            <w:tcBorders>
              <w:top w:val="nil"/>
              <w:left w:val="nil"/>
              <w:bottom w:val="nil"/>
              <w:right w:val="nil"/>
            </w:tcBorders>
            <w:shd w:val="clear" w:color="000000" w:fill="FFFFFF"/>
            <w:hideMark/>
          </w:tcPr>
          <w:p w14:paraId="6A01EAA0"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733" w:type="dxa"/>
            <w:tcBorders>
              <w:top w:val="nil"/>
              <w:left w:val="nil"/>
              <w:bottom w:val="nil"/>
              <w:right w:val="nil"/>
            </w:tcBorders>
            <w:shd w:val="clear" w:color="000000" w:fill="FFFFFF"/>
            <w:hideMark/>
          </w:tcPr>
          <w:p w14:paraId="6692FA87"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35" w:type="dxa"/>
            <w:tcBorders>
              <w:top w:val="nil"/>
              <w:left w:val="nil"/>
              <w:bottom w:val="nil"/>
              <w:right w:val="nil"/>
            </w:tcBorders>
            <w:shd w:val="clear" w:color="000000" w:fill="FFFFFF"/>
            <w:hideMark/>
          </w:tcPr>
          <w:p w14:paraId="2FA1F74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7398C17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736" w:type="dxa"/>
            <w:tcBorders>
              <w:top w:val="nil"/>
              <w:left w:val="nil"/>
              <w:bottom w:val="nil"/>
              <w:right w:val="nil"/>
            </w:tcBorders>
            <w:shd w:val="clear" w:color="000000" w:fill="FFFFFF"/>
            <w:hideMark/>
          </w:tcPr>
          <w:p w14:paraId="46424460"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934" w:type="dxa"/>
            <w:tcBorders>
              <w:top w:val="nil"/>
              <w:left w:val="nil"/>
              <w:bottom w:val="nil"/>
              <w:right w:val="nil"/>
            </w:tcBorders>
            <w:shd w:val="clear" w:color="000000" w:fill="FFFFFF"/>
            <w:hideMark/>
          </w:tcPr>
          <w:p w14:paraId="7745EA6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26" w:type="dxa"/>
            <w:tcBorders>
              <w:top w:val="nil"/>
              <w:left w:val="nil"/>
              <w:bottom w:val="nil"/>
              <w:right w:val="nil"/>
            </w:tcBorders>
            <w:shd w:val="clear" w:color="000000" w:fill="FFFFFF"/>
            <w:hideMark/>
          </w:tcPr>
          <w:p w14:paraId="503EF904"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6E6D9DE2" w14:textId="77777777" w:rsidTr="001F5575">
        <w:trPr>
          <w:trHeight w:val="199"/>
          <w:jc w:val="center"/>
        </w:trPr>
        <w:tc>
          <w:tcPr>
            <w:tcW w:w="13634" w:type="dxa"/>
            <w:gridSpan w:val="17"/>
            <w:tcBorders>
              <w:top w:val="nil"/>
              <w:left w:val="nil"/>
              <w:bottom w:val="nil"/>
              <w:right w:val="nil"/>
            </w:tcBorders>
            <w:shd w:val="clear" w:color="000000" w:fill="FFFFFF"/>
            <w:vAlign w:val="center"/>
            <w:hideMark/>
          </w:tcPr>
          <w:p w14:paraId="346A55E2"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QUADRO DE ATIVOS E PASSIVOS FINANCEIROS E PERMANENTES</w:t>
            </w:r>
          </w:p>
        </w:tc>
      </w:tr>
      <w:tr w:rsidR="00251BD1" w:rsidRPr="00103CC2" w14:paraId="521D2DC4" w14:textId="77777777" w:rsidTr="001F5575">
        <w:trPr>
          <w:trHeight w:val="276"/>
          <w:jc w:val="center"/>
        </w:trPr>
        <w:tc>
          <w:tcPr>
            <w:tcW w:w="7196" w:type="dxa"/>
            <w:gridSpan w:val="11"/>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E4EDEAF"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ATIVO</w:t>
            </w:r>
          </w:p>
        </w:tc>
        <w:tc>
          <w:tcPr>
            <w:tcW w:w="6438" w:type="dxa"/>
            <w:gridSpan w:val="6"/>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2C1DBE2"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PASSIVO</w:t>
            </w:r>
          </w:p>
        </w:tc>
      </w:tr>
      <w:tr w:rsidR="00251BD1" w:rsidRPr="00103CC2" w14:paraId="40A5A22E" w14:textId="77777777" w:rsidTr="001F5575">
        <w:trPr>
          <w:trHeight w:val="276"/>
          <w:jc w:val="center"/>
        </w:trPr>
        <w:tc>
          <w:tcPr>
            <w:tcW w:w="7196" w:type="dxa"/>
            <w:gridSpan w:val="11"/>
            <w:vMerge/>
            <w:tcBorders>
              <w:top w:val="single" w:sz="4" w:space="0" w:color="000000"/>
              <w:left w:val="single" w:sz="4" w:space="0" w:color="000000"/>
              <w:bottom w:val="single" w:sz="4" w:space="0" w:color="000000"/>
              <w:right w:val="single" w:sz="4" w:space="0" w:color="000000"/>
            </w:tcBorders>
            <w:vAlign w:val="center"/>
            <w:hideMark/>
          </w:tcPr>
          <w:p w14:paraId="447188AD"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6438" w:type="dxa"/>
            <w:gridSpan w:val="6"/>
            <w:vMerge/>
            <w:tcBorders>
              <w:top w:val="single" w:sz="4" w:space="0" w:color="000000"/>
              <w:left w:val="single" w:sz="4" w:space="0" w:color="000000"/>
              <w:bottom w:val="single" w:sz="4" w:space="0" w:color="000000"/>
              <w:right w:val="single" w:sz="4" w:space="0" w:color="000000"/>
            </w:tcBorders>
            <w:vAlign w:val="center"/>
            <w:hideMark/>
          </w:tcPr>
          <w:p w14:paraId="529531D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564B91E2" w14:textId="77777777" w:rsidTr="001F5575">
        <w:trPr>
          <w:trHeight w:val="276"/>
          <w:jc w:val="center"/>
        </w:trPr>
        <w:tc>
          <w:tcPr>
            <w:tcW w:w="7196" w:type="dxa"/>
            <w:gridSpan w:val="11"/>
            <w:vMerge/>
            <w:tcBorders>
              <w:top w:val="single" w:sz="4" w:space="0" w:color="000000"/>
              <w:left w:val="single" w:sz="4" w:space="0" w:color="000000"/>
              <w:bottom w:val="single" w:sz="4" w:space="0" w:color="000000"/>
              <w:right w:val="single" w:sz="4" w:space="0" w:color="000000"/>
            </w:tcBorders>
            <w:vAlign w:val="center"/>
            <w:hideMark/>
          </w:tcPr>
          <w:p w14:paraId="2D4B847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6438" w:type="dxa"/>
            <w:gridSpan w:val="6"/>
            <w:vMerge/>
            <w:tcBorders>
              <w:top w:val="single" w:sz="4" w:space="0" w:color="000000"/>
              <w:left w:val="single" w:sz="4" w:space="0" w:color="000000"/>
              <w:bottom w:val="single" w:sz="4" w:space="0" w:color="000000"/>
              <w:right w:val="single" w:sz="4" w:space="0" w:color="000000"/>
            </w:tcBorders>
            <w:vAlign w:val="center"/>
            <w:hideMark/>
          </w:tcPr>
          <w:p w14:paraId="4525CD8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6ACB93F3" w14:textId="77777777" w:rsidTr="001F5575">
        <w:trPr>
          <w:trHeight w:val="240"/>
          <w:jc w:val="center"/>
        </w:trPr>
        <w:tc>
          <w:tcPr>
            <w:tcW w:w="3765"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C286804"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ESPECIFICAÇÃO</w:t>
            </w:r>
          </w:p>
        </w:tc>
        <w:tc>
          <w:tcPr>
            <w:tcW w:w="374" w:type="dxa"/>
            <w:tcBorders>
              <w:top w:val="nil"/>
              <w:left w:val="nil"/>
              <w:bottom w:val="single" w:sz="4" w:space="0" w:color="000000"/>
              <w:right w:val="single" w:sz="4" w:space="0" w:color="000000"/>
            </w:tcBorders>
            <w:shd w:val="clear" w:color="000000" w:fill="FFFFFF"/>
            <w:vAlign w:val="center"/>
            <w:hideMark/>
          </w:tcPr>
          <w:p w14:paraId="252B1DEC"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0227B09E"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2020</w:t>
            </w:r>
          </w:p>
        </w:tc>
        <w:tc>
          <w:tcPr>
            <w:tcW w:w="1519" w:type="dxa"/>
            <w:tcBorders>
              <w:top w:val="nil"/>
              <w:left w:val="nil"/>
              <w:bottom w:val="single" w:sz="4" w:space="0" w:color="000000"/>
              <w:right w:val="single" w:sz="4" w:space="0" w:color="000000"/>
            </w:tcBorders>
            <w:shd w:val="clear" w:color="000000" w:fill="FFFFFF"/>
            <w:vAlign w:val="center"/>
            <w:hideMark/>
          </w:tcPr>
          <w:p w14:paraId="47AF549F"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2019</w:t>
            </w:r>
          </w:p>
        </w:tc>
        <w:tc>
          <w:tcPr>
            <w:tcW w:w="296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C4E2C96"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ESPECIFICAÇÃO</w:t>
            </w:r>
          </w:p>
        </w:tc>
        <w:tc>
          <w:tcPr>
            <w:tcW w:w="374" w:type="dxa"/>
            <w:tcBorders>
              <w:top w:val="nil"/>
              <w:left w:val="nil"/>
              <w:bottom w:val="single" w:sz="4" w:space="0" w:color="000000"/>
              <w:right w:val="single" w:sz="4" w:space="0" w:color="000000"/>
            </w:tcBorders>
            <w:shd w:val="clear" w:color="000000" w:fill="FFFFFF"/>
            <w:vAlign w:val="center"/>
            <w:hideMark/>
          </w:tcPr>
          <w:p w14:paraId="4E113249"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67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4C2F26A"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2020</w:t>
            </w:r>
          </w:p>
        </w:tc>
        <w:tc>
          <w:tcPr>
            <w:tcW w:w="1426" w:type="dxa"/>
            <w:tcBorders>
              <w:top w:val="nil"/>
              <w:left w:val="nil"/>
              <w:bottom w:val="single" w:sz="4" w:space="0" w:color="000000"/>
              <w:right w:val="single" w:sz="4" w:space="0" w:color="000000"/>
            </w:tcBorders>
            <w:shd w:val="clear" w:color="000000" w:fill="FFFFFF"/>
            <w:vAlign w:val="center"/>
            <w:hideMark/>
          </w:tcPr>
          <w:p w14:paraId="45DA8275"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2019</w:t>
            </w:r>
          </w:p>
        </w:tc>
      </w:tr>
      <w:tr w:rsidR="00251BD1" w:rsidRPr="00103CC2" w14:paraId="301BD052"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1EF7BC21"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ATIVO FINANCEIRO</w:t>
            </w:r>
          </w:p>
        </w:tc>
        <w:tc>
          <w:tcPr>
            <w:tcW w:w="374" w:type="dxa"/>
            <w:tcBorders>
              <w:top w:val="nil"/>
              <w:left w:val="nil"/>
              <w:bottom w:val="nil"/>
              <w:right w:val="single" w:sz="4" w:space="0" w:color="000000"/>
            </w:tcBorders>
            <w:shd w:val="clear" w:color="000000" w:fill="FFFFFF"/>
            <w:hideMark/>
          </w:tcPr>
          <w:p w14:paraId="20F8F25E"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0976B25B"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29.657.045.845,40</w:t>
            </w:r>
          </w:p>
        </w:tc>
        <w:tc>
          <w:tcPr>
            <w:tcW w:w="1519" w:type="dxa"/>
            <w:tcBorders>
              <w:top w:val="nil"/>
              <w:left w:val="nil"/>
              <w:bottom w:val="nil"/>
              <w:right w:val="single" w:sz="4" w:space="0" w:color="000000"/>
            </w:tcBorders>
            <w:shd w:val="clear" w:color="000000" w:fill="FFFFFF"/>
            <w:hideMark/>
          </w:tcPr>
          <w:p w14:paraId="29A4F4FF"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38.935.820.107,88</w:t>
            </w:r>
          </w:p>
        </w:tc>
        <w:tc>
          <w:tcPr>
            <w:tcW w:w="2968" w:type="dxa"/>
            <w:gridSpan w:val="2"/>
            <w:tcBorders>
              <w:top w:val="nil"/>
              <w:left w:val="nil"/>
              <w:bottom w:val="nil"/>
              <w:right w:val="single" w:sz="4" w:space="0" w:color="000000"/>
            </w:tcBorders>
            <w:shd w:val="clear" w:color="000000" w:fill="FFFFFF"/>
            <w:hideMark/>
          </w:tcPr>
          <w:p w14:paraId="3857AD5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PASSIVO FINANCEIRO</w:t>
            </w:r>
          </w:p>
        </w:tc>
        <w:tc>
          <w:tcPr>
            <w:tcW w:w="374" w:type="dxa"/>
            <w:tcBorders>
              <w:top w:val="nil"/>
              <w:left w:val="nil"/>
              <w:bottom w:val="nil"/>
              <w:right w:val="single" w:sz="4" w:space="0" w:color="000000"/>
            </w:tcBorders>
            <w:shd w:val="clear" w:color="000000" w:fill="FFFFFF"/>
            <w:hideMark/>
          </w:tcPr>
          <w:p w14:paraId="16A26A48"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6FD4070C"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26.077.382.871,25</w:t>
            </w:r>
          </w:p>
        </w:tc>
        <w:tc>
          <w:tcPr>
            <w:tcW w:w="1426" w:type="dxa"/>
            <w:tcBorders>
              <w:top w:val="nil"/>
              <w:left w:val="nil"/>
              <w:bottom w:val="nil"/>
              <w:right w:val="single" w:sz="4" w:space="0" w:color="000000"/>
            </w:tcBorders>
            <w:shd w:val="clear" w:color="000000" w:fill="FFFFFF"/>
            <w:hideMark/>
          </w:tcPr>
          <w:p w14:paraId="341F4EB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23.294.524.979,13</w:t>
            </w:r>
          </w:p>
        </w:tc>
      </w:tr>
      <w:tr w:rsidR="00251BD1" w:rsidRPr="00103CC2" w14:paraId="03ED8206"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3613ADB6"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ATIVO PERMANENTE</w:t>
            </w:r>
          </w:p>
        </w:tc>
        <w:tc>
          <w:tcPr>
            <w:tcW w:w="374" w:type="dxa"/>
            <w:tcBorders>
              <w:top w:val="nil"/>
              <w:left w:val="nil"/>
              <w:bottom w:val="nil"/>
              <w:right w:val="single" w:sz="4" w:space="0" w:color="000000"/>
            </w:tcBorders>
            <w:shd w:val="clear" w:color="000000" w:fill="FFFFFF"/>
            <w:hideMark/>
          </w:tcPr>
          <w:p w14:paraId="2BFBE361"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794EC5EB"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191.605.617.437,72</w:t>
            </w:r>
          </w:p>
        </w:tc>
        <w:tc>
          <w:tcPr>
            <w:tcW w:w="1519" w:type="dxa"/>
            <w:tcBorders>
              <w:top w:val="nil"/>
              <w:left w:val="nil"/>
              <w:bottom w:val="nil"/>
              <w:right w:val="single" w:sz="4" w:space="0" w:color="000000"/>
            </w:tcBorders>
            <w:shd w:val="clear" w:color="000000" w:fill="FFFFFF"/>
            <w:hideMark/>
          </w:tcPr>
          <w:p w14:paraId="5E0BC5BA"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167.389.383.720,67</w:t>
            </w:r>
          </w:p>
        </w:tc>
        <w:tc>
          <w:tcPr>
            <w:tcW w:w="2968" w:type="dxa"/>
            <w:gridSpan w:val="2"/>
            <w:tcBorders>
              <w:top w:val="nil"/>
              <w:left w:val="nil"/>
              <w:bottom w:val="nil"/>
              <w:right w:val="single" w:sz="4" w:space="0" w:color="000000"/>
            </w:tcBorders>
            <w:shd w:val="clear" w:color="000000" w:fill="FFFFFF"/>
            <w:hideMark/>
          </w:tcPr>
          <w:p w14:paraId="04AD4611"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PASSIVO PERMANENTE</w:t>
            </w:r>
          </w:p>
        </w:tc>
        <w:tc>
          <w:tcPr>
            <w:tcW w:w="374" w:type="dxa"/>
            <w:tcBorders>
              <w:top w:val="nil"/>
              <w:left w:val="nil"/>
              <w:bottom w:val="nil"/>
              <w:right w:val="single" w:sz="4" w:space="0" w:color="000000"/>
            </w:tcBorders>
            <w:shd w:val="clear" w:color="000000" w:fill="FFFFFF"/>
            <w:hideMark/>
          </w:tcPr>
          <w:p w14:paraId="0665B752"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nil"/>
              <w:left w:val="nil"/>
              <w:bottom w:val="nil"/>
              <w:right w:val="single" w:sz="4" w:space="0" w:color="000000"/>
            </w:tcBorders>
            <w:shd w:val="clear" w:color="000000" w:fill="FFFFFF"/>
            <w:hideMark/>
          </w:tcPr>
          <w:p w14:paraId="073680A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7.105.782.550,72</w:t>
            </w:r>
          </w:p>
        </w:tc>
        <w:tc>
          <w:tcPr>
            <w:tcW w:w="1426" w:type="dxa"/>
            <w:tcBorders>
              <w:top w:val="nil"/>
              <w:left w:val="nil"/>
              <w:bottom w:val="nil"/>
              <w:right w:val="single" w:sz="4" w:space="0" w:color="000000"/>
            </w:tcBorders>
            <w:shd w:val="clear" w:color="000000" w:fill="FFFFFF"/>
            <w:hideMark/>
          </w:tcPr>
          <w:p w14:paraId="50F28BE4"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6.223.852.082,70</w:t>
            </w:r>
          </w:p>
        </w:tc>
      </w:tr>
      <w:tr w:rsidR="00251BD1" w:rsidRPr="00103CC2" w14:paraId="05FA94B7" w14:textId="77777777" w:rsidTr="001F5575">
        <w:trPr>
          <w:trHeight w:val="199"/>
          <w:jc w:val="center"/>
        </w:trPr>
        <w:tc>
          <w:tcPr>
            <w:tcW w:w="3765" w:type="dxa"/>
            <w:gridSpan w:val="6"/>
            <w:tcBorders>
              <w:top w:val="nil"/>
              <w:left w:val="single" w:sz="4" w:space="0" w:color="000000"/>
              <w:bottom w:val="nil"/>
              <w:right w:val="single" w:sz="4" w:space="0" w:color="000000"/>
            </w:tcBorders>
            <w:shd w:val="clear" w:color="000000" w:fill="FFFFFF"/>
            <w:hideMark/>
          </w:tcPr>
          <w:p w14:paraId="49A1CBA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374" w:type="dxa"/>
            <w:tcBorders>
              <w:top w:val="nil"/>
              <w:left w:val="nil"/>
              <w:bottom w:val="nil"/>
              <w:right w:val="single" w:sz="4" w:space="0" w:color="000000"/>
            </w:tcBorders>
            <w:shd w:val="clear" w:color="000000" w:fill="FFFFFF"/>
            <w:hideMark/>
          </w:tcPr>
          <w:p w14:paraId="5F0E138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38" w:type="dxa"/>
            <w:gridSpan w:val="3"/>
            <w:tcBorders>
              <w:top w:val="nil"/>
              <w:left w:val="nil"/>
              <w:bottom w:val="nil"/>
              <w:right w:val="single" w:sz="4" w:space="0" w:color="000000"/>
            </w:tcBorders>
            <w:shd w:val="clear" w:color="000000" w:fill="FFFFFF"/>
            <w:hideMark/>
          </w:tcPr>
          <w:p w14:paraId="3A10817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1519" w:type="dxa"/>
            <w:tcBorders>
              <w:top w:val="nil"/>
              <w:left w:val="nil"/>
              <w:bottom w:val="nil"/>
              <w:right w:val="single" w:sz="4" w:space="0" w:color="000000"/>
            </w:tcBorders>
            <w:shd w:val="clear" w:color="000000" w:fill="FFFFFF"/>
            <w:hideMark/>
          </w:tcPr>
          <w:p w14:paraId="2644183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w:t>
            </w:r>
          </w:p>
        </w:tc>
        <w:tc>
          <w:tcPr>
            <w:tcW w:w="2968" w:type="dxa"/>
            <w:gridSpan w:val="2"/>
            <w:tcBorders>
              <w:top w:val="single" w:sz="4" w:space="0" w:color="000000"/>
              <w:left w:val="nil"/>
              <w:bottom w:val="nil"/>
              <w:right w:val="single" w:sz="4" w:space="0" w:color="000000"/>
            </w:tcBorders>
            <w:shd w:val="clear" w:color="000000" w:fill="FFFFFF"/>
            <w:hideMark/>
          </w:tcPr>
          <w:p w14:paraId="1D60AE60"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SALDO PATRIMONIAL</w:t>
            </w:r>
          </w:p>
        </w:tc>
        <w:tc>
          <w:tcPr>
            <w:tcW w:w="374" w:type="dxa"/>
            <w:tcBorders>
              <w:top w:val="single" w:sz="4" w:space="0" w:color="000000"/>
              <w:left w:val="nil"/>
              <w:bottom w:val="nil"/>
              <w:right w:val="single" w:sz="4" w:space="0" w:color="000000"/>
            </w:tcBorders>
            <w:shd w:val="clear" w:color="000000" w:fill="FFFFFF"/>
            <w:hideMark/>
          </w:tcPr>
          <w:p w14:paraId="210E508D"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 </w:t>
            </w:r>
          </w:p>
        </w:tc>
        <w:tc>
          <w:tcPr>
            <w:tcW w:w="1670" w:type="dxa"/>
            <w:gridSpan w:val="2"/>
            <w:tcBorders>
              <w:top w:val="single" w:sz="4" w:space="0" w:color="000000"/>
              <w:left w:val="nil"/>
              <w:bottom w:val="nil"/>
              <w:right w:val="single" w:sz="4" w:space="0" w:color="000000"/>
            </w:tcBorders>
            <w:shd w:val="clear" w:color="000000" w:fill="FFFFFF"/>
            <w:hideMark/>
          </w:tcPr>
          <w:p w14:paraId="3D34E320"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188.079.497.861,15</w:t>
            </w:r>
          </w:p>
        </w:tc>
        <w:tc>
          <w:tcPr>
            <w:tcW w:w="1426" w:type="dxa"/>
            <w:tcBorders>
              <w:top w:val="single" w:sz="4" w:space="0" w:color="000000"/>
              <w:left w:val="nil"/>
              <w:bottom w:val="nil"/>
              <w:right w:val="single" w:sz="4" w:space="0" w:color="000000"/>
            </w:tcBorders>
            <w:shd w:val="clear" w:color="000000" w:fill="FFFFFF"/>
            <w:hideMark/>
          </w:tcPr>
          <w:p w14:paraId="30FA1B6B"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176.806.826.766,72</w:t>
            </w:r>
          </w:p>
        </w:tc>
      </w:tr>
      <w:tr w:rsidR="00251BD1" w:rsidRPr="00103CC2" w14:paraId="0D355F17" w14:textId="77777777" w:rsidTr="001F5575">
        <w:trPr>
          <w:trHeight w:val="19"/>
          <w:jc w:val="center"/>
        </w:trPr>
        <w:tc>
          <w:tcPr>
            <w:tcW w:w="13634" w:type="dxa"/>
            <w:gridSpan w:val="17"/>
            <w:tcBorders>
              <w:top w:val="single" w:sz="4" w:space="0" w:color="000000"/>
              <w:left w:val="nil"/>
              <w:bottom w:val="nil"/>
              <w:right w:val="nil"/>
            </w:tcBorders>
            <w:shd w:val="clear" w:color="000000" w:fill="FFFFFF"/>
            <w:hideMark/>
          </w:tcPr>
          <w:p w14:paraId="7927F6D6"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6021CC06" w14:textId="77777777" w:rsidTr="001F5575">
        <w:trPr>
          <w:trHeight w:val="199"/>
          <w:jc w:val="center"/>
        </w:trPr>
        <w:tc>
          <w:tcPr>
            <w:tcW w:w="590" w:type="dxa"/>
            <w:tcBorders>
              <w:top w:val="nil"/>
              <w:left w:val="nil"/>
              <w:bottom w:val="nil"/>
              <w:right w:val="nil"/>
            </w:tcBorders>
            <w:shd w:val="clear" w:color="000000" w:fill="FFFFFF"/>
            <w:hideMark/>
          </w:tcPr>
          <w:p w14:paraId="538DA5D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7C1FCA3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590" w:type="dxa"/>
            <w:tcBorders>
              <w:top w:val="nil"/>
              <w:left w:val="nil"/>
              <w:bottom w:val="nil"/>
              <w:right w:val="nil"/>
            </w:tcBorders>
            <w:shd w:val="clear" w:color="000000" w:fill="FFFFFF"/>
            <w:hideMark/>
          </w:tcPr>
          <w:p w14:paraId="6A9DD17C"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437A67BA"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14" w:type="dxa"/>
            <w:tcBorders>
              <w:top w:val="nil"/>
              <w:left w:val="nil"/>
              <w:bottom w:val="nil"/>
              <w:right w:val="nil"/>
            </w:tcBorders>
            <w:shd w:val="clear" w:color="000000" w:fill="FFFFFF"/>
            <w:hideMark/>
          </w:tcPr>
          <w:p w14:paraId="49EA10B4"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37" w:type="dxa"/>
            <w:tcBorders>
              <w:top w:val="nil"/>
              <w:left w:val="nil"/>
              <w:bottom w:val="nil"/>
              <w:right w:val="nil"/>
            </w:tcBorders>
            <w:shd w:val="clear" w:color="000000" w:fill="FFFFFF"/>
            <w:hideMark/>
          </w:tcPr>
          <w:p w14:paraId="338FA3D5"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288CDF1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20" w:type="dxa"/>
            <w:tcBorders>
              <w:top w:val="nil"/>
              <w:left w:val="nil"/>
              <w:bottom w:val="nil"/>
              <w:right w:val="nil"/>
            </w:tcBorders>
            <w:shd w:val="clear" w:color="000000" w:fill="FFFFFF"/>
            <w:hideMark/>
          </w:tcPr>
          <w:p w14:paraId="3F56945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420" w:type="dxa"/>
            <w:tcBorders>
              <w:top w:val="nil"/>
              <w:left w:val="nil"/>
              <w:bottom w:val="nil"/>
              <w:right w:val="nil"/>
            </w:tcBorders>
            <w:shd w:val="clear" w:color="000000" w:fill="FFFFFF"/>
            <w:hideMark/>
          </w:tcPr>
          <w:p w14:paraId="7785055F"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98" w:type="dxa"/>
            <w:tcBorders>
              <w:top w:val="nil"/>
              <w:left w:val="nil"/>
              <w:bottom w:val="nil"/>
              <w:right w:val="nil"/>
            </w:tcBorders>
            <w:shd w:val="clear" w:color="000000" w:fill="FFFFFF"/>
            <w:hideMark/>
          </w:tcPr>
          <w:p w14:paraId="452C09D1"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519" w:type="dxa"/>
            <w:tcBorders>
              <w:top w:val="nil"/>
              <w:left w:val="nil"/>
              <w:bottom w:val="nil"/>
              <w:right w:val="nil"/>
            </w:tcBorders>
            <w:shd w:val="clear" w:color="000000" w:fill="FFFFFF"/>
            <w:hideMark/>
          </w:tcPr>
          <w:p w14:paraId="45817DF4"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733" w:type="dxa"/>
            <w:tcBorders>
              <w:top w:val="nil"/>
              <w:left w:val="nil"/>
              <w:bottom w:val="nil"/>
              <w:right w:val="nil"/>
            </w:tcBorders>
            <w:shd w:val="clear" w:color="000000" w:fill="FFFFFF"/>
            <w:hideMark/>
          </w:tcPr>
          <w:p w14:paraId="13C9CA1E"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35" w:type="dxa"/>
            <w:tcBorders>
              <w:top w:val="nil"/>
              <w:left w:val="nil"/>
              <w:bottom w:val="nil"/>
              <w:right w:val="nil"/>
            </w:tcBorders>
            <w:shd w:val="clear" w:color="000000" w:fill="FFFFFF"/>
            <w:hideMark/>
          </w:tcPr>
          <w:p w14:paraId="3F5B9786"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37D0B31E"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736" w:type="dxa"/>
            <w:tcBorders>
              <w:top w:val="nil"/>
              <w:left w:val="nil"/>
              <w:bottom w:val="nil"/>
              <w:right w:val="nil"/>
            </w:tcBorders>
            <w:shd w:val="clear" w:color="000000" w:fill="FFFFFF"/>
            <w:hideMark/>
          </w:tcPr>
          <w:p w14:paraId="5C744BA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934" w:type="dxa"/>
            <w:tcBorders>
              <w:top w:val="nil"/>
              <w:left w:val="nil"/>
              <w:bottom w:val="nil"/>
              <w:right w:val="nil"/>
            </w:tcBorders>
            <w:shd w:val="clear" w:color="000000" w:fill="FFFFFF"/>
            <w:hideMark/>
          </w:tcPr>
          <w:p w14:paraId="748749FD"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26" w:type="dxa"/>
            <w:tcBorders>
              <w:top w:val="nil"/>
              <w:left w:val="nil"/>
              <w:bottom w:val="nil"/>
              <w:right w:val="nil"/>
            </w:tcBorders>
            <w:shd w:val="clear" w:color="000000" w:fill="FFFFFF"/>
            <w:hideMark/>
          </w:tcPr>
          <w:p w14:paraId="052E6693"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1E15C1F2" w14:textId="77777777" w:rsidTr="001F5575">
        <w:trPr>
          <w:trHeight w:val="199"/>
          <w:jc w:val="center"/>
        </w:trPr>
        <w:tc>
          <w:tcPr>
            <w:tcW w:w="13634" w:type="dxa"/>
            <w:gridSpan w:val="17"/>
            <w:tcBorders>
              <w:top w:val="nil"/>
              <w:left w:val="nil"/>
              <w:bottom w:val="nil"/>
              <w:right w:val="nil"/>
            </w:tcBorders>
            <w:shd w:val="clear" w:color="000000" w:fill="FFFFFF"/>
            <w:vAlign w:val="center"/>
            <w:hideMark/>
          </w:tcPr>
          <w:p w14:paraId="0B9CEBFB" w14:textId="77777777" w:rsidR="00251BD1" w:rsidRPr="00103CC2" w:rsidRDefault="00251BD1" w:rsidP="00251BD1">
            <w:pPr>
              <w:widowControl/>
              <w:suppressAutoHyphens w:val="0"/>
              <w:autoSpaceDN/>
              <w:textAlignment w:val="auto"/>
              <w:rPr>
                <w:rFonts w:ascii="Verdana" w:eastAsia="Times New Roman" w:hAnsi="Verdana" w:cs="Arial"/>
                <w:color w:val="000000"/>
                <w:kern w:val="0"/>
                <w:sz w:val="12"/>
                <w:szCs w:val="12"/>
                <w:lang w:eastAsia="pt-BR" w:bidi="ar-SA"/>
              </w:rPr>
            </w:pPr>
            <w:r w:rsidRPr="00103CC2">
              <w:rPr>
                <w:rFonts w:ascii="Verdana" w:eastAsia="Times New Roman" w:hAnsi="Verdana" w:cs="Arial"/>
                <w:color w:val="000000"/>
                <w:kern w:val="0"/>
                <w:sz w:val="12"/>
                <w:szCs w:val="12"/>
                <w:lang w:eastAsia="pt-BR" w:bidi="ar-SA"/>
              </w:rPr>
              <w:t>QUADRO DE COMPENSAÇÕES</w:t>
            </w:r>
          </w:p>
        </w:tc>
      </w:tr>
      <w:tr w:rsidR="00251BD1" w:rsidRPr="00103CC2" w14:paraId="36DD2360" w14:textId="77777777" w:rsidTr="001F5575">
        <w:trPr>
          <w:trHeight w:val="199"/>
          <w:jc w:val="center"/>
        </w:trPr>
        <w:tc>
          <w:tcPr>
            <w:tcW w:w="7196" w:type="dxa"/>
            <w:gridSpan w:val="11"/>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3BE1883" w14:textId="77777777" w:rsidR="00251BD1" w:rsidRPr="00103CC2" w:rsidRDefault="00251BD1" w:rsidP="00251BD1">
            <w:pPr>
              <w:widowControl/>
              <w:suppressAutoHyphens w:val="0"/>
              <w:autoSpaceDN/>
              <w:jc w:val="center"/>
              <w:textAlignment w:val="auto"/>
              <w:rPr>
                <w:rFonts w:ascii="Verdana" w:eastAsia="Times New Roman" w:hAnsi="Verdana" w:cs="Arial"/>
                <w:color w:val="000000"/>
                <w:kern w:val="0"/>
                <w:sz w:val="12"/>
                <w:szCs w:val="12"/>
                <w:lang w:eastAsia="pt-BR" w:bidi="ar-SA"/>
              </w:rPr>
            </w:pPr>
            <w:r w:rsidRPr="00103CC2">
              <w:rPr>
                <w:rFonts w:ascii="Verdana" w:eastAsia="Times New Roman" w:hAnsi="Verdana" w:cs="Arial"/>
                <w:color w:val="000000"/>
                <w:kern w:val="0"/>
                <w:sz w:val="12"/>
                <w:szCs w:val="12"/>
                <w:lang w:eastAsia="pt-BR" w:bidi="ar-SA"/>
              </w:rPr>
              <w:t>ATIVO</w:t>
            </w:r>
          </w:p>
        </w:tc>
        <w:tc>
          <w:tcPr>
            <w:tcW w:w="6438" w:type="dxa"/>
            <w:gridSpan w:val="6"/>
            <w:tcBorders>
              <w:top w:val="single" w:sz="4" w:space="0" w:color="000000"/>
              <w:left w:val="nil"/>
              <w:bottom w:val="single" w:sz="4" w:space="0" w:color="000000"/>
              <w:right w:val="single" w:sz="4" w:space="0" w:color="000000"/>
            </w:tcBorders>
            <w:shd w:val="clear" w:color="000000" w:fill="FFFFFF"/>
            <w:vAlign w:val="center"/>
            <w:hideMark/>
          </w:tcPr>
          <w:p w14:paraId="6EBF2AE2" w14:textId="77777777" w:rsidR="00251BD1" w:rsidRPr="00103CC2" w:rsidRDefault="00251BD1" w:rsidP="00251BD1">
            <w:pPr>
              <w:widowControl/>
              <w:suppressAutoHyphens w:val="0"/>
              <w:autoSpaceDN/>
              <w:jc w:val="center"/>
              <w:textAlignment w:val="auto"/>
              <w:rPr>
                <w:rFonts w:ascii="Verdana" w:eastAsia="Times New Roman" w:hAnsi="Verdana" w:cs="Arial"/>
                <w:color w:val="000000"/>
                <w:kern w:val="0"/>
                <w:sz w:val="12"/>
                <w:szCs w:val="12"/>
                <w:lang w:eastAsia="pt-BR" w:bidi="ar-SA"/>
              </w:rPr>
            </w:pPr>
            <w:r w:rsidRPr="00103CC2">
              <w:rPr>
                <w:rFonts w:ascii="Verdana" w:eastAsia="Times New Roman" w:hAnsi="Verdana" w:cs="Arial"/>
                <w:color w:val="000000"/>
                <w:kern w:val="0"/>
                <w:sz w:val="12"/>
                <w:szCs w:val="12"/>
                <w:lang w:eastAsia="pt-BR" w:bidi="ar-SA"/>
              </w:rPr>
              <w:t>PASSIVO</w:t>
            </w:r>
          </w:p>
        </w:tc>
      </w:tr>
      <w:tr w:rsidR="00251BD1" w:rsidRPr="00103CC2" w14:paraId="3324319E" w14:textId="77777777" w:rsidTr="001F5575">
        <w:trPr>
          <w:trHeight w:val="240"/>
          <w:jc w:val="center"/>
        </w:trPr>
        <w:tc>
          <w:tcPr>
            <w:tcW w:w="2928"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CA2FCB4"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ESPECIFICAÇÃO</w:t>
            </w:r>
          </w:p>
        </w:tc>
        <w:tc>
          <w:tcPr>
            <w:tcW w:w="1431"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C575A1"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2020</w:t>
            </w:r>
          </w:p>
        </w:tc>
        <w:tc>
          <w:tcPr>
            <w:tcW w:w="2837"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3EA56F"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2019</w:t>
            </w:r>
          </w:p>
        </w:tc>
        <w:tc>
          <w:tcPr>
            <w:tcW w:w="2733" w:type="dxa"/>
            <w:tcBorders>
              <w:top w:val="nil"/>
              <w:left w:val="nil"/>
              <w:bottom w:val="single" w:sz="4" w:space="0" w:color="000000"/>
              <w:right w:val="single" w:sz="4" w:space="0" w:color="000000"/>
            </w:tcBorders>
            <w:shd w:val="clear" w:color="000000" w:fill="FFFFFF"/>
            <w:vAlign w:val="center"/>
            <w:hideMark/>
          </w:tcPr>
          <w:p w14:paraId="735D8E94"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ESPECIFICAÇÃO</w:t>
            </w:r>
          </w:p>
        </w:tc>
        <w:tc>
          <w:tcPr>
            <w:tcW w:w="1345"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733BC53"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2020</w:t>
            </w:r>
          </w:p>
        </w:tc>
        <w:tc>
          <w:tcPr>
            <w:tcW w:w="236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6CCA008" w14:textId="77777777" w:rsidR="00251BD1" w:rsidRPr="00103CC2" w:rsidRDefault="00251BD1" w:rsidP="00251BD1">
            <w:pPr>
              <w:widowControl/>
              <w:suppressAutoHyphens w:val="0"/>
              <w:autoSpaceDN/>
              <w:jc w:val="center"/>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2019</w:t>
            </w:r>
          </w:p>
        </w:tc>
      </w:tr>
      <w:tr w:rsidR="00251BD1" w:rsidRPr="00103CC2" w14:paraId="3B3491F2" w14:textId="77777777" w:rsidTr="001F5575">
        <w:trPr>
          <w:trHeight w:val="240"/>
          <w:jc w:val="center"/>
        </w:trPr>
        <w:tc>
          <w:tcPr>
            <w:tcW w:w="2928"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E9044A8"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ESPECIFICAÇÃO / Saldo dos Atos Potenciais Ativos</w:t>
            </w:r>
          </w:p>
        </w:tc>
        <w:tc>
          <w:tcPr>
            <w:tcW w:w="1431" w:type="dxa"/>
            <w:gridSpan w:val="3"/>
            <w:vMerge/>
            <w:tcBorders>
              <w:top w:val="single" w:sz="4" w:space="0" w:color="000000"/>
              <w:left w:val="single" w:sz="4" w:space="0" w:color="000000"/>
              <w:bottom w:val="single" w:sz="4" w:space="0" w:color="000000"/>
              <w:right w:val="single" w:sz="4" w:space="0" w:color="000000"/>
            </w:tcBorders>
            <w:vAlign w:val="center"/>
            <w:hideMark/>
          </w:tcPr>
          <w:p w14:paraId="4FA694BB"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2837" w:type="dxa"/>
            <w:gridSpan w:val="3"/>
            <w:vMerge/>
            <w:tcBorders>
              <w:top w:val="single" w:sz="4" w:space="0" w:color="000000"/>
              <w:left w:val="single" w:sz="4" w:space="0" w:color="000000"/>
              <w:bottom w:val="single" w:sz="4" w:space="0" w:color="000000"/>
              <w:right w:val="single" w:sz="4" w:space="0" w:color="000000"/>
            </w:tcBorders>
            <w:vAlign w:val="center"/>
            <w:hideMark/>
          </w:tcPr>
          <w:p w14:paraId="44A4B083"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2733" w:type="dxa"/>
            <w:tcBorders>
              <w:top w:val="nil"/>
              <w:left w:val="nil"/>
              <w:bottom w:val="single" w:sz="4" w:space="0" w:color="000000"/>
              <w:right w:val="single" w:sz="4" w:space="0" w:color="000000"/>
            </w:tcBorders>
            <w:shd w:val="clear" w:color="000000" w:fill="FFFFFF"/>
            <w:vAlign w:val="center"/>
            <w:hideMark/>
          </w:tcPr>
          <w:p w14:paraId="7D145E9D"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ESPECIFICAÇÃO / Saldo dos Atos Potenciais Passivos</w:t>
            </w:r>
          </w:p>
        </w:tc>
        <w:tc>
          <w:tcPr>
            <w:tcW w:w="1345" w:type="dxa"/>
            <w:gridSpan w:val="3"/>
            <w:vMerge/>
            <w:tcBorders>
              <w:top w:val="nil"/>
              <w:left w:val="nil"/>
              <w:bottom w:val="single" w:sz="4" w:space="0" w:color="000000"/>
              <w:right w:val="single" w:sz="4" w:space="0" w:color="000000"/>
            </w:tcBorders>
            <w:vAlign w:val="center"/>
            <w:hideMark/>
          </w:tcPr>
          <w:p w14:paraId="117EA2C0"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c>
          <w:tcPr>
            <w:tcW w:w="2360" w:type="dxa"/>
            <w:gridSpan w:val="2"/>
            <w:vMerge/>
            <w:tcBorders>
              <w:top w:val="nil"/>
              <w:left w:val="nil"/>
              <w:bottom w:val="single" w:sz="4" w:space="0" w:color="000000"/>
              <w:right w:val="single" w:sz="4" w:space="0" w:color="000000"/>
            </w:tcBorders>
            <w:vAlign w:val="center"/>
            <w:hideMark/>
          </w:tcPr>
          <w:p w14:paraId="42366103"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p>
        </w:tc>
      </w:tr>
      <w:tr w:rsidR="00251BD1" w:rsidRPr="00103CC2" w14:paraId="605D36B3" w14:textId="77777777" w:rsidTr="001F5575">
        <w:trPr>
          <w:trHeight w:val="199"/>
          <w:jc w:val="center"/>
        </w:trPr>
        <w:tc>
          <w:tcPr>
            <w:tcW w:w="2928" w:type="dxa"/>
            <w:gridSpan w:val="5"/>
            <w:tcBorders>
              <w:top w:val="nil"/>
              <w:left w:val="single" w:sz="4" w:space="0" w:color="000000"/>
              <w:bottom w:val="nil"/>
              <w:right w:val="single" w:sz="4" w:space="0" w:color="000000"/>
            </w:tcBorders>
            <w:shd w:val="clear" w:color="000000" w:fill="FFFFFF"/>
            <w:hideMark/>
          </w:tcPr>
          <w:p w14:paraId="6ACFD34B"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SALDO DOS ATOS POTENCIAIS ATIVOS</w:t>
            </w:r>
          </w:p>
        </w:tc>
        <w:tc>
          <w:tcPr>
            <w:tcW w:w="1431" w:type="dxa"/>
            <w:gridSpan w:val="3"/>
            <w:tcBorders>
              <w:top w:val="nil"/>
              <w:left w:val="nil"/>
              <w:bottom w:val="nil"/>
              <w:right w:val="single" w:sz="4" w:space="0" w:color="000000"/>
            </w:tcBorders>
            <w:shd w:val="clear" w:color="000000" w:fill="FFFFFF"/>
            <w:hideMark/>
          </w:tcPr>
          <w:p w14:paraId="41E9D10B"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5.577.040.246,72</w:t>
            </w:r>
          </w:p>
        </w:tc>
        <w:tc>
          <w:tcPr>
            <w:tcW w:w="2837" w:type="dxa"/>
            <w:gridSpan w:val="3"/>
            <w:tcBorders>
              <w:top w:val="nil"/>
              <w:left w:val="nil"/>
              <w:bottom w:val="nil"/>
              <w:right w:val="single" w:sz="4" w:space="0" w:color="000000"/>
            </w:tcBorders>
            <w:shd w:val="clear" w:color="000000" w:fill="FFFFFF"/>
            <w:hideMark/>
          </w:tcPr>
          <w:p w14:paraId="420562F2"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3.160.542.217,16</w:t>
            </w:r>
          </w:p>
        </w:tc>
        <w:tc>
          <w:tcPr>
            <w:tcW w:w="2733" w:type="dxa"/>
            <w:tcBorders>
              <w:top w:val="nil"/>
              <w:left w:val="nil"/>
              <w:bottom w:val="nil"/>
              <w:right w:val="single" w:sz="4" w:space="0" w:color="000000"/>
            </w:tcBorders>
            <w:shd w:val="clear" w:color="000000" w:fill="FFFFFF"/>
            <w:hideMark/>
          </w:tcPr>
          <w:p w14:paraId="63B1B07C"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SALDO DOS ATOS POTENCIAIS PASSIVOS</w:t>
            </w:r>
          </w:p>
        </w:tc>
        <w:tc>
          <w:tcPr>
            <w:tcW w:w="1345" w:type="dxa"/>
            <w:gridSpan w:val="3"/>
            <w:tcBorders>
              <w:top w:val="nil"/>
              <w:left w:val="nil"/>
              <w:bottom w:val="nil"/>
              <w:right w:val="single" w:sz="4" w:space="0" w:color="000000"/>
            </w:tcBorders>
            <w:shd w:val="clear" w:color="000000" w:fill="FFFFFF"/>
            <w:hideMark/>
          </w:tcPr>
          <w:p w14:paraId="32CC6555"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30.807.919.048,26</w:t>
            </w:r>
          </w:p>
        </w:tc>
        <w:tc>
          <w:tcPr>
            <w:tcW w:w="2360" w:type="dxa"/>
            <w:gridSpan w:val="2"/>
            <w:tcBorders>
              <w:top w:val="nil"/>
              <w:left w:val="nil"/>
              <w:bottom w:val="nil"/>
              <w:right w:val="single" w:sz="4" w:space="0" w:color="000000"/>
            </w:tcBorders>
            <w:shd w:val="clear" w:color="000000" w:fill="FFFFFF"/>
            <w:hideMark/>
          </w:tcPr>
          <w:p w14:paraId="66583103"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28.799.007.954,35</w:t>
            </w:r>
          </w:p>
        </w:tc>
      </w:tr>
      <w:tr w:rsidR="00251BD1" w:rsidRPr="00103CC2" w14:paraId="2FB7F9C5" w14:textId="77777777" w:rsidTr="001F5575">
        <w:trPr>
          <w:trHeight w:val="199"/>
          <w:jc w:val="center"/>
        </w:trPr>
        <w:tc>
          <w:tcPr>
            <w:tcW w:w="2928" w:type="dxa"/>
            <w:gridSpan w:val="5"/>
            <w:tcBorders>
              <w:top w:val="nil"/>
              <w:left w:val="single" w:sz="4" w:space="0" w:color="000000"/>
              <w:bottom w:val="nil"/>
              <w:right w:val="single" w:sz="4" w:space="0" w:color="000000"/>
            </w:tcBorders>
            <w:shd w:val="clear" w:color="000000" w:fill="FFFFFF"/>
            <w:hideMark/>
          </w:tcPr>
          <w:p w14:paraId="73085F7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Atos Potenciais Ativos</w:t>
            </w:r>
          </w:p>
        </w:tc>
        <w:tc>
          <w:tcPr>
            <w:tcW w:w="1431" w:type="dxa"/>
            <w:gridSpan w:val="3"/>
            <w:tcBorders>
              <w:top w:val="nil"/>
              <w:left w:val="nil"/>
              <w:bottom w:val="nil"/>
              <w:right w:val="single" w:sz="4" w:space="0" w:color="000000"/>
            </w:tcBorders>
            <w:shd w:val="clear" w:color="000000" w:fill="FFFFFF"/>
            <w:hideMark/>
          </w:tcPr>
          <w:p w14:paraId="234374C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5.577.040.246,72</w:t>
            </w:r>
          </w:p>
        </w:tc>
        <w:tc>
          <w:tcPr>
            <w:tcW w:w="2837" w:type="dxa"/>
            <w:gridSpan w:val="3"/>
            <w:tcBorders>
              <w:top w:val="nil"/>
              <w:left w:val="nil"/>
              <w:bottom w:val="nil"/>
              <w:right w:val="single" w:sz="4" w:space="0" w:color="000000"/>
            </w:tcBorders>
            <w:shd w:val="clear" w:color="000000" w:fill="FFFFFF"/>
            <w:hideMark/>
          </w:tcPr>
          <w:p w14:paraId="6DE2FB2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3.160.542.217,16</w:t>
            </w:r>
          </w:p>
        </w:tc>
        <w:tc>
          <w:tcPr>
            <w:tcW w:w="2733" w:type="dxa"/>
            <w:tcBorders>
              <w:top w:val="nil"/>
              <w:left w:val="nil"/>
              <w:bottom w:val="nil"/>
              <w:right w:val="single" w:sz="4" w:space="0" w:color="000000"/>
            </w:tcBorders>
            <w:shd w:val="clear" w:color="000000" w:fill="FFFFFF"/>
            <w:hideMark/>
          </w:tcPr>
          <w:p w14:paraId="37CB2991"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Atos Potenciais Passivos</w:t>
            </w:r>
          </w:p>
        </w:tc>
        <w:tc>
          <w:tcPr>
            <w:tcW w:w="1345" w:type="dxa"/>
            <w:gridSpan w:val="3"/>
            <w:tcBorders>
              <w:top w:val="nil"/>
              <w:left w:val="nil"/>
              <w:bottom w:val="nil"/>
              <w:right w:val="single" w:sz="4" w:space="0" w:color="000000"/>
            </w:tcBorders>
            <w:shd w:val="clear" w:color="000000" w:fill="FFFFFF"/>
            <w:hideMark/>
          </w:tcPr>
          <w:p w14:paraId="0806844F"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30.807.919.048,26</w:t>
            </w:r>
          </w:p>
        </w:tc>
        <w:tc>
          <w:tcPr>
            <w:tcW w:w="2360" w:type="dxa"/>
            <w:gridSpan w:val="2"/>
            <w:tcBorders>
              <w:top w:val="nil"/>
              <w:left w:val="nil"/>
              <w:bottom w:val="nil"/>
              <w:right w:val="single" w:sz="4" w:space="0" w:color="000000"/>
            </w:tcBorders>
            <w:shd w:val="clear" w:color="000000" w:fill="FFFFFF"/>
            <w:hideMark/>
          </w:tcPr>
          <w:p w14:paraId="7D0E7C0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28.799.007.954,35</w:t>
            </w:r>
          </w:p>
        </w:tc>
      </w:tr>
      <w:tr w:rsidR="00251BD1" w:rsidRPr="00103CC2" w14:paraId="57D1CEBE" w14:textId="77777777" w:rsidTr="001F5575">
        <w:trPr>
          <w:trHeight w:val="199"/>
          <w:jc w:val="center"/>
        </w:trPr>
        <w:tc>
          <w:tcPr>
            <w:tcW w:w="2928" w:type="dxa"/>
            <w:gridSpan w:val="5"/>
            <w:tcBorders>
              <w:top w:val="nil"/>
              <w:left w:val="single" w:sz="4" w:space="0" w:color="000000"/>
              <w:bottom w:val="nil"/>
              <w:right w:val="single" w:sz="4" w:space="0" w:color="000000"/>
            </w:tcBorders>
            <w:shd w:val="clear" w:color="000000" w:fill="FFFFFF"/>
            <w:hideMark/>
          </w:tcPr>
          <w:p w14:paraId="3FF5D87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Garantias e Contragarantias Recebidas</w:t>
            </w:r>
          </w:p>
        </w:tc>
        <w:tc>
          <w:tcPr>
            <w:tcW w:w="1431" w:type="dxa"/>
            <w:gridSpan w:val="3"/>
            <w:tcBorders>
              <w:top w:val="nil"/>
              <w:left w:val="nil"/>
              <w:bottom w:val="nil"/>
              <w:right w:val="single" w:sz="4" w:space="0" w:color="000000"/>
            </w:tcBorders>
            <w:shd w:val="clear" w:color="000000" w:fill="FFFFFF"/>
            <w:hideMark/>
          </w:tcPr>
          <w:p w14:paraId="557DA478"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168.201.410,21</w:t>
            </w:r>
          </w:p>
        </w:tc>
        <w:tc>
          <w:tcPr>
            <w:tcW w:w="2837" w:type="dxa"/>
            <w:gridSpan w:val="3"/>
            <w:tcBorders>
              <w:top w:val="nil"/>
              <w:left w:val="nil"/>
              <w:bottom w:val="nil"/>
              <w:right w:val="single" w:sz="4" w:space="0" w:color="000000"/>
            </w:tcBorders>
            <w:shd w:val="clear" w:color="000000" w:fill="FFFFFF"/>
            <w:hideMark/>
          </w:tcPr>
          <w:p w14:paraId="501B70A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145.473.634,71</w:t>
            </w:r>
          </w:p>
        </w:tc>
        <w:tc>
          <w:tcPr>
            <w:tcW w:w="2733" w:type="dxa"/>
            <w:tcBorders>
              <w:top w:val="nil"/>
              <w:left w:val="nil"/>
              <w:bottom w:val="nil"/>
              <w:right w:val="single" w:sz="4" w:space="0" w:color="000000"/>
            </w:tcBorders>
            <w:shd w:val="clear" w:color="000000" w:fill="FFFFFF"/>
            <w:hideMark/>
          </w:tcPr>
          <w:p w14:paraId="47BC8C9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Garantias e Contragarantias Concedidas</w:t>
            </w:r>
          </w:p>
        </w:tc>
        <w:tc>
          <w:tcPr>
            <w:tcW w:w="1345" w:type="dxa"/>
            <w:gridSpan w:val="3"/>
            <w:tcBorders>
              <w:top w:val="nil"/>
              <w:left w:val="nil"/>
              <w:bottom w:val="nil"/>
              <w:right w:val="single" w:sz="4" w:space="0" w:color="000000"/>
            </w:tcBorders>
            <w:shd w:val="clear" w:color="000000" w:fill="FFFFFF"/>
            <w:hideMark/>
          </w:tcPr>
          <w:p w14:paraId="2769FD88"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360" w:type="dxa"/>
            <w:gridSpan w:val="2"/>
            <w:tcBorders>
              <w:top w:val="nil"/>
              <w:left w:val="nil"/>
              <w:bottom w:val="nil"/>
              <w:right w:val="single" w:sz="4" w:space="0" w:color="000000"/>
            </w:tcBorders>
            <w:shd w:val="clear" w:color="000000" w:fill="FFFFFF"/>
            <w:hideMark/>
          </w:tcPr>
          <w:p w14:paraId="2830163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r>
      <w:tr w:rsidR="00251BD1" w:rsidRPr="00103CC2" w14:paraId="41F1DBDA" w14:textId="77777777" w:rsidTr="001F5575">
        <w:trPr>
          <w:trHeight w:val="199"/>
          <w:jc w:val="center"/>
        </w:trPr>
        <w:tc>
          <w:tcPr>
            <w:tcW w:w="2928" w:type="dxa"/>
            <w:gridSpan w:val="5"/>
            <w:tcBorders>
              <w:top w:val="nil"/>
              <w:left w:val="single" w:sz="4" w:space="0" w:color="000000"/>
              <w:bottom w:val="nil"/>
              <w:right w:val="single" w:sz="4" w:space="0" w:color="000000"/>
            </w:tcBorders>
            <w:shd w:val="clear" w:color="000000" w:fill="FFFFFF"/>
            <w:hideMark/>
          </w:tcPr>
          <w:p w14:paraId="26F52BC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Direitos Conveniados e Outros Instrumentos Congêneres</w:t>
            </w:r>
          </w:p>
        </w:tc>
        <w:tc>
          <w:tcPr>
            <w:tcW w:w="1431" w:type="dxa"/>
            <w:gridSpan w:val="3"/>
            <w:tcBorders>
              <w:top w:val="nil"/>
              <w:left w:val="nil"/>
              <w:bottom w:val="nil"/>
              <w:right w:val="single" w:sz="4" w:space="0" w:color="000000"/>
            </w:tcBorders>
            <w:shd w:val="clear" w:color="000000" w:fill="FFFFFF"/>
            <w:hideMark/>
          </w:tcPr>
          <w:p w14:paraId="269D92EA"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5.150.114.008,46</w:t>
            </w:r>
          </w:p>
        </w:tc>
        <w:tc>
          <w:tcPr>
            <w:tcW w:w="2837" w:type="dxa"/>
            <w:gridSpan w:val="3"/>
            <w:tcBorders>
              <w:top w:val="nil"/>
              <w:left w:val="nil"/>
              <w:bottom w:val="nil"/>
              <w:right w:val="single" w:sz="4" w:space="0" w:color="000000"/>
            </w:tcBorders>
            <w:shd w:val="clear" w:color="000000" w:fill="FFFFFF"/>
            <w:hideMark/>
          </w:tcPr>
          <w:p w14:paraId="0619ED2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2.756.283.700,98</w:t>
            </w:r>
          </w:p>
        </w:tc>
        <w:tc>
          <w:tcPr>
            <w:tcW w:w="2733" w:type="dxa"/>
            <w:tcBorders>
              <w:top w:val="nil"/>
              <w:left w:val="nil"/>
              <w:bottom w:val="nil"/>
              <w:right w:val="single" w:sz="4" w:space="0" w:color="000000"/>
            </w:tcBorders>
            <w:shd w:val="clear" w:color="000000" w:fill="FFFFFF"/>
            <w:hideMark/>
          </w:tcPr>
          <w:p w14:paraId="2BAAE7D3"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Obrigações Conveniadas e Outros Instr</w:t>
            </w:r>
            <w:r w:rsidRPr="00103CC2">
              <w:rPr>
                <w:rFonts w:ascii="Arial" w:eastAsia="Times New Roman" w:hAnsi="Arial" w:cs="Arial"/>
                <w:color w:val="000000"/>
                <w:kern w:val="0"/>
                <w:sz w:val="12"/>
                <w:szCs w:val="12"/>
                <w:lang w:eastAsia="pt-BR" w:bidi="ar-SA"/>
              </w:rPr>
              <w:t>u</w:t>
            </w:r>
            <w:r w:rsidRPr="00103CC2">
              <w:rPr>
                <w:rFonts w:ascii="Arial" w:eastAsia="Times New Roman" w:hAnsi="Arial" w:cs="Arial"/>
                <w:color w:val="000000"/>
                <w:kern w:val="0"/>
                <w:sz w:val="12"/>
                <w:szCs w:val="12"/>
                <w:lang w:eastAsia="pt-BR" w:bidi="ar-SA"/>
              </w:rPr>
              <w:t>mentos Congêneres</w:t>
            </w:r>
          </w:p>
        </w:tc>
        <w:tc>
          <w:tcPr>
            <w:tcW w:w="1345" w:type="dxa"/>
            <w:gridSpan w:val="3"/>
            <w:tcBorders>
              <w:top w:val="nil"/>
              <w:left w:val="nil"/>
              <w:bottom w:val="nil"/>
              <w:right w:val="single" w:sz="4" w:space="0" w:color="000000"/>
            </w:tcBorders>
            <w:shd w:val="clear" w:color="000000" w:fill="FFFFFF"/>
            <w:hideMark/>
          </w:tcPr>
          <w:p w14:paraId="568C6583"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26.774.303.055,08</w:t>
            </w:r>
          </w:p>
        </w:tc>
        <w:tc>
          <w:tcPr>
            <w:tcW w:w="2360" w:type="dxa"/>
            <w:gridSpan w:val="2"/>
            <w:tcBorders>
              <w:top w:val="nil"/>
              <w:left w:val="nil"/>
              <w:bottom w:val="nil"/>
              <w:right w:val="single" w:sz="4" w:space="0" w:color="000000"/>
            </w:tcBorders>
            <w:shd w:val="clear" w:color="000000" w:fill="FFFFFF"/>
            <w:hideMark/>
          </w:tcPr>
          <w:p w14:paraId="631F46F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24.996.919.305,78</w:t>
            </w:r>
          </w:p>
        </w:tc>
      </w:tr>
      <w:tr w:rsidR="00251BD1" w:rsidRPr="00103CC2" w14:paraId="1764490E" w14:textId="77777777" w:rsidTr="001F5575">
        <w:trPr>
          <w:trHeight w:val="199"/>
          <w:jc w:val="center"/>
        </w:trPr>
        <w:tc>
          <w:tcPr>
            <w:tcW w:w="2928" w:type="dxa"/>
            <w:gridSpan w:val="5"/>
            <w:tcBorders>
              <w:top w:val="nil"/>
              <w:left w:val="single" w:sz="4" w:space="0" w:color="000000"/>
              <w:bottom w:val="nil"/>
              <w:right w:val="single" w:sz="4" w:space="0" w:color="000000"/>
            </w:tcBorders>
            <w:shd w:val="clear" w:color="000000" w:fill="FFFFFF"/>
            <w:hideMark/>
          </w:tcPr>
          <w:p w14:paraId="768C1288"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Direitos Contratuais</w:t>
            </w:r>
          </w:p>
        </w:tc>
        <w:tc>
          <w:tcPr>
            <w:tcW w:w="1431" w:type="dxa"/>
            <w:gridSpan w:val="3"/>
            <w:tcBorders>
              <w:top w:val="nil"/>
              <w:left w:val="nil"/>
              <w:bottom w:val="nil"/>
              <w:right w:val="single" w:sz="4" w:space="0" w:color="000000"/>
            </w:tcBorders>
            <w:shd w:val="clear" w:color="000000" w:fill="FFFFFF"/>
            <w:hideMark/>
          </w:tcPr>
          <w:p w14:paraId="76AFF186"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258.724.828,05</w:t>
            </w:r>
          </w:p>
        </w:tc>
        <w:tc>
          <w:tcPr>
            <w:tcW w:w="2837" w:type="dxa"/>
            <w:gridSpan w:val="3"/>
            <w:tcBorders>
              <w:top w:val="nil"/>
              <w:left w:val="nil"/>
              <w:bottom w:val="nil"/>
              <w:right w:val="single" w:sz="4" w:space="0" w:color="000000"/>
            </w:tcBorders>
            <w:shd w:val="clear" w:color="000000" w:fill="FFFFFF"/>
            <w:hideMark/>
          </w:tcPr>
          <w:p w14:paraId="56D1A74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258.784.881,47</w:t>
            </w:r>
          </w:p>
        </w:tc>
        <w:tc>
          <w:tcPr>
            <w:tcW w:w="2733" w:type="dxa"/>
            <w:tcBorders>
              <w:top w:val="nil"/>
              <w:left w:val="nil"/>
              <w:bottom w:val="nil"/>
              <w:right w:val="single" w:sz="4" w:space="0" w:color="000000"/>
            </w:tcBorders>
            <w:shd w:val="clear" w:color="000000" w:fill="FFFFFF"/>
            <w:hideMark/>
          </w:tcPr>
          <w:p w14:paraId="440B238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Obrigações Contratuais</w:t>
            </w:r>
          </w:p>
        </w:tc>
        <w:tc>
          <w:tcPr>
            <w:tcW w:w="1345" w:type="dxa"/>
            <w:gridSpan w:val="3"/>
            <w:tcBorders>
              <w:top w:val="nil"/>
              <w:left w:val="nil"/>
              <w:bottom w:val="nil"/>
              <w:right w:val="single" w:sz="4" w:space="0" w:color="000000"/>
            </w:tcBorders>
            <w:shd w:val="clear" w:color="000000" w:fill="FFFFFF"/>
            <w:hideMark/>
          </w:tcPr>
          <w:p w14:paraId="7A5F2950"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4.033.615.993,18</w:t>
            </w:r>
          </w:p>
        </w:tc>
        <w:tc>
          <w:tcPr>
            <w:tcW w:w="2360" w:type="dxa"/>
            <w:gridSpan w:val="2"/>
            <w:tcBorders>
              <w:top w:val="nil"/>
              <w:left w:val="nil"/>
              <w:bottom w:val="nil"/>
              <w:right w:val="single" w:sz="4" w:space="0" w:color="000000"/>
            </w:tcBorders>
            <w:shd w:val="clear" w:color="000000" w:fill="FFFFFF"/>
            <w:hideMark/>
          </w:tcPr>
          <w:p w14:paraId="2FC0ED8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3.802.088.648,57</w:t>
            </w:r>
          </w:p>
        </w:tc>
      </w:tr>
      <w:tr w:rsidR="00251BD1" w:rsidRPr="00103CC2" w14:paraId="1B1AE46E" w14:textId="77777777" w:rsidTr="001F5575">
        <w:trPr>
          <w:trHeight w:val="199"/>
          <w:jc w:val="center"/>
        </w:trPr>
        <w:tc>
          <w:tcPr>
            <w:tcW w:w="2928" w:type="dxa"/>
            <w:gridSpan w:val="5"/>
            <w:tcBorders>
              <w:top w:val="nil"/>
              <w:left w:val="single" w:sz="4" w:space="0" w:color="000000"/>
              <w:bottom w:val="nil"/>
              <w:right w:val="single" w:sz="4" w:space="0" w:color="000000"/>
            </w:tcBorders>
            <w:shd w:val="clear" w:color="000000" w:fill="FFFFFF"/>
            <w:hideMark/>
          </w:tcPr>
          <w:p w14:paraId="7D5353BB"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Outros Atos Potenciais Ativos</w:t>
            </w:r>
          </w:p>
        </w:tc>
        <w:tc>
          <w:tcPr>
            <w:tcW w:w="1431" w:type="dxa"/>
            <w:gridSpan w:val="3"/>
            <w:tcBorders>
              <w:top w:val="nil"/>
              <w:left w:val="nil"/>
              <w:bottom w:val="nil"/>
              <w:right w:val="single" w:sz="4" w:space="0" w:color="000000"/>
            </w:tcBorders>
            <w:shd w:val="clear" w:color="000000" w:fill="FFFFFF"/>
            <w:hideMark/>
          </w:tcPr>
          <w:p w14:paraId="00C02F3D"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837" w:type="dxa"/>
            <w:gridSpan w:val="3"/>
            <w:tcBorders>
              <w:top w:val="nil"/>
              <w:left w:val="nil"/>
              <w:bottom w:val="nil"/>
              <w:right w:val="single" w:sz="4" w:space="0" w:color="000000"/>
            </w:tcBorders>
            <w:shd w:val="clear" w:color="000000" w:fill="FFFFFF"/>
            <w:hideMark/>
          </w:tcPr>
          <w:p w14:paraId="67E0E5D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733" w:type="dxa"/>
            <w:tcBorders>
              <w:top w:val="nil"/>
              <w:left w:val="nil"/>
              <w:bottom w:val="nil"/>
              <w:right w:val="single" w:sz="4" w:space="0" w:color="000000"/>
            </w:tcBorders>
            <w:shd w:val="clear" w:color="000000" w:fill="FFFFFF"/>
            <w:hideMark/>
          </w:tcPr>
          <w:p w14:paraId="39DE492A"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Outros Atos Potenciais Passivos</w:t>
            </w:r>
          </w:p>
        </w:tc>
        <w:tc>
          <w:tcPr>
            <w:tcW w:w="1345" w:type="dxa"/>
            <w:gridSpan w:val="3"/>
            <w:tcBorders>
              <w:top w:val="nil"/>
              <w:left w:val="nil"/>
              <w:bottom w:val="nil"/>
              <w:right w:val="single" w:sz="4" w:space="0" w:color="000000"/>
            </w:tcBorders>
            <w:shd w:val="clear" w:color="000000" w:fill="FFFFFF"/>
            <w:hideMark/>
          </w:tcPr>
          <w:p w14:paraId="1FA9B051"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c>
          <w:tcPr>
            <w:tcW w:w="2360" w:type="dxa"/>
            <w:gridSpan w:val="2"/>
            <w:tcBorders>
              <w:top w:val="nil"/>
              <w:left w:val="nil"/>
              <w:bottom w:val="nil"/>
              <w:right w:val="single" w:sz="4" w:space="0" w:color="000000"/>
            </w:tcBorders>
            <w:shd w:val="clear" w:color="000000" w:fill="FFFFFF"/>
            <w:hideMark/>
          </w:tcPr>
          <w:p w14:paraId="4BDDE805"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w:t>
            </w:r>
          </w:p>
        </w:tc>
      </w:tr>
      <w:tr w:rsidR="00251BD1" w:rsidRPr="00103CC2" w14:paraId="014D3516" w14:textId="77777777" w:rsidTr="001F5575">
        <w:trPr>
          <w:trHeight w:val="199"/>
          <w:jc w:val="center"/>
        </w:trPr>
        <w:tc>
          <w:tcPr>
            <w:tcW w:w="2928" w:type="dxa"/>
            <w:gridSpan w:val="5"/>
            <w:tcBorders>
              <w:top w:val="single" w:sz="4" w:space="0" w:color="000000"/>
              <w:left w:val="single" w:sz="4" w:space="0" w:color="000000"/>
              <w:bottom w:val="nil"/>
              <w:right w:val="single" w:sz="4" w:space="0" w:color="000000"/>
            </w:tcBorders>
            <w:shd w:val="clear" w:color="000000" w:fill="FFFFFF"/>
            <w:hideMark/>
          </w:tcPr>
          <w:p w14:paraId="71BA16EA"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TOTAL</w:t>
            </w:r>
          </w:p>
        </w:tc>
        <w:tc>
          <w:tcPr>
            <w:tcW w:w="1431" w:type="dxa"/>
            <w:gridSpan w:val="3"/>
            <w:tcBorders>
              <w:top w:val="single" w:sz="4" w:space="0" w:color="000000"/>
              <w:left w:val="nil"/>
              <w:bottom w:val="nil"/>
              <w:right w:val="single" w:sz="4" w:space="0" w:color="000000"/>
            </w:tcBorders>
            <w:shd w:val="clear" w:color="000000" w:fill="FFFFFF"/>
            <w:hideMark/>
          </w:tcPr>
          <w:p w14:paraId="0B0E0FBD"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5.577.040.246,72</w:t>
            </w:r>
          </w:p>
        </w:tc>
        <w:tc>
          <w:tcPr>
            <w:tcW w:w="2837" w:type="dxa"/>
            <w:gridSpan w:val="3"/>
            <w:tcBorders>
              <w:top w:val="single" w:sz="4" w:space="0" w:color="000000"/>
              <w:left w:val="nil"/>
              <w:bottom w:val="nil"/>
              <w:right w:val="single" w:sz="4" w:space="0" w:color="000000"/>
            </w:tcBorders>
            <w:shd w:val="clear" w:color="000000" w:fill="FFFFFF"/>
            <w:hideMark/>
          </w:tcPr>
          <w:p w14:paraId="357E7B89"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3.160.542.217,16</w:t>
            </w:r>
          </w:p>
        </w:tc>
        <w:tc>
          <w:tcPr>
            <w:tcW w:w="2733" w:type="dxa"/>
            <w:tcBorders>
              <w:top w:val="single" w:sz="4" w:space="0" w:color="000000"/>
              <w:left w:val="nil"/>
              <w:bottom w:val="nil"/>
              <w:right w:val="single" w:sz="4" w:space="0" w:color="000000"/>
            </w:tcBorders>
            <w:shd w:val="clear" w:color="000000" w:fill="FFFFFF"/>
            <w:hideMark/>
          </w:tcPr>
          <w:p w14:paraId="5056013F"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TOTAL</w:t>
            </w:r>
          </w:p>
        </w:tc>
        <w:tc>
          <w:tcPr>
            <w:tcW w:w="1345" w:type="dxa"/>
            <w:gridSpan w:val="3"/>
            <w:tcBorders>
              <w:top w:val="single" w:sz="4" w:space="0" w:color="000000"/>
              <w:left w:val="nil"/>
              <w:bottom w:val="nil"/>
              <w:right w:val="single" w:sz="4" w:space="0" w:color="000000"/>
            </w:tcBorders>
            <w:shd w:val="clear" w:color="000000" w:fill="FFFFFF"/>
            <w:hideMark/>
          </w:tcPr>
          <w:p w14:paraId="0E7ABCDC"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30.807.919.048,26</w:t>
            </w:r>
          </w:p>
        </w:tc>
        <w:tc>
          <w:tcPr>
            <w:tcW w:w="2360" w:type="dxa"/>
            <w:gridSpan w:val="2"/>
            <w:tcBorders>
              <w:top w:val="single" w:sz="4" w:space="0" w:color="000000"/>
              <w:left w:val="nil"/>
              <w:bottom w:val="nil"/>
              <w:right w:val="single" w:sz="4" w:space="0" w:color="000000"/>
            </w:tcBorders>
            <w:shd w:val="clear" w:color="000000" w:fill="FFFFFF"/>
            <w:hideMark/>
          </w:tcPr>
          <w:p w14:paraId="15ABF7C6"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28.799.007.954,35</w:t>
            </w:r>
          </w:p>
        </w:tc>
      </w:tr>
      <w:tr w:rsidR="00251BD1" w:rsidRPr="00103CC2" w14:paraId="5D60519B" w14:textId="77777777" w:rsidTr="001F5575">
        <w:trPr>
          <w:trHeight w:val="19"/>
          <w:jc w:val="center"/>
        </w:trPr>
        <w:tc>
          <w:tcPr>
            <w:tcW w:w="13634" w:type="dxa"/>
            <w:gridSpan w:val="17"/>
            <w:tcBorders>
              <w:top w:val="single" w:sz="4" w:space="0" w:color="000000"/>
              <w:left w:val="nil"/>
              <w:bottom w:val="nil"/>
              <w:right w:val="nil"/>
            </w:tcBorders>
            <w:shd w:val="clear" w:color="000000" w:fill="FFFFFF"/>
            <w:hideMark/>
          </w:tcPr>
          <w:p w14:paraId="09FA2B6B"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064DAE1C" w14:textId="77777777" w:rsidTr="001F5575">
        <w:trPr>
          <w:trHeight w:val="199"/>
          <w:jc w:val="center"/>
        </w:trPr>
        <w:tc>
          <w:tcPr>
            <w:tcW w:w="590" w:type="dxa"/>
            <w:tcBorders>
              <w:top w:val="nil"/>
              <w:left w:val="nil"/>
              <w:bottom w:val="nil"/>
              <w:right w:val="nil"/>
            </w:tcBorders>
            <w:shd w:val="clear" w:color="000000" w:fill="FFFFFF"/>
            <w:hideMark/>
          </w:tcPr>
          <w:p w14:paraId="53279351"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304B7114"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590" w:type="dxa"/>
            <w:tcBorders>
              <w:top w:val="nil"/>
              <w:left w:val="nil"/>
              <w:bottom w:val="nil"/>
              <w:right w:val="nil"/>
            </w:tcBorders>
            <w:shd w:val="clear" w:color="000000" w:fill="FFFFFF"/>
            <w:hideMark/>
          </w:tcPr>
          <w:p w14:paraId="593DE04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67" w:type="dxa"/>
            <w:tcBorders>
              <w:top w:val="nil"/>
              <w:left w:val="nil"/>
              <w:bottom w:val="nil"/>
              <w:right w:val="nil"/>
            </w:tcBorders>
            <w:shd w:val="clear" w:color="000000" w:fill="FFFFFF"/>
            <w:hideMark/>
          </w:tcPr>
          <w:p w14:paraId="35D1359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14" w:type="dxa"/>
            <w:tcBorders>
              <w:top w:val="nil"/>
              <w:left w:val="nil"/>
              <w:bottom w:val="nil"/>
              <w:right w:val="nil"/>
            </w:tcBorders>
            <w:shd w:val="clear" w:color="000000" w:fill="FFFFFF"/>
            <w:hideMark/>
          </w:tcPr>
          <w:p w14:paraId="3600E39A"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37" w:type="dxa"/>
            <w:tcBorders>
              <w:top w:val="nil"/>
              <w:left w:val="nil"/>
              <w:bottom w:val="nil"/>
              <w:right w:val="nil"/>
            </w:tcBorders>
            <w:shd w:val="clear" w:color="000000" w:fill="FFFFFF"/>
            <w:hideMark/>
          </w:tcPr>
          <w:p w14:paraId="5B28624F"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375068F6"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20" w:type="dxa"/>
            <w:tcBorders>
              <w:top w:val="nil"/>
              <w:left w:val="nil"/>
              <w:bottom w:val="nil"/>
              <w:right w:val="nil"/>
            </w:tcBorders>
            <w:shd w:val="clear" w:color="000000" w:fill="FFFFFF"/>
            <w:hideMark/>
          </w:tcPr>
          <w:p w14:paraId="22D76D4D"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420" w:type="dxa"/>
            <w:tcBorders>
              <w:top w:val="nil"/>
              <w:left w:val="nil"/>
              <w:bottom w:val="nil"/>
              <w:right w:val="nil"/>
            </w:tcBorders>
            <w:shd w:val="clear" w:color="000000" w:fill="FFFFFF"/>
            <w:hideMark/>
          </w:tcPr>
          <w:p w14:paraId="3D88E4D6"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898" w:type="dxa"/>
            <w:tcBorders>
              <w:top w:val="nil"/>
              <w:left w:val="nil"/>
              <w:bottom w:val="nil"/>
              <w:right w:val="nil"/>
            </w:tcBorders>
            <w:shd w:val="clear" w:color="000000" w:fill="FFFFFF"/>
            <w:hideMark/>
          </w:tcPr>
          <w:p w14:paraId="47BFB29E"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519" w:type="dxa"/>
            <w:tcBorders>
              <w:top w:val="nil"/>
              <w:left w:val="nil"/>
              <w:bottom w:val="nil"/>
              <w:right w:val="nil"/>
            </w:tcBorders>
            <w:shd w:val="clear" w:color="000000" w:fill="FFFFFF"/>
            <w:hideMark/>
          </w:tcPr>
          <w:p w14:paraId="20343F2D"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733" w:type="dxa"/>
            <w:tcBorders>
              <w:top w:val="nil"/>
              <w:left w:val="nil"/>
              <w:bottom w:val="nil"/>
              <w:right w:val="nil"/>
            </w:tcBorders>
            <w:shd w:val="clear" w:color="000000" w:fill="FFFFFF"/>
            <w:hideMark/>
          </w:tcPr>
          <w:p w14:paraId="0F686AC8"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235" w:type="dxa"/>
            <w:tcBorders>
              <w:top w:val="nil"/>
              <w:left w:val="nil"/>
              <w:bottom w:val="nil"/>
              <w:right w:val="nil"/>
            </w:tcBorders>
            <w:shd w:val="clear" w:color="000000" w:fill="FFFFFF"/>
            <w:hideMark/>
          </w:tcPr>
          <w:p w14:paraId="33D52E6F"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374" w:type="dxa"/>
            <w:tcBorders>
              <w:top w:val="nil"/>
              <w:left w:val="nil"/>
              <w:bottom w:val="nil"/>
              <w:right w:val="nil"/>
            </w:tcBorders>
            <w:shd w:val="clear" w:color="000000" w:fill="FFFFFF"/>
            <w:hideMark/>
          </w:tcPr>
          <w:p w14:paraId="14631F8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736" w:type="dxa"/>
            <w:tcBorders>
              <w:top w:val="nil"/>
              <w:left w:val="nil"/>
              <w:bottom w:val="nil"/>
              <w:right w:val="nil"/>
            </w:tcBorders>
            <w:shd w:val="clear" w:color="000000" w:fill="FFFFFF"/>
            <w:hideMark/>
          </w:tcPr>
          <w:p w14:paraId="39BC8722"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934" w:type="dxa"/>
            <w:tcBorders>
              <w:top w:val="nil"/>
              <w:left w:val="nil"/>
              <w:bottom w:val="nil"/>
              <w:right w:val="nil"/>
            </w:tcBorders>
            <w:shd w:val="clear" w:color="000000" w:fill="FFFFFF"/>
            <w:hideMark/>
          </w:tcPr>
          <w:p w14:paraId="1098F314"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c>
          <w:tcPr>
            <w:tcW w:w="1426" w:type="dxa"/>
            <w:tcBorders>
              <w:top w:val="nil"/>
              <w:left w:val="nil"/>
              <w:bottom w:val="nil"/>
              <w:right w:val="nil"/>
            </w:tcBorders>
            <w:shd w:val="clear" w:color="000000" w:fill="FFFFFF"/>
            <w:hideMark/>
          </w:tcPr>
          <w:p w14:paraId="56B203EE" w14:textId="77777777"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r w:rsidRPr="00103CC2">
              <w:rPr>
                <w:rFonts w:ascii="SansSerif" w:eastAsia="Times New Roman" w:hAnsi="SansSerif" w:cs="Arial"/>
                <w:color w:val="000000"/>
                <w:kern w:val="0"/>
                <w:sz w:val="12"/>
                <w:szCs w:val="12"/>
                <w:lang w:eastAsia="pt-BR" w:bidi="ar-SA"/>
              </w:rPr>
              <w:t> </w:t>
            </w:r>
          </w:p>
        </w:tc>
      </w:tr>
      <w:tr w:rsidR="00251BD1" w:rsidRPr="00103CC2" w14:paraId="12E827E4" w14:textId="77777777" w:rsidTr="001F5575">
        <w:trPr>
          <w:trHeight w:val="199"/>
          <w:jc w:val="center"/>
        </w:trPr>
        <w:tc>
          <w:tcPr>
            <w:tcW w:w="13634" w:type="dxa"/>
            <w:gridSpan w:val="17"/>
            <w:tcBorders>
              <w:top w:val="nil"/>
              <w:left w:val="nil"/>
              <w:bottom w:val="nil"/>
              <w:right w:val="nil"/>
            </w:tcBorders>
            <w:shd w:val="clear" w:color="000000" w:fill="FFFFFF"/>
            <w:vAlign w:val="center"/>
            <w:hideMark/>
          </w:tcPr>
          <w:p w14:paraId="6D1D2A2E"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DEMONSTRATIVO DO SUPERÁVIT/DÉFICIT FINANCEIRO APURADO NO BALANÇO PATRIMONIAL</w:t>
            </w:r>
          </w:p>
        </w:tc>
      </w:tr>
      <w:tr w:rsidR="00251BD1" w:rsidRPr="00103CC2" w14:paraId="48DAE0F5" w14:textId="77777777" w:rsidTr="001F5575">
        <w:trPr>
          <w:trHeight w:val="276"/>
          <w:jc w:val="center"/>
        </w:trPr>
        <w:tc>
          <w:tcPr>
            <w:tcW w:w="7196" w:type="dxa"/>
            <w:gridSpan w:val="11"/>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F4F0EFF"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DESTINAÇÃO DE RECURSOS</w:t>
            </w:r>
          </w:p>
        </w:tc>
        <w:tc>
          <w:tcPr>
            <w:tcW w:w="6438" w:type="dxa"/>
            <w:gridSpan w:val="6"/>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6FF3D2E" w14:textId="77777777" w:rsidR="00251BD1" w:rsidRPr="00103CC2" w:rsidRDefault="00251BD1" w:rsidP="00251BD1">
            <w:pPr>
              <w:widowControl/>
              <w:suppressAutoHyphens w:val="0"/>
              <w:autoSpaceDN/>
              <w:jc w:val="center"/>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SUPERAVIT/DEFICT FINANCEIRO</w:t>
            </w:r>
          </w:p>
        </w:tc>
      </w:tr>
      <w:tr w:rsidR="00251BD1" w:rsidRPr="00103CC2" w14:paraId="1A555783" w14:textId="77777777" w:rsidTr="001F5575">
        <w:trPr>
          <w:trHeight w:val="276"/>
          <w:jc w:val="center"/>
        </w:trPr>
        <w:tc>
          <w:tcPr>
            <w:tcW w:w="7196" w:type="dxa"/>
            <w:gridSpan w:val="11"/>
            <w:vMerge/>
            <w:tcBorders>
              <w:top w:val="single" w:sz="4" w:space="0" w:color="000000"/>
              <w:left w:val="single" w:sz="4" w:space="0" w:color="000000"/>
              <w:bottom w:val="single" w:sz="4" w:space="0" w:color="000000"/>
              <w:right w:val="single" w:sz="4" w:space="0" w:color="000000"/>
            </w:tcBorders>
            <w:vAlign w:val="center"/>
            <w:hideMark/>
          </w:tcPr>
          <w:p w14:paraId="0FF4E94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c>
          <w:tcPr>
            <w:tcW w:w="6438" w:type="dxa"/>
            <w:gridSpan w:val="6"/>
            <w:vMerge/>
            <w:tcBorders>
              <w:top w:val="single" w:sz="4" w:space="0" w:color="000000"/>
              <w:left w:val="single" w:sz="4" w:space="0" w:color="000000"/>
              <w:bottom w:val="single" w:sz="4" w:space="0" w:color="000000"/>
              <w:right w:val="single" w:sz="4" w:space="0" w:color="000000"/>
            </w:tcBorders>
            <w:vAlign w:val="center"/>
            <w:hideMark/>
          </w:tcPr>
          <w:p w14:paraId="41A60D3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p>
        </w:tc>
      </w:tr>
      <w:tr w:rsidR="00251BD1" w:rsidRPr="00103CC2" w14:paraId="7E75276B" w14:textId="77777777" w:rsidTr="001F5575">
        <w:trPr>
          <w:trHeight w:val="199"/>
          <w:jc w:val="center"/>
        </w:trPr>
        <w:tc>
          <w:tcPr>
            <w:tcW w:w="7196" w:type="dxa"/>
            <w:gridSpan w:val="11"/>
            <w:tcBorders>
              <w:top w:val="nil"/>
              <w:left w:val="single" w:sz="4" w:space="0" w:color="000000"/>
              <w:bottom w:val="nil"/>
              <w:right w:val="single" w:sz="4" w:space="0" w:color="000000"/>
            </w:tcBorders>
            <w:shd w:val="clear" w:color="000000" w:fill="FFFFFF"/>
            <w:hideMark/>
          </w:tcPr>
          <w:p w14:paraId="570B0B57"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Recursos Ordinários</w:t>
            </w:r>
          </w:p>
        </w:tc>
        <w:tc>
          <w:tcPr>
            <w:tcW w:w="6438" w:type="dxa"/>
            <w:gridSpan w:val="6"/>
            <w:tcBorders>
              <w:top w:val="nil"/>
              <w:left w:val="nil"/>
              <w:bottom w:val="nil"/>
              <w:right w:val="single" w:sz="4" w:space="0" w:color="000000"/>
            </w:tcBorders>
            <w:shd w:val="clear" w:color="000000" w:fill="FFFFFF"/>
            <w:hideMark/>
          </w:tcPr>
          <w:p w14:paraId="5DBEDEC6"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-16.447.647.144,29</w:t>
            </w:r>
          </w:p>
        </w:tc>
      </w:tr>
      <w:tr w:rsidR="00251BD1" w:rsidRPr="00103CC2" w14:paraId="68BDD2C3" w14:textId="77777777" w:rsidTr="001F5575">
        <w:trPr>
          <w:trHeight w:val="199"/>
          <w:jc w:val="center"/>
        </w:trPr>
        <w:tc>
          <w:tcPr>
            <w:tcW w:w="7196" w:type="dxa"/>
            <w:gridSpan w:val="11"/>
            <w:tcBorders>
              <w:top w:val="nil"/>
              <w:left w:val="single" w:sz="4" w:space="0" w:color="000000"/>
              <w:bottom w:val="nil"/>
              <w:right w:val="single" w:sz="4" w:space="0" w:color="000000"/>
            </w:tcBorders>
            <w:shd w:val="clear" w:color="000000" w:fill="FFFFFF"/>
            <w:hideMark/>
          </w:tcPr>
          <w:p w14:paraId="6F763DBD"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Recursos Vinculados</w:t>
            </w:r>
          </w:p>
        </w:tc>
        <w:tc>
          <w:tcPr>
            <w:tcW w:w="6438" w:type="dxa"/>
            <w:gridSpan w:val="6"/>
            <w:tcBorders>
              <w:top w:val="nil"/>
              <w:left w:val="nil"/>
              <w:bottom w:val="nil"/>
              <w:right w:val="single" w:sz="4" w:space="0" w:color="000000"/>
            </w:tcBorders>
            <w:shd w:val="clear" w:color="000000" w:fill="FFFFFF"/>
            <w:hideMark/>
          </w:tcPr>
          <w:p w14:paraId="262B5DE5"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20.027.310.118,44</w:t>
            </w:r>
          </w:p>
        </w:tc>
      </w:tr>
      <w:tr w:rsidR="00251BD1" w:rsidRPr="00103CC2" w14:paraId="12C625BB" w14:textId="77777777" w:rsidTr="001F5575">
        <w:trPr>
          <w:trHeight w:val="199"/>
          <w:jc w:val="center"/>
        </w:trPr>
        <w:tc>
          <w:tcPr>
            <w:tcW w:w="7196" w:type="dxa"/>
            <w:gridSpan w:val="11"/>
            <w:tcBorders>
              <w:top w:val="nil"/>
              <w:left w:val="single" w:sz="4" w:space="0" w:color="000000"/>
              <w:bottom w:val="nil"/>
              <w:right w:val="single" w:sz="4" w:space="0" w:color="000000"/>
            </w:tcBorders>
            <w:shd w:val="clear" w:color="000000" w:fill="FFFFFF"/>
            <w:hideMark/>
          </w:tcPr>
          <w:p w14:paraId="554B61F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Seguridade Social (Exceto Previdência)</w:t>
            </w:r>
          </w:p>
        </w:tc>
        <w:tc>
          <w:tcPr>
            <w:tcW w:w="6438" w:type="dxa"/>
            <w:gridSpan w:val="6"/>
            <w:tcBorders>
              <w:top w:val="nil"/>
              <w:left w:val="nil"/>
              <w:bottom w:val="nil"/>
              <w:right w:val="single" w:sz="4" w:space="0" w:color="000000"/>
            </w:tcBorders>
            <w:shd w:val="clear" w:color="000000" w:fill="FFFFFF"/>
            <w:hideMark/>
          </w:tcPr>
          <w:p w14:paraId="47FB67B3"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-15.852.340,01</w:t>
            </w:r>
          </w:p>
        </w:tc>
      </w:tr>
      <w:tr w:rsidR="00251BD1" w:rsidRPr="00103CC2" w14:paraId="6CD11872" w14:textId="77777777" w:rsidTr="001F5575">
        <w:trPr>
          <w:trHeight w:val="199"/>
          <w:jc w:val="center"/>
        </w:trPr>
        <w:tc>
          <w:tcPr>
            <w:tcW w:w="7196" w:type="dxa"/>
            <w:gridSpan w:val="11"/>
            <w:tcBorders>
              <w:top w:val="nil"/>
              <w:left w:val="single" w:sz="4" w:space="0" w:color="000000"/>
              <w:bottom w:val="nil"/>
              <w:right w:val="single" w:sz="4" w:space="0" w:color="000000"/>
            </w:tcBorders>
            <w:shd w:val="clear" w:color="000000" w:fill="FFFFFF"/>
            <w:hideMark/>
          </w:tcPr>
          <w:p w14:paraId="56A2396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Previdência Social (RPPS)</w:t>
            </w:r>
          </w:p>
        </w:tc>
        <w:tc>
          <w:tcPr>
            <w:tcW w:w="6438" w:type="dxa"/>
            <w:gridSpan w:val="6"/>
            <w:tcBorders>
              <w:top w:val="nil"/>
              <w:left w:val="nil"/>
              <w:bottom w:val="nil"/>
              <w:right w:val="single" w:sz="4" w:space="0" w:color="000000"/>
            </w:tcBorders>
            <w:shd w:val="clear" w:color="000000" w:fill="FFFFFF"/>
            <w:hideMark/>
          </w:tcPr>
          <w:p w14:paraId="2880B5F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112.997,58</w:t>
            </w:r>
          </w:p>
        </w:tc>
      </w:tr>
      <w:tr w:rsidR="00251BD1" w:rsidRPr="00103CC2" w14:paraId="34E49980" w14:textId="77777777" w:rsidTr="001F5575">
        <w:trPr>
          <w:trHeight w:val="199"/>
          <w:jc w:val="center"/>
        </w:trPr>
        <w:tc>
          <w:tcPr>
            <w:tcW w:w="7196" w:type="dxa"/>
            <w:gridSpan w:val="11"/>
            <w:tcBorders>
              <w:top w:val="nil"/>
              <w:left w:val="single" w:sz="4" w:space="0" w:color="000000"/>
              <w:bottom w:val="nil"/>
              <w:right w:val="single" w:sz="4" w:space="0" w:color="000000"/>
            </w:tcBorders>
            <w:shd w:val="clear" w:color="000000" w:fill="FFFFFF"/>
            <w:hideMark/>
          </w:tcPr>
          <w:p w14:paraId="2CA3C035"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Previdência Social (RGPS)</w:t>
            </w:r>
          </w:p>
        </w:tc>
        <w:tc>
          <w:tcPr>
            <w:tcW w:w="6438" w:type="dxa"/>
            <w:gridSpan w:val="6"/>
            <w:tcBorders>
              <w:top w:val="nil"/>
              <w:left w:val="nil"/>
              <w:bottom w:val="nil"/>
              <w:right w:val="single" w:sz="4" w:space="0" w:color="000000"/>
            </w:tcBorders>
            <w:shd w:val="clear" w:color="000000" w:fill="FFFFFF"/>
            <w:hideMark/>
          </w:tcPr>
          <w:p w14:paraId="21116F39"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600,30</w:t>
            </w:r>
          </w:p>
        </w:tc>
      </w:tr>
      <w:tr w:rsidR="00251BD1" w:rsidRPr="00103CC2" w14:paraId="3BE49007" w14:textId="77777777" w:rsidTr="001F5575">
        <w:trPr>
          <w:trHeight w:val="199"/>
          <w:jc w:val="center"/>
        </w:trPr>
        <w:tc>
          <w:tcPr>
            <w:tcW w:w="7196" w:type="dxa"/>
            <w:gridSpan w:val="11"/>
            <w:tcBorders>
              <w:top w:val="nil"/>
              <w:left w:val="single" w:sz="4" w:space="0" w:color="000000"/>
              <w:bottom w:val="nil"/>
              <w:right w:val="single" w:sz="4" w:space="0" w:color="000000"/>
            </w:tcBorders>
            <w:shd w:val="clear" w:color="000000" w:fill="FFFFFF"/>
            <w:hideMark/>
          </w:tcPr>
          <w:p w14:paraId="40E19B64"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Dívida Pública</w:t>
            </w:r>
          </w:p>
        </w:tc>
        <w:tc>
          <w:tcPr>
            <w:tcW w:w="6438" w:type="dxa"/>
            <w:gridSpan w:val="6"/>
            <w:tcBorders>
              <w:top w:val="nil"/>
              <w:left w:val="nil"/>
              <w:bottom w:val="nil"/>
              <w:right w:val="single" w:sz="4" w:space="0" w:color="000000"/>
            </w:tcBorders>
            <w:shd w:val="clear" w:color="000000" w:fill="FFFFFF"/>
            <w:hideMark/>
          </w:tcPr>
          <w:p w14:paraId="2A1327A4"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-4.533.491.880,90</w:t>
            </w:r>
          </w:p>
        </w:tc>
      </w:tr>
      <w:tr w:rsidR="00251BD1" w:rsidRPr="00103CC2" w14:paraId="4B85B6FB" w14:textId="77777777" w:rsidTr="001F5575">
        <w:trPr>
          <w:trHeight w:val="199"/>
          <w:jc w:val="center"/>
        </w:trPr>
        <w:tc>
          <w:tcPr>
            <w:tcW w:w="7196" w:type="dxa"/>
            <w:gridSpan w:val="11"/>
            <w:tcBorders>
              <w:top w:val="nil"/>
              <w:left w:val="single" w:sz="4" w:space="0" w:color="000000"/>
              <w:bottom w:val="nil"/>
              <w:right w:val="single" w:sz="4" w:space="0" w:color="000000"/>
            </w:tcBorders>
            <w:shd w:val="clear" w:color="000000" w:fill="FFFFFF"/>
            <w:hideMark/>
          </w:tcPr>
          <w:p w14:paraId="4A762107"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Alienação de Bens e Direitos</w:t>
            </w:r>
          </w:p>
        </w:tc>
        <w:tc>
          <w:tcPr>
            <w:tcW w:w="6438" w:type="dxa"/>
            <w:gridSpan w:val="6"/>
            <w:tcBorders>
              <w:top w:val="nil"/>
              <w:left w:val="nil"/>
              <w:bottom w:val="nil"/>
              <w:right w:val="single" w:sz="4" w:space="0" w:color="000000"/>
            </w:tcBorders>
            <w:shd w:val="clear" w:color="000000" w:fill="FFFFFF"/>
            <w:hideMark/>
          </w:tcPr>
          <w:p w14:paraId="30DDE422"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21.246.815,11</w:t>
            </w:r>
          </w:p>
        </w:tc>
      </w:tr>
      <w:tr w:rsidR="00251BD1" w:rsidRPr="00103CC2" w14:paraId="5B7FC965" w14:textId="77777777" w:rsidTr="001F5575">
        <w:trPr>
          <w:trHeight w:val="199"/>
          <w:jc w:val="center"/>
        </w:trPr>
        <w:tc>
          <w:tcPr>
            <w:tcW w:w="7196" w:type="dxa"/>
            <w:gridSpan w:val="11"/>
            <w:tcBorders>
              <w:top w:val="nil"/>
              <w:left w:val="single" w:sz="4" w:space="0" w:color="000000"/>
              <w:bottom w:val="nil"/>
              <w:right w:val="single" w:sz="4" w:space="0" w:color="000000"/>
            </w:tcBorders>
            <w:shd w:val="clear" w:color="000000" w:fill="FFFFFF"/>
            <w:hideMark/>
          </w:tcPr>
          <w:p w14:paraId="63C991B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Transferências Constitucionais e Legais</w:t>
            </w:r>
          </w:p>
        </w:tc>
        <w:tc>
          <w:tcPr>
            <w:tcW w:w="6438" w:type="dxa"/>
            <w:gridSpan w:val="6"/>
            <w:tcBorders>
              <w:top w:val="nil"/>
              <w:left w:val="nil"/>
              <w:bottom w:val="nil"/>
              <w:right w:val="single" w:sz="4" w:space="0" w:color="000000"/>
            </w:tcBorders>
            <w:shd w:val="clear" w:color="000000" w:fill="FFFFFF"/>
            <w:hideMark/>
          </w:tcPr>
          <w:p w14:paraId="46E85E8B"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-1.579.736.549,38</w:t>
            </w:r>
          </w:p>
        </w:tc>
      </w:tr>
      <w:tr w:rsidR="00251BD1" w:rsidRPr="00103CC2" w14:paraId="26EBD3AE" w14:textId="77777777" w:rsidTr="001F5575">
        <w:trPr>
          <w:trHeight w:val="199"/>
          <w:jc w:val="center"/>
        </w:trPr>
        <w:tc>
          <w:tcPr>
            <w:tcW w:w="7196" w:type="dxa"/>
            <w:gridSpan w:val="11"/>
            <w:tcBorders>
              <w:top w:val="nil"/>
              <w:left w:val="single" w:sz="4" w:space="0" w:color="000000"/>
              <w:bottom w:val="nil"/>
              <w:right w:val="single" w:sz="4" w:space="0" w:color="000000"/>
            </w:tcBorders>
            <w:shd w:val="clear" w:color="000000" w:fill="FFFFFF"/>
            <w:hideMark/>
          </w:tcPr>
          <w:p w14:paraId="505E0BCC"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Outros Recursos Vinculados a Fundos, Órgãos e Programas</w:t>
            </w:r>
          </w:p>
        </w:tc>
        <w:tc>
          <w:tcPr>
            <w:tcW w:w="6438" w:type="dxa"/>
            <w:gridSpan w:val="6"/>
            <w:tcBorders>
              <w:top w:val="nil"/>
              <w:left w:val="nil"/>
              <w:bottom w:val="nil"/>
              <w:right w:val="single" w:sz="4" w:space="0" w:color="000000"/>
            </w:tcBorders>
            <w:shd w:val="clear" w:color="000000" w:fill="FFFFFF"/>
            <w:hideMark/>
          </w:tcPr>
          <w:p w14:paraId="42F75E5C"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7.248.741.268,28</w:t>
            </w:r>
          </w:p>
        </w:tc>
      </w:tr>
      <w:tr w:rsidR="00251BD1" w:rsidRPr="00103CC2" w14:paraId="1EAD0E18" w14:textId="77777777" w:rsidTr="001F5575">
        <w:trPr>
          <w:trHeight w:val="199"/>
          <w:jc w:val="center"/>
        </w:trPr>
        <w:tc>
          <w:tcPr>
            <w:tcW w:w="7196" w:type="dxa"/>
            <w:gridSpan w:val="11"/>
            <w:tcBorders>
              <w:top w:val="nil"/>
              <w:left w:val="single" w:sz="4" w:space="0" w:color="000000"/>
              <w:bottom w:val="nil"/>
              <w:right w:val="single" w:sz="4" w:space="0" w:color="000000"/>
            </w:tcBorders>
            <w:shd w:val="clear" w:color="000000" w:fill="FFFFFF"/>
            <w:hideMark/>
          </w:tcPr>
          <w:p w14:paraId="40246F09"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Outros Recursos Vinculados</w:t>
            </w:r>
          </w:p>
        </w:tc>
        <w:tc>
          <w:tcPr>
            <w:tcW w:w="6438" w:type="dxa"/>
            <w:gridSpan w:val="6"/>
            <w:tcBorders>
              <w:top w:val="nil"/>
              <w:left w:val="nil"/>
              <w:bottom w:val="nil"/>
              <w:right w:val="single" w:sz="4" w:space="0" w:color="000000"/>
            </w:tcBorders>
            <w:shd w:val="clear" w:color="000000" w:fill="FFFFFF"/>
            <w:hideMark/>
          </w:tcPr>
          <w:p w14:paraId="50C48848"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18.885.210.263,91</w:t>
            </w:r>
          </w:p>
        </w:tc>
      </w:tr>
      <w:tr w:rsidR="00251BD1" w:rsidRPr="00103CC2" w14:paraId="54737555" w14:textId="77777777" w:rsidTr="001F5575">
        <w:trPr>
          <w:trHeight w:val="199"/>
          <w:jc w:val="center"/>
        </w:trPr>
        <w:tc>
          <w:tcPr>
            <w:tcW w:w="7196" w:type="dxa"/>
            <w:gridSpan w:val="11"/>
            <w:tcBorders>
              <w:top w:val="nil"/>
              <w:left w:val="single" w:sz="4" w:space="0" w:color="000000"/>
              <w:right w:val="single" w:sz="4" w:space="0" w:color="000000"/>
            </w:tcBorders>
            <w:shd w:val="clear" w:color="000000" w:fill="FFFFFF"/>
            <w:hideMark/>
          </w:tcPr>
          <w:p w14:paraId="700283AF" w14:textId="77777777" w:rsidR="00251BD1" w:rsidRPr="00103CC2" w:rsidRDefault="00251BD1" w:rsidP="00251BD1">
            <w:pPr>
              <w:widowControl/>
              <w:suppressAutoHyphens w:val="0"/>
              <w:autoSpaceDN/>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 xml:space="preserve">    Recursos a Classificar</w:t>
            </w:r>
          </w:p>
        </w:tc>
        <w:tc>
          <w:tcPr>
            <w:tcW w:w="6438" w:type="dxa"/>
            <w:gridSpan w:val="6"/>
            <w:tcBorders>
              <w:top w:val="nil"/>
              <w:left w:val="nil"/>
              <w:right w:val="single" w:sz="4" w:space="0" w:color="000000"/>
            </w:tcBorders>
            <w:shd w:val="clear" w:color="000000" w:fill="FFFFFF"/>
            <w:hideMark/>
          </w:tcPr>
          <w:p w14:paraId="2B82D007" w14:textId="77777777" w:rsidR="00251BD1" w:rsidRPr="00103CC2" w:rsidRDefault="00251BD1" w:rsidP="00251BD1">
            <w:pPr>
              <w:widowControl/>
              <w:suppressAutoHyphens w:val="0"/>
              <w:autoSpaceDN/>
              <w:jc w:val="right"/>
              <w:textAlignment w:val="auto"/>
              <w:rPr>
                <w:rFonts w:ascii="Arial" w:eastAsia="Times New Roman" w:hAnsi="Arial" w:cs="Arial"/>
                <w:color w:val="000000"/>
                <w:kern w:val="0"/>
                <w:sz w:val="12"/>
                <w:szCs w:val="12"/>
                <w:lang w:eastAsia="pt-BR" w:bidi="ar-SA"/>
              </w:rPr>
            </w:pPr>
            <w:r w:rsidRPr="00103CC2">
              <w:rPr>
                <w:rFonts w:ascii="Arial" w:eastAsia="Times New Roman" w:hAnsi="Arial" w:cs="Arial"/>
                <w:color w:val="000000"/>
                <w:kern w:val="0"/>
                <w:sz w:val="12"/>
                <w:szCs w:val="12"/>
                <w:lang w:eastAsia="pt-BR" w:bidi="ar-SA"/>
              </w:rPr>
              <w:t>1.078.943,55</w:t>
            </w:r>
          </w:p>
        </w:tc>
      </w:tr>
      <w:tr w:rsidR="00251BD1" w:rsidRPr="00103CC2" w14:paraId="2D84B8C0" w14:textId="77777777" w:rsidTr="001F5575">
        <w:trPr>
          <w:trHeight w:val="199"/>
          <w:jc w:val="center"/>
        </w:trPr>
        <w:tc>
          <w:tcPr>
            <w:tcW w:w="7196" w:type="dxa"/>
            <w:gridSpan w:val="11"/>
            <w:tcBorders>
              <w:top w:val="nil"/>
              <w:left w:val="single" w:sz="4" w:space="0" w:color="000000"/>
              <w:right w:val="single" w:sz="4" w:space="0" w:color="000000"/>
            </w:tcBorders>
            <w:shd w:val="clear" w:color="000000" w:fill="FFFFFF"/>
            <w:hideMark/>
          </w:tcPr>
          <w:p w14:paraId="6C692115" w14:textId="77777777" w:rsidR="00251BD1" w:rsidRPr="00103CC2" w:rsidRDefault="00251BD1" w:rsidP="00251BD1">
            <w:pPr>
              <w:widowControl/>
              <w:suppressAutoHyphens w:val="0"/>
              <w:autoSpaceDN/>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TOTAL</w:t>
            </w:r>
          </w:p>
        </w:tc>
        <w:tc>
          <w:tcPr>
            <w:tcW w:w="6438" w:type="dxa"/>
            <w:gridSpan w:val="6"/>
            <w:tcBorders>
              <w:top w:val="nil"/>
              <w:left w:val="nil"/>
              <w:right w:val="single" w:sz="4" w:space="0" w:color="000000"/>
            </w:tcBorders>
            <w:shd w:val="clear" w:color="000000" w:fill="FFFFFF"/>
            <w:hideMark/>
          </w:tcPr>
          <w:p w14:paraId="18270F5A" w14:textId="77777777" w:rsidR="00251BD1" w:rsidRPr="00103CC2" w:rsidRDefault="00251BD1" w:rsidP="00251BD1">
            <w:pPr>
              <w:widowControl/>
              <w:suppressAutoHyphens w:val="0"/>
              <w:autoSpaceDN/>
              <w:jc w:val="right"/>
              <w:textAlignment w:val="auto"/>
              <w:rPr>
                <w:rFonts w:ascii="Arial" w:eastAsia="Times New Roman" w:hAnsi="Arial" w:cs="Arial"/>
                <w:b/>
                <w:bCs/>
                <w:color w:val="000000"/>
                <w:kern w:val="0"/>
                <w:sz w:val="12"/>
                <w:szCs w:val="12"/>
                <w:lang w:eastAsia="pt-BR" w:bidi="ar-SA"/>
              </w:rPr>
            </w:pPr>
            <w:r w:rsidRPr="00103CC2">
              <w:rPr>
                <w:rFonts w:ascii="Arial" w:eastAsia="Times New Roman" w:hAnsi="Arial" w:cs="Arial"/>
                <w:b/>
                <w:bCs/>
                <w:color w:val="000000"/>
                <w:kern w:val="0"/>
                <w:sz w:val="12"/>
                <w:szCs w:val="12"/>
                <w:lang w:eastAsia="pt-BR" w:bidi="ar-SA"/>
              </w:rPr>
              <w:t>3.579.662.974,15</w:t>
            </w:r>
          </w:p>
        </w:tc>
      </w:tr>
      <w:tr w:rsidR="00251BD1" w:rsidRPr="00103CC2" w14:paraId="287B46EF" w14:textId="77777777" w:rsidTr="001F5575">
        <w:trPr>
          <w:trHeight w:val="19"/>
          <w:jc w:val="center"/>
        </w:trPr>
        <w:tc>
          <w:tcPr>
            <w:tcW w:w="13634" w:type="dxa"/>
            <w:gridSpan w:val="17"/>
            <w:tcBorders>
              <w:left w:val="nil"/>
              <w:bottom w:val="nil"/>
              <w:right w:val="nil"/>
            </w:tcBorders>
            <w:shd w:val="clear" w:color="000000" w:fill="FFFFFF"/>
            <w:hideMark/>
          </w:tcPr>
          <w:p w14:paraId="57B07B69" w14:textId="61EAA513" w:rsidR="00251BD1" w:rsidRPr="00103CC2" w:rsidRDefault="00251BD1" w:rsidP="00251BD1">
            <w:pPr>
              <w:widowControl/>
              <w:suppressAutoHyphens w:val="0"/>
              <w:autoSpaceDN/>
              <w:textAlignment w:val="auto"/>
              <w:rPr>
                <w:rFonts w:ascii="SansSerif" w:eastAsia="Times New Roman" w:hAnsi="SansSerif" w:cs="Arial"/>
                <w:color w:val="000000"/>
                <w:kern w:val="0"/>
                <w:sz w:val="12"/>
                <w:szCs w:val="12"/>
                <w:lang w:eastAsia="pt-BR" w:bidi="ar-SA"/>
              </w:rPr>
            </w:pPr>
          </w:p>
        </w:tc>
      </w:tr>
    </w:tbl>
    <w:p w14:paraId="17CEADF2" w14:textId="77777777" w:rsidR="00397A9E" w:rsidRDefault="00397A9E"/>
    <w:p w14:paraId="6EF3E8BD" w14:textId="77777777" w:rsidR="00397A9E" w:rsidRDefault="003210ED" w:rsidP="007406C8">
      <w:pPr>
        <w:jc w:val="center"/>
        <w:rPr>
          <w:rFonts w:cs="Times New Roman"/>
          <w:b/>
        </w:rPr>
      </w:pPr>
      <w:r>
        <w:rPr>
          <w:rFonts w:cs="Times New Roman"/>
          <w:b/>
        </w:rPr>
        <w:t>Demonstrações das Variações Patrimoniais</w:t>
      </w:r>
    </w:p>
    <w:p w14:paraId="1E3493F9" w14:textId="77777777" w:rsidR="00397A9E" w:rsidRDefault="00397A9E"/>
    <w:p w14:paraId="621D6DEE" w14:textId="77777777" w:rsidR="00397A9E" w:rsidRPr="00B42317" w:rsidRDefault="00397A9E">
      <w:pPr>
        <w:rPr>
          <w:sz w:val="16"/>
          <w:szCs w:val="16"/>
        </w:rPr>
      </w:pPr>
    </w:p>
    <w:tbl>
      <w:tblPr>
        <w:tblW w:w="6900" w:type="dxa"/>
        <w:jc w:val="center"/>
        <w:tblCellMar>
          <w:left w:w="70" w:type="dxa"/>
          <w:right w:w="70" w:type="dxa"/>
        </w:tblCellMar>
        <w:tblLook w:val="04A0" w:firstRow="1" w:lastRow="0" w:firstColumn="1" w:lastColumn="0" w:noHBand="0" w:noVBand="1"/>
      </w:tblPr>
      <w:tblGrid>
        <w:gridCol w:w="583"/>
        <w:gridCol w:w="171"/>
        <w:gridCol w:w="578"/>
        <w:gridCol w:w="171"/>
        <w:gridCol w:w="1991"/>
        <w:gridCol w:w="413"/>
        <w:gridCol w:w="1461"/>
        <w:gridCol w:w="1532"/>
      </w:tblGrid>
      <w:tr w:rsidR="00FD42B1" w:rsidRPr="00103CC2" w14:paraId="191CD049" w14:textId="77777777" w:rsidTr="00FD42B1">
        <w:trPr>
          <w:trHeight w:val="120"/>
          <w:jc w:val="center"/>
        </w:trPr>
        <w:tc>
          <w:tcPr>
            <w:tcW w:w="620" w:type="dxa"/>
            <w:vMerge w:val="restart"/>
            <w:tcBorders>
              <w:top w:val="nil"/>
              <w:left w:val="nil"/>
              <w:bottom w:val="nil"/>
              <w:right w:val="nil"/>
            </w:tcBorders>
            <w:shd w:val="clear" w:color="000000" w:fill="FFFFFF"/>
            <w:hideMark/>
          </w:tcPr>
          <w:p w14:paraId="1E0F1F53"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noProof/>
                <w:color w:val="000000"/>
                <w:kern w:val="0"/>
                <w:sz w:val="14"/>
                <w:szCs w:val="14"/>
                <w:lang w:eastAsia="pt-BR" w:bidi="ar-SA"/>
              </w:rPr>
              <w:drawing>
                <wp:anchor distT="0" distB="0" distL="114300" distR="114300" simplePos="0" relativeHeight="251669504" behindDoc="0" locked="0" layoutInCell="1" allowOverlap="1" wp14:anchorId="769B182E" wp14:editId="36FB92A6">
                  <wp:simplePos x="0" y="0"/>
                  <wp:positionH relativeFrom="column">
                    <wp:posOffset>0</wp:posOffset>
                  </wp:positionH>
                  <wp:positionV relativeFrom="paragraph">
                    <wp:posOffset>0</wp:posOffset>
                  </wp:positionV>
                  <wp:extent cx="333375" cy="390525"/>
                  <wp:effectExtent l="0" t="0" r="9525" b="9525"/>
                  <wp:wrapNone/>
                  <wp:docPr id="6" name="Imagem 6"/>
                  <wp:cNvGraphicFramePr/>
                  <a:graphic xmlns:a="http://schemas.openxmlformats.org/drawingml/2006/main">
                    <a:graphicData uri="http://schemas.openxmlformats.org/drawingml/2006/picture">
                      <pic:pic xmlns:pic="http://schemas.openxmlformats.org/drawingml/2006/picture">
                        <pic:nvPicPr>
                          <pic:cNvPr id="309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0" w:type="dxa"/>
            <w:tcBorders>
              <w:top w:val="nil"/>
              <w:left w:val="nil"/>
              <w:bottom w:val="nil"/>
              <w:right w:val="nil"/>
            </w:tcBorders>
            <w:shd w:val="clear" w:color="000000" w:fill="FFFFFF"/>
            <w:hideMark/>
          </w:tcPr>
          <w:p w14:paraId="45318127"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00" w:type="dxa"/>
            <w:tcBorders>
              <w:top w:val="nil"/>
              <w:left w:val="nil"/>
              <w:bottom w:val="nil"/>
              <w:right w:val="nil"/>
            </w:tcBorders>
            <w:shd w:val="clear" w:color="000000" w:fill="FFFFFF"/>
            <w:hideMark/>
          </w:tcPr>
          <w:p w14:paraId="17349262"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56E06B94"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180" w:type="dxa"/>
            <w:tcBorders>
              <w:top w:val="nil"/>
              <w:left w:val="nil"/>
              <w:bottom w:val="nil"/>
              <w:right w:val="nil"/>
            </w:tcBorders>
            <w:shd w:val="clear" w:color="000000" w:fill="FFFFFF"/>
            <w:hideMark/>
          </w:tcPr>
          <w:p w14:paraId="7A8BEC85"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00" w:type="dxa"/>
            <w:tcBorders>
              <w:top w:val="nil"/>
              <w:left w:val="nil"/>
              <w:bottom w:val="nil"/>
              <w:right w:val="nil"/>
            </w:tcBorders>
            <w:shd w:val="clear" w:color="000000" w:fill="FFFFFF"/>
            <w:hideMark/>
          </w:tcPr>
          <w:p w14:paraId="64FDAFC3"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80" w:type="dxa"/>
            <w:tcBorders>
              <w:top w:val="nil"/>
              <w:left w:val="nil"/>
              <w:bottom w:val="nil"/>
              <w:right w:val="nil"/>
            </w:tcBorders>
            <w:shd w:val="clear" w:color="000000" w:fill="FFFFFF"/>
            <w:hideMark/>
          </w:tcPr>
          <w:p w14:paraId="734CB902"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560" w:type="dxa"/>
            <w:tcBorders>
              <w:top w:val="nil"/>
              <w:left w:val="nil"/>
              <w:bottom w:val="nil"/>
              <w:right w:val="nil"/>
            </w:tcBorders>
            <w:shd w:val="clear" w:color="000000" w:fill="FFFFFF"/>
            <w:hideMark/>
          </w:tcPr>
          <w:p w14:paraId="61627484"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FD42B1" w:rsidRPr="00103CC2" w14:paraId="79AC2459" w14:textId="77777777" w:rsidTr="00FD42B1">
        <w:trPr>
          <w:trHeight w:val="240"/>
          <w:jc w:val="center"/>
        </w:trPr>
        <w:tc>
          <w:tcPr>
            <w:tcW w:w="620" w:type="dxa"/>
            <w:vMerge/>
            <w:tcBorders>
              <w:top w:val="nil"/>
              <w:left w:val="nil"/>
              <w:bottom w:val="nil"/>
              <w:right w:val="nil"/>
            </w:tcBorders>
            <w:vAlign w:val="center"/>
            <w:hideMark/>
          </w:tcPr>
          <w:p w14:paraId="016F3C51"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2369A0F5"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20" w:type="dxa"/>
            <w:gridSpan w:val="3"/>
            <w:tcBorders>
              <w:top w:val="nil"/>
              <w:left w:val="nil"/>
              <w:bottom w:val="nil"/>
              <w:right w:val="nil"/>
            </w:tcBorders>
            <w:shd w:val="clear" w:color="000000" w:fill="FFFFFF"/>
            <w:hideMark/>
          </w:tcPr>
          <w:p w14:paraId="26508CF5" w14:textId="77777777" w:rsidR="00FD42B1" w:rsidRPr="00103CC2" w:rsidRDefault="00FD42B1" w:rsidP="00FD42B1">
            <w:pPr>
              <w:widowControl/>
              <w:suppressAutoHyphens w:val="0"/>
              <w:autoSpaceDN/>
              <w:textAlignment w:val="auto"/>
              <w:rPr>
                <w:rFonts w:ascii="SansSerif" w:eastAsia="Times New Roman" w:hAnsi="SansSerif" w:cs="Arial"/>
                <w:b/>
                <w:bCs/>
                <w:color w:val="000000"/>
                <w:kern w:val="0"/>
                <w:sz w:val="14"/>
                <w:szCs w:val="14"/>
                <w:lang w:eastAsia="pt-BR" w:bidi="ar-SA"/>
              </w:rPr>
            </w:pPr>
            <w:r w:rsidRPr="00103CC2">
              <w:rPr>
                <w:rFonts w:ascii="SansSerif" w:eastAsia="Times New Roman" w:hAnsi="SansSerif" w:cs="Arial"/>
                <w:b/>
                <w:bCs/>
                <w:color w:val="000000"/>
                <w:kern w:val="0"/>
                <w:sz w:val="14"/>
                <w:szCs w:val="14"/>
                <w:lang w:eastAsia="pt-BR" w:bidi="ar-SA"/>
              </w:rPr>
              <w:t>MINISTÉRIO DA FAZENDA</w:t>
            </w:r>
          </w:p>
        </w:tc>
        <w:tc>
          <w:tcPr>
            <w:tcW w:w="300" w:type="dxa"/>
            <w:tcBorders>
              <w:top w:val="nil"/>
              <w:left w:val="nil"/>
              <w:bottom w:val="nil"/>
              <w:right w:val="nil"/>
            </w:tcBorders>
            <w:shd w:val="clear" w:color="000000" w:fill="FFFFFF"/>
            <w:hideMark/>
          </w:tcPr>
          <w:p w14:paraId="7B3C4996"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80" w:type="dxa"/>
            <w:tcBorders>
              <w:top w:val="nil"/>
              <w:left w:val="nil"/>
              <w:bottom w:val="nil"/>
              <w:right w:val="nil"/>
            </w:tcBorders>
            <w:shd w:val="clear" w:color="000000" w:fill="FFFFFF"/>
            <w:hideMark/>
          </w:tcPr>
          <w:p w14:paraId="52DFF8FD"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560" w:type="dxa"/>
            <w:tcBorders>
              <w:top w:val="nil"/>
              <w:left w:val="nil"/>
              <w:bottom w:val="nil"/>
              <w:right w:val="nil"/>
            </w:tcBorders>
            <w:shd w:val="clear" w:color="000000" w:fill="FFFFFF"/>
            <w:hideMark/>
          </w:tcPr>
          <w:p w14:paraId="755FDCF2"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FD42B1" w:rsidRPr="00103CC2" w14:paraId="0ADC183C" w14:textId="77777777" w:rsidTr="00FD42B1">
        <w:trPr>
          <w:trHeight w:val="199"/>
          <w:jc w:val="center"/>
        </w:trPr>
        <w:tc>
          <w:tcPr>
            <w:tcW w:w="620" w:type="dxa"/>
            <w:vMerge/>
            <w:tcBorders>
              <w:top w:val="nil"/>
              <w:left w:val="nil"/>
              <w:bottom w:val="nil"/>
              <w:right w:val="nil"/>
            </w:tcBorders>
            <w:vAlign w:val="center"/>
            <w:hideMark/>
          </w:tcPr>
          <w:p w14:paraId="5BFB7506"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58C54969"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20" w:type="dxa"/>
            <w:gridSpan w:val="3"/>
            <w:tcBorders>
              <w:top w:val="nil"/>
              <w:left w:val="nil"/>
              <w:bottom w:val="nil"/>
              <w:right w:val="nil"/>
            </w:tcBorders>
            <w:shd w:val="clear" w:color="000000" w:fill="FFFFFF"/>
            <w:hideMark/>
          </w:tcPr>
          <w:p w14:paraId="239E2001" w14:textId="77777777" w:rsidR="00FD42B1" w:rsidRPr="00103CC2" w:rsidRDefault="00FD42B1" w:rsidP="00FD42B1">
            <w:pPr>
              <w:widowControl/>
              <w:suppressAutoHyphens w:val="0"/>
              <w:autoSpaceDN/>
              <w:textAlignment w:val="auto"/>
              <w:rPr>
                <w:rFonts w:ascii="SansSerif" w:eastAsia="Times New Roman" w:hAnsi="SansSerif" w:cs="Arial"/>
                <w:b/>
                <w:bCs/>
                <w:color w:val="000000"/>
                <w:kern w:val="0"/>
                <w:sz w:val="14"/>
                <w:szCs w:val="14"/>
                <w:lang w:eastAsia="pt-BR" w:bidi="ar-SA"/>
              </w:rPr>
            </w:pPr>
            <w:r w:rsidRPr="00103CC2">
              <w:rPr>
                <w:rFonts w:ascii="SansSerif" w:eastAsia="Times New Roman" w:hAnsi="SansSerif" w:cs="Arial"/>
                <w:b/>
                <w:bCs/>
                <w:color w:val="000000"/>
                <w:kern w:val="0"/>
                <w:sz w:val="14"/>
                <w:szCs w:val="14"/>
                <w:lang w:eastAsia="pt-BR" w:bidi="ar-SA"/>
              </w:rPr>
              <w:t>SECRETARIA DO TESOURO NACIONAL</w:t>
            </w:r>
          </w:p>
        </w:tc>
        <w:tc>
          <w:tcPr>
            <w:tcW w:w="300" w:type="dxa"/>
            <w:tcBorders>
              <w:top w:val="nil"/>
              <w:left w:val="nil"/>
              <w:bottom w:val="nil"/>
              <w:right w:val="nil"/>
            </w:tcBorders>
            <w:shd w:val="clear" w:color="000000" w:fill="FFFFFF"/>
            <w:hideMark/>
          </w:tcPr>
          <w:p w14:paraId="043E9E8F"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80" w:type="dxa"/>
            <w:tcBorders>
              <w:top w:val="nil"/>
              <w:left w:val="nil"/>
              <w:bottom w:val="nil"/>
              <w:right w:val="nil"/>
            </w:tcBorders>
            <w:shd w:val="clear" w:color="000000" w:fill="FFFFFF"/>
            <w:hideMark/>
          </w:tcPr>
          <w:p w14:paraId="71557F68"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560" w:type="dxa"/>
            <w:tcBorders>
              <w:top w:val="nil"/>
              <w:left w:val="nil"/>
              <w:bottom w:val="nil"/>
              <w:right w:val="nil"/>
            </w:tcBorders>
            <w:shd w:val="clear" w:color="000000" w:fill="FFFFFF"/>
            <w:hideMark/>
          </w:tcPr>
          <w:p w14:paraId="7805A01B"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FD42B1" w:rsidRPr="00103CC2" w14:paraId="1F18297E" w14:textId="77777777" w:rsidTr="00FD42B1">
        <w:trPr>
          <w:trHeight w:val="60"/>
          <w:jc w:val="center"/>
        </w:trPr>
        <w:tc>
          <w:tcPr>
            <w:tcW w:w="620" w:type="dxa"/>
            <w:vMerge/>
            <w:tcBorders>
              <w:top w:val="nil"/>
              <w:left w:val="nil"/>
              <w:bottom w:val="nil"/>
              <w:right w:val="nil"/>
            </w:tcBorders>
            <w:vAlign w:val="center"/>
            <w:hideMark/>
          </w:tcPr>
          <w:p w14:paraId="389A62FB"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15D3FEF8"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00" w:type="dxa"/>
            <w:tcBorders>
              <w:top w:val="nil"/>
              <w:left w:val="nil"/>
              <w:bottom w:val="nil"/>
              <w:right w:val="nil"/>
            </w:tcBorders>
            <w:shd w:val="clear" w:color="000000" w:fill="FFFFFF"/>
            <w:hideMark/>
          </w:tcPr>
          <w:p w14:paraId="00E92406"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0B17A8F0"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180" w:type="dxa"/>
            <w:tcBorders>
              <w:top w:val="nil"/>
              <w:left w:val="nil"/>
              <w:bottom w:val="nil"/>
              <w:right w:val="nil"/>
            </w:tcBorders>
            <w:shd w:val="clear" w:color="000000" w:fill="FFFFFF"/>
            <w:hideMark/>
          </w:tcPr>
          <w:p w14:paraId="25B8BFDB"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00" w:type="dxa"/>
            <w:tcBorders>
              <w:top w:val="nil"/>
              <w:left w:val="nil"/>
              <w:bottom w:val="nil"/>
              <w:right w:val="nil"/>
            </w:tcBorders>
            <w:shd w:val="clear" w:color="000000" w:fill="FFFFFF"/>
            <w:hideMark/>
          </w:tcPr>
          <w:p w14:paraId="3BA4EA2C"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80" w:type="dxa"/>
            <w:tcBorders>
              <w:top w:val="nil"/>
              <w:left w:val="nil"/>
              <w:bottom w:val="nil"/>
              <w:right w:val="nil"/>
            </w:tcBorders>
            <w:shd w:val="clear" w:color="000000" w:fill="FFFFFF"/>
            <w:hideMark/>
          </w:tcPr>
          <w:p w14:paraId="40B85F42"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560" w:type="dxa"/>
            <w:tcBorders>
              <w:top w:val="nil"/>
              <w:left w:val="nil"/>
              <w:bottom w:val="nil"/>
              <w:right w:val="nil"/>
            </w:tcBorders>
            <w:shd w:val="clear" w:color="000000" w:fill="FFFFFF"/>
            <w:hideMark/>
          </w:tcPr>
          <w:p w14:paraId="7C2B2ADC"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FD42B1" w:rsidRPr="00103CC2" w14:paraId="3EFD8D8A" w14:textId="77777777" w:rsidTr="00FD42B1">
        <w:trPr>
          <w:trHeight w:val="102"/>
          <w:jc w:val="center"/>
        </w:trPr>
        <w:tc>
          <w:tcPr>
            <w:tcW w:w="620" w:type="dxa"/>
            <w:tcBorders>
              <w:top w:val="nil"/>
              <w:left w:val="nil"/>
              <w:bottom w:val="nil"/>
              <w:right w:val="nil"/>
            </w:tcBorders>
            <w:shd w:val="clear" w:color="000000" w:fill="FFFFFF"/>
            <w:hideMark/>
          </w:tcPr>
          <w:p w14:paraId="7CFC8C14"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0" w:type="dxa"/>
            <w:tcBorders>
              <w:top w:val="nil"/>
              <w:left w:val="nil"/>
              <w:bottom w:val="nil"/>
              <w:right w:val="nil"/>
            </w:tcBorders>
            <w:shd w:val="clear" w:color="000000" w:fill="FFFFFF"/>
            <w:hideMark/>
          </w:tcPr>
          <w:p w14:paraId="7F96DC24"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00" w:type="dxa"/>
            <w:tcBorders>
              <w:top w:val="nil"/>
              <w:left w:val="nil"/>
              <w:bottom w:val="nil"/>
              <w:right w:val="nil"/>
            </w:tcBorders>
            <w:shd w:val="clear" w:color="000000" w:fill="FFFFFF"/>
            <w:hideMark/>
          </w:tcPr>
          <w:p w14:paraId="59883B1A"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5A502F2F"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180" w:type="dxa"/>
            <w:tcBorders>
              <w:top w:val="nil"/>
              <w:left w:val="nil"/>
              <w:bottom w:val="nil"/>
              <w:right w:val="nil"/>
            </w:tcBorders>
            <w:shd w:val="clear" w:color="000000" w:fill="FFFFFF"/>
            <w:hideMark/>
          </w:tcPr>
          <w:p w14:paraId="512EF6A4"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00" w:type="dxa"/>
            <w:tcBorders>
              <w:top w:val="nil"/>
              <w:left w:val="nil"/>
              <w:bottom w:val="nil"/>
              <w:right w:val="nil"/>
            </w:tcBorders>
            <w:shd w:val="clear" w:color="000000" w:fill="FFFFFF"/>
            <w:hideMark/>
          </w:tcPr>
          <w:p w14:paraId="11B8BFE2"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80" w:type="dxa"/>
            <w:tcBorders>
              <w:top w:val="nil"/>
              <w:left w:val="nil"/>
              <w:bottom w:val="nil"/>
              <w:right w:val="nil"/>
            </w:tcBorders>
            <w:shd w:val="clear" w:color="000000" w:fill="FFFFFF"/>
            <w:hideMark/>
          </w:tcPr>
          <w:p w14:paraId="77A5ED75"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560" w:type="dxa"/>
            <w:tcBorders>
              <w:top w:val="nil"/>
              <w:left w:val="nil"/>
              <w:bottom w:val="nil"/>
              <w:right w:val="nil"/>
            </w:tcBorders>
            <w:shd w:val="clear" w:color="000000" w:fill="FFFFFF"/>
            <w:hideMark/>
          </w:tcPr>
          <w:p w14:paraId="33938FB9"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FD42B1" w:rsidRPr="00103CC2" w14:paraId="0C91B366" w14:textId="77777777" w:rsidTr="00FD42B1">
        <w:trPr>
          <w:trHeight w:val="199"/>
          <w:jc w:val="center"/>
        </w:trPr>
        <w:tc>
          <w:tcPr>
            <w:tcW w:w="1340" w:type="dxa"/>
            <w:gridSpan w:val="3"/>
            <w:tcBorders>
              <w:top w:val="nil"/>
              <w:left w:val="nil"/>
              <w:bottom w:val="nil"/>
              <w:right w:val="nil"/>
            </w:tcBorders>
            <w:shd w:val="clear" w:color="000000" w:fill="FFFFFF"/>
            <w:vAlign w:val="center"/>
            <w:hideMark/>
          </w:tcPr>
          <w:p w14:paraId="202BBF1A"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TITULO</w:t>
            </w:r>
          </w:p>
        </w:tc>
        <w:tc>
          <w:tcPr>
            <w:tcW w:w="40" w:type="dxa"/>
            <w:tcBorders>
              <w:top w:val="nil"/>
              <w:left w:val="nil"/>
              <w:bottom w:val="nil"/>
              <w:right w:val="nil"/>
            </w:tcBorders>
            <w:shd w:val="clear" w:color="000000" w:fill="FFFFFF"/>
            <w:hideMark/>
          </w:tcPr>
          <w:p w14:paraId="494F055D"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520" w:type="dxa"/>
            <w:gridSpan w:val="4"/>
            <w:tcBorders>
              <w:top w:val="nil"/>
              <w:left w:val="nil"/>
              <w:bottom w:val="nil"/>
              <w:right w:val="nil"/>
            </w:tcBorders>
            <w:shd w:val="clear" w:color="000000" w:fill="FFFFFF"/>
            <w:vAlign w:val="center"/>
            <w:hideMark/>
          </w:tcPr>
          <w:p w14:paraId="778D8E1C"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DEMONSTRAÇÕES DAS VARIAÇÕES PATRIMONIAIS - TODOS OS ORÇAMENTOS</w:t>
            </w:r>
          </w:p>
        </w:tc>
      </w:tr>
      <w:tr w:rsidR="00FD42B1" w:rsidRPr="00103CC2" w14:paraId="0A5845F6" w14:textId="77777777" w:rsidTr="00FD42B1">
        <w:trPr>
          <w:trHeight w:val="199"/>
          <w:jc w:val="center"/>
        </w:trPr>
        <w:tc>
          <w:tcPr>
            <w:tcW w:w="1340" w:type="dxa"/>
            <w:gridSpan w:val="3"/>
            <w:tcBorders>
              <w:top w:val="nil"/>
              <w:left w:val="nil"/>
              <w:bottom w:val="nil"/>
              <w:right w:val="nil"/>
            </w:tcBorders>
            <w:shd w:val="clear" w:color="000000" w:fill="FFFFFF"/>
            <w:vAlign w:val="center"/>
            <w:hideMark/>
          </w:tcPr>
          <w:p w14:paraId="4C9C00D5"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SUBTITULO</w:t>
            </w:r>
          </w:p>
        </w:tc>
        <w:tc>
          <w:tcPr>
            <w:tcW w:w="40" w:type="dxa"/>
            <w:tcBorders>
              <w:top w:val="nil"/>
              <w:left w:val="nil"/>
              <w:bottom w:val="nil"/>
              <w:right w:val="nil"/>
            </w:tcBorders>
            <w:shd w:val="clear" w:color="000000" w:fill="FFFFFF"/>
            <w:hideMark/>
          </w:tcPr>
          <w:p w14:paraId="17D8CEBD"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520" w:type="dxa"/>
            <w:gridSpan w:val="4"/>
            <w:tcBorders>
              <w:top w:val="nil"/>
              <w:left w:val="nil"/>
              <w:bottom w:val="nil"/>
              <w:right w:val="nil"/>
            </w:tcBorders>
            <w:shd w:val="clear" w:color="000000" w:fill="FFFFFF"/>
            <w:vAlign w:val="center"/>
            <w:hideMark/>
          </w:tcPr>
          <w:p w14:paraId="737FD697"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53000 - MINISTERIO DO DESENVOLVIMENTO REGIONAL (SUPERIOR) - ADMINISTR</w:t>
            </w:r>
            <w:r w:rsidRPr="00103CC2">
              <w:rPr>
                <w:rFonts w:ascii="SansSerif" w:eastAsia="Times New Roman" w:hAnsi="SansSerif" w:cs="Arial"/>
                <w:color w:val="000000"/>
                <w:kern w:val="0"/>
                <w:sz w:val="14"/>
                <w:szCs w:val="14"/>
                <w:lang w:eastAsia="pt-BR" w:bidi="ar-SA"/>
              </w:rPr>
              <w:t>A</w:t>
            </w:r>
            <w:r w:rsidRPr="00103CC2">
              <w:rPr>
                <w:rFonts w:ascii="SansSerif" w:eastAsia="Times New Roman" w:hAnsi="SansSerif" w:cs="Arial"/>
                <w:color w:val="000000"/>
                <w:kern w:val="0"/>
                <w:sz w:val="14"/>
                <w:szCs w:val="14"/>
                <w:lang w:eastAsia="pt-BR" w:bidi="ar-SA"/>
              </w:rPr>
              <w:t>ÇÃO DIRETA</w:t>
            </w:r>
          </w:p>
        </w:tc>
      </w:tr>
      <w:tr w:rsidR="00FD42B1" w:rsidRPr="00103CC2" w14:paraId="45A4DE12" w14:textId="77777777" w:rsidTr="00FD42B1">
        <w:trPr>
          <w:trHeight w:val="199"/>
          <w:jc w:val="center"/>
        </w:trPr>
        <w:tc>
          <w:tcPr>
            <w:tcW w:w="1340" w:type="dxa"/>
            <w:gridSpan w:val="3"/>
            <w:tcBorders>
              <w:top w:val="nil"/>
              <w:left w:val="nil"/>
              <w:bottom w:val="nil"/>
              <w:right w:val="nil"/>
            </w:tcBorders>
            <w:shd w:val="clear" w:color="000000" w:fill="FFFFFF"/>
            <w:vAlign w:val="center"/>
            <w:hideMark/>
          </w:tcPr>
          <w:p w14:paraId="77809F71"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ORGÃO SUPERIOR</w:t>
            </w:r>
          </w:p>
        </w:tc>
        <w:tc>
          <w:tcPr>
            <w:tcW w:w="40" w:type="dxa"/>
            <w:tcBorders>
              <w:top w:val="nil"/>
              <w:left w:val="nil"/>
              <w:bottom w:val="nil"/>
              <w:right w:val="nil"/>
            </w:tcBorders>
            <w:shd w:val="clear" w:color="000000" w:fill="FFFFFF"/>
            <w:hideMark/>
          </w:tcPr>
          <w:p w14:paraId="1C71B148"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520" w:type="dxa"/>
            <w:gridSpan w:val="4"/>
            <w:tcBorders>
              <w:top w:val="nil"/>
              <w:left w:val="nil"/>
              <w:bottom w:val="nil"/>
              <w:right w:val="nil"/>
            </w:tcBorders>
            <w:shd w:val="clear" w:color="000000" w:fill="FFFFFF"/>
            <w:vAlign w:val="center"/>
            <w:hideMark/>
          </w:tcPr>
          <w:p w14:paraId="50AADB1E"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53000 - MINISTERIO DO DESENVOLVIMENTO REGIONAL</w:t>
            </w:r>
          </w:p>
        </w:tc>
      </w:tr>
      <w:tr w:rsidR="00FD42B1" w:rsidRPr="00103CC2" w14:paraId="0C460467" w14:textId="77777777" w:rsidTr="00FD42B1">
        <w:trPr>
          <w:trHeight w:val="199"/>
          <w:jc w:val="center"/>
        </w:trPr>
        <w:tc>
          <w:tcPr>
            <w:tcW w:w="1340" w:type="dxa"/>
            <w:gridSpan w:val="3"/>
            <w:tcBorders>
              <w:top w:val="nil"/>
              <w:left w:val="nil"/>
              <w:bottom w:val="nil"/>
              <w:right w:val="nil"/>
            </w:tcBorders>
            <w:shd w:val="clear" w:color="000000" w:fill="FFFFFF"/>
            <w:vAlign w:val="center"/>
            <w:hideMark/>
          </w:tcPr>
          <w:p w14:paraId="60E84003"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EXERCíCIO</w:t>
            </w:r>
          </w:p>
        </w:tc>
        <w:tc>
          <w:tcPr>
            <w:tcW w:w="40" w:type="dxa"/>
            <w:tcBorders>
              <w:top w:val="nil"/>
              <w:left w:val="nil"/>
              <w:bottom w:val="nil"/>
              <w:right w:val="nil"/>
            </w:tcBorders>
            <w:shd w:val="clear" w:color="000000" w:fill="FFFFFF"/>
            <w:hideMark/>
          </w:tcPr>
          <w:p w14:paraId="48ECAD5F"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520" w:type="dxa"/>
            <w:gridSpan w:val="4"/>
            <w:tcBorders>
              <w:top w:val="nil"/>
              <w:left w:val="nil"/>
              <w:bottom w:val="nil"/>
              <w:right w:val="nil"/>
            </w:tcBorders>
            <w:shd w:val="clear" w:color="000000" w:fill="FFFFFF"/>
            <w:vAlign w:val="center"/>
            <w:hideMark/>
          </w:tcPr>
          <w:p w14:paraId="3AC40023"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2020</w:t>
            </w:r>
          </w:p>
        </w:tc>
      </w:tr>
      <w:tr w:rsidR="00FD42B1" w:rsidRPr="00103CC2" w14:paraId="0B2D2E72" w14:textId="77777777" w:rsidTr="00FD42B1">
        <w:trPr>
          <w:trHeight w:val="199"/>
          <w:jc w:val="center"/>
        </w:trPr>
        <w:tc>
          <w:tcPr>
            <w:tcW w:w="1340" w:type="dxa"/>
            <w:gridSpan w:val="3"/>
            <w:tcBorders>
              <w:top w:val="nil"/>
              <w:left w:val="nil"/>
              <w:bottom w:val="nil"/>
              <w:right w:val="nil"/>
            </w:tcBorders>
            <w:shd w:val="clear" w:color="000000" w:fill="FFFFFF"/>
            <w:vAlign w:val="center"/>
            <w:hideMark/>
          </w:tcPr>
          <w:p w14:paraId="7523940B"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PERíODO</w:t>
            </w:r>
          </w:p>
        </w:tc>
        <w:tc>
          <w:tcPr>
            <w:tcW w:w="40" w:type="dxa"/>
            <w:tcBorders>
              <w:top w:val="nil"/>
              <w:left w:val="nil"/>
              <w:bottom w:val="nil"/>
              <w:right w:val="nil"/>
            </w:tcBorders>
            <w:shd w:val="clear" w:color="000000" w:fill="FFFFFF"/>
            <w:hideMark/>
          </w:tcPr>
          <w:p w14:paraId="70F365C6"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520" w:type="dxa"/>
            <w:gridSpan w:val="4"/>
            <w:tcBorders>
              <w:top w:val="nil"/>
              <w:left w:val="nil"/>
              <w:bottom w:val="nil"/>
              <w:right w:val="nil"/>
            </w:tcBorders>
            <w:shd w:val="clear" w:color="000000" w:fill="FFFFFF"/>
            <w:vAlign w:val="center"/>
            <w:hideMark/>
          </w:tcPr>
          <w:p w14:paraId="44945FD4"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QUARTO TRIMESTRE (Encerrado) (Fechado)</w:t>
            </w:r>
          </w:p>
        </w:tc>
      </w:tr>
      <w:tr w:rsidR="00FD42B1" w:rsidRPr="00103CC2" w14:paraId="7339657B" w14:textId="77777777" w:rsidTr="00FD42B1">
        <w:trPr>
          <w:trHeight w:val="199"/>
          <w:jc w:val="center"/>
        </w:trPr>
        <w:tc>
          <w:tcPr>
            <w:tcW w:w="1340" w:type="dxa"/>
            <w:gridSpan w:val="3"/>
            <w:tcBorders>
              <w:top w:val="nil"/>
              <w:left w:val="nil"/>
              <w:bottom w:val="nil"/>
              <w:right w:val="nil"/>
            </w:tcBorders>
            <w:shd w:val="clear" w:color="000000" w:fill="FFFFFF"/>
            <w:vAlign w:val="center"/>
            <w:hideMark/>
          </w:tcPr>
          <w:p w14:paraId="5F5B8A81"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EMISSÃO</w:t>
            </w:r>
          </w:p>
        </w:tc>
        <w:tc>
          <w:tcPr>
            <w:tcW w:w="40" w:type="dxa"/>
            <w:tcBorders>
              <w:top w:val="nil"/>
              <w:left w:val="nil"/>
              <w:bottom w:val="nil"/>
              <w:right w:val="nil"/>
            </w:tcBorders>
            <w:shd w:val="clear" w:color="000000" w:fill="FFFFFF"/>
            <w:hideMark/>
          </w:tcPr>
          <w:p w14:paraId="55DD4E74"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520" w:type="dxa"/>
            <w:gridSpan w:val="4"/>
            <w:tcBorders>
              <w:top w:val="nil"/>
              <w:left w:val="nil"/>
              <w:bottom w:val="nil"/>
              <w:right w:val="nil"/>
            </w:tcBorders>
            <w:shd w:val="clear" w:color="000000" w:fill="FFFFFF"/>
            <w:vAlign w:val="center"/>
            <w:hideMark/>
          </w:tcPr>
          <w:p w14:paraId="26179EF2"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20/01/2021</w:t>
            </w:r>
          </w:p>
        </w:tc>
      </w:tr>
      <w:tr w:rsidR="00FD42B1" w:rsidRPr="00103CC2" w14:paraId="4F2260BB" w14:textId="77777777" w:rsidTr="00FD42B1">
        <w:trPr>
          <w:trHeight w:val="199"/>
          <w:jc w:val="center"/>
        </w:trPr>
        <w:tc>
          <w:tcPr>
            <w:tcW w:w="6900" w:type="dxa"/>
            <w:gridSpan w:val="8"/>
            <w:tcBorders>
              <w:top w:val="nil"/>
              <w:left w:val="nil"/>
              <w:bottom w:val="nil"/>
              <w:right w:val="nil"/>
            </w:tcBorders>
            <w:shd w:val="clear" w:color="000000" w:fill="FFFFFF"/>
            <w:vAlign w:val="center"/>
            <w:hideMark/>
          </w:tcPr>
          <w:p w14:paraId="7BF70908"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VALORES EM UNIDADES DE REAL</w:t>
            </w:r>
          </w:p>
        </w:tc>
      </w:tr>
      <w:tr w:rsidR="00FD42B1" w:rsidRPr="00103CC2" w14:paraId="2DA758D8" w14:textId="77777777" w:rsidTr="00FD42B1">
        <w:trPr>
          <w:trHeight w:val="199"/>
          <w:jc w:val="center"/>
        </w:trPr>
        <w:tc>
          <w:tcPr>
            <w:tcW w:w="6900" w:type="dxa"/>
            <w:gridSpan w:val="8"/>
            <w:tcBorders>
              <w:top w:val="nil"/>
              <w:left w:val="nil"/>
              <w:bottom w:val="nil"/>
              <w:right w:val="nil"/>
            </w:tcBorders>
            <w:shd w:val="clear" w:color="000000" w:fill="FFFFFF"/>
            <w:hideMark/>
          </w:tcPr>
          <w:p w14:paraId="74E5C444"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FD42B1" w:rsidRPr="00103CC2" w14:paraId="3A973660" w14:textId="77777777" w:rsidTr="00FD42B1">
        <w:trPr>
          <w:trHeight w:val="276"/>
          <w:jc w:val="center"/>
        </w:trPr>
        <w:tc>
          <w:tcPr>
            <w:tcW w:w="6900" w:type="dxa"/>
            <w:gridSpan w:val="8"/>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8081EEE" w14:textId="77777777" w:rsidR="00FD42B1" w:rsidRPr="00103CC2" w:rsidRDefault="00FD42B1" w:rsidP="00FD42B1">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VARIAÇÕES PATRIMONIAIS QUANTITATIVAS</w:t>
            </w:r>
          </w:p>
        </w:tc>
      </w:tr>
      <w:tr w:rsidR="00FD42B1" w:rsidRPr="00103CC2" w14:paraId="6C083619" w14:textId="77777777" w:rsidTr="00FD42B1">
        <w:trPr>
          <w:trHeight w:val="276"/>
          <w:jc w:val="center"/>
        </w:trPr>
        <w:tc>
          <w:tcPr>
            <w:tcW w:w="6900" w:type="dxa"/>
            <w:gridSpan w:val="8"/>
            <w:vMerge/>
            <w:tcBorders>
              <w:top w:val="single" w:sz="4" w:space="0" w:color="000000"/>
              <w:left w:val="single" w:sz="4" w:space="0" w:color="000000"/>
              <w:bottom w:val="single" w:sz="4" w:space="0" w:color="000000"/>
              <w:right w:val="single" w:sz="4" w:space="0" w:color="000000"/>
            </w:tcBorders>
            <w:vAlign w:val="center"/>
            <w:hideMark/>
          </w:tcPr>
          <w:p w14:paraId="560DD744"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p>
        </w:tc>
      </w:tr>
      <w:tr w:rsidR="00FD42B1" w:rsidRPr="00103CC2" w14:paraId="18700FED" w14:textId="77777777" w:rsidTr="00FD42B1">
        <w:trPr>
          <w:trHeight w:val="276"/>
          <w:jc w:val="center"/>
        </w:trPr>
        <w:tc>
          <w:tcPr>
            <w:tcW w:w="6900" w:type="dxa"/>
            <w:gridSpan w:val="8"/>
            <w:vMerge/>
            <w:tcBorders>
              <w:top w:val="single" w:sz="4" w:space="0" w:color="000000"/>
              <w:left w:val="single" w:sz="4" w:space="0" w:color="000000"/>
              <w:bottom w:val="single" w:sz="4" w:space="0" w:color="000000"/>
              <w:right w:val="single" w:sz="4" w:space="0" w:color="000000"/>
            </w:tcBorders>
            <w:vAlign w:val="center"/>
            <w:hideMark/>
          </w:tcPr>
          <w:p w14:paraId="12105A97"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p>
        </w:tc>
      </w:tr>
      <w:tr w:rsidR="00FD42B1" w:rsidRPr="00103CC2" w14:paraId="579FB1B8" w14:textId="77777777" w:rsidTr="00FD42B1">
        <w:trPr>
          <w:trHeight w:val="240"/>
          <w:jc w:val="center"/>
        </w:trPr>
        <w:tc>
          <w:tcPr>
            <w:tcW w:w="356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E1FAC00" w14:textId="77777777" w:rsidR="00FD42B1" w:rsidRPr="00103CC2" w:rsidRDefault="00FD42B1" w:rsidP="00FD42B1">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w:t>
            </w:r>
          </w:p>
        </w:tc>
        <w:tc>
          <w:tcPr>
            <w:tcW w:w="300" w:type="dxa"/>
            <w:tcBorders>
              <w:top w:val="nil"/>
              <w:left w:val="nil"/>
              <w:bottom w:val="single" w:sz="4" w:space="0" w:color="000000"/>
              <w:right w:val="single" w:sz="4" w:space="0" w:color="000000"/>
            </w:tcBorders>
            <w:shd w:val="clear" w:color="000000" w:fill="FFFFFF"/>
            <w:vAlign w:val="center"/>
            <w:hideMark/>
          </w:tcPr>
          <w:p w14:paraId="4016389E"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N.E.</w:t>
            </w:r>
          </w:p>
        </w:tc>
        <w:tc>
          <w:tcPr>
            <w:tcW w:w="1480" w:type="dxa"/>
            <w:tcBorders>
              <w:top w:val="nil"/>
              <w:left w:val="nil"/>
              <w:bottom w:val="single" w:sz="4" w:space="0" w:color="000000"/>
              <w:right w:val="single" w:sz="4" w:space="0" w:color="000000"/>
            </w:tcBorders>
            <w:shd w:val="clear" w:color="000000" w:fill="FFFFFF"/>
            <w:vAlign w:val="center"/>
            <w:hideMark/>
          </w:tcPr>
          <w:p w14:paraId="2F86DD37"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2020</w:t>
            </w:r>
          </w:p>
        </w:tc>
        <w:tc>
          <w:tcPr>
            <w:tcW w:w="1560" w:type="dxa"/>
            <w:tcBorders>
              <w:top w:val="nil"/>
              <w:left w:val="nil"/>
              <w:bottom w:val="single" w:sz="4" w:space="0" w:color="000000"/>
              <w:right w:val="single" w:sz="4" w:space="0" w:color="000000"/>
            </w:tcBorders>
            <w:shd w:val="clear" w:color="000000" w:fill="FFFFFF"/>
            <w:vAlign w:val="center"/>
            <w:hideMark/>
          </w:tcPr>
          <w:p w14:paraId="63E15C52"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2019</w:t>
            </w:r>
          </w:p>
        </w:tc>
      </w:tr>
      <w:tr w:rsidR="00FD42B1" w:rsidRPr="00103CC2" w14:paraId="57BD13A2"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471CA52"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VARIAÇÕES PATRIMONIAIS AUMENTATIVAS</w:t>
            </w:r>
          </w:p>
        </w:tc>
        <w:tc>
          <w:tcPr>
            <w:tcW w:w="300" w:type="dxa"/>
            <w:tcBorders>
              <w:top w:val="nil"/>
              <w:left w:val="nil"/>
              <w:bottom w:val="nil"/>
              <w:right w:val="single" w:sz="4" w:space="0" w:color="000000"/>
            </w:tcBorders>
            <w:shd w:val="clear" w:color="000000" w:fill="FFFFFF"/>
            <w:hideMark/>
          </w:tcPr>
          <w:p w14:paraId="3C6B6389"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ED65E00"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78.586.067.417,41</w:t>
            </w:r>
          </w:p>
        </w:tc>
        <w:tc>
          <w:tcPr>
            <w:tcW w:w="1560" w:type="dxa"/>
            <w:tcBorders>
              <w:top w:val="nil"/>
              <w:left w:val="nil"/>
              <w:bottom w:val="nil"/>
              <w:right w:val="single" w:sz="4" w:space="0" w:color="000000"/>
            </w:tcBorders>
            <w:shd w:val="clear" w:color="000000" w:fill="FFFFFF"/>
            <w:hideMark/>
          </w:tcPr>
          <w:p w14:paraId="00E12109"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91.253.915.415,34</w:t>
            </w:r>
          </w:p>
        </w:tc>
      </w:tr>
      <w:tr w:rsidR="00FD42B1" w:rsidRPr="00103CC2" w14:paraId="56AEAD80"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BA724FE"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Impostos, Taxas e Contribuições de Melhoria</w:t>
            </w:r>
          </w:p>
        </w:tc>
        <w:tc>
          <w:tcPr>
            <w:tcW w:w="300" w:type="dxa"/>
            <w:tcBorders>
              <w:top w:val="nil"/>
              <w:left w:val="nil"/>
              <w:bottom w:val="nil"/>
              <w:right w:val="single" w:sz="4" w:space="0" w:color="000000"/>
            </w:tcBorders>
            <w:shd w:val="clear" w:color="000000" w:fill="FFFFFF"/>
            <w:hideMark/>
          </w:tcPr>
          <w:p w14:paraId="2642DBDF"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DF9CB4E"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2F9729D"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FD42B1" w:rsidRPr="00103CC2" w14:paraId="61D3D30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642F7B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Impostos</w:t>
            </w:r>
          </w:p>
        </w:tc>
        <w:tc>
          <w:tcPr>
            <w:tcW w:w="300" w:type="dxa"/>
            <w:tcBorders>
              <w:top w:val="nil"/>
              <w:left w:val="nil"/>
              <w:bottom w:val="nil"/>
              <w:right w:val="single" w:sz="4" w:space="0" w:color="000000"/>
            </w:tcBorders>
            <w:shd w:val="clear" w:color="000000" w:fill="FFFFFF"/>
            <w:hideMark/>
          </w:tcPr>
          <w:p w14:paraId="5227119C"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FDB627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5E5E46E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6346D64D"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6549B94"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Taxas</w:t>
            </w:r>
          </w:p>
        </w:tc>
        <w:tc>
          <w:tcPr>
            <w:tcW w:w="300" w:type="dxa"/>
            <w:tcBorders>
              <w:top w:val="nil"/>
              <w:left w:val="nil"/>
              <w:bottom w:val="nil"/>
              <w:right w:val="single" w:sz="4" w:space="0" w:color="000000"/>
            </w:tcBorders>
            <w:shd w:val="clear" w:color="000000" w:fill="FFFFFF"/>
            <w:hideMark/>
          </w:tcPr>
          <w:p w14:paraId="46E127E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6C57A8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0FB49B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39AA8799"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F98415C"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Contribuições de Melhoria</w:t>
            </w:r>
          </w:p>
        </w:tc>
        <w:tc>
          <w:tcPr>
            <w:tcW w:w="300" w:type="dxa"/>
            <w:tcBorders>
              <w:top w:val="nil"/>
              <w:left w:val="nil"/>
              <w:bottom w:val="nil"/>
              <w:right w:val="single" w:sz="4" w:space="0" w:color="000000"/>
            </w:tcBorders>
            <w:shd w:val="clear" w:color="000000" w:fill="FFFFFF"/>
            <w:hideMark/>
          </w:tcPr>
          <w:p w14:paraId="7F1023C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939CD28"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9804A2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4E0B1BB2"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5E20DDF5"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Contribuições</w:t>
            </w:r>
          </w:p>
        </w:tc>
        <w:tc>
          <w:tcPr>
            <w:tcW w:w="300" w:type="dxa"/>
            <w:tcBorders>
              <w:top w:val="nil"/>
              <w:left w:val="nil"/>
              <w:bottom w:val="nil"/>
              <w:right w:val="single" w:sz="4" w:space="0" w:color="000000"/>
            </w:tcBorders>
            <w:shd w:val="clear" w:color="000000" w:fill="FFFFFF"/>
            <w:hideMark/>
          </w:tcPr>
          <w:p w14:paraId="2DEFF6FE"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9E332D5"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4C21F6EF"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FD42B1" w:rsidRPr="00103CC2" w14:paraId="1AF7F45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B325295"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Contribuições Sociais</w:t>
            </w:r>
          </w:p>
        </w:tc>
        <w:tc>
          <w:tcPr>
            <w:tcW w:w="300" w:type="dxa"/>
            <w:tcBorders>
              <w:top w:val="nil"/>
              <w:left w:val="nil"/>
              <w:bottom w:val="nil"/>
              <w:right w:val="single" w:sz="4" w:space="0" w:color="000000"/>
            </w:tcBorders>
            <w:shd w:val="clear" w:color="000000" w:fill="FFFFFF"/>
            <w:hideMark/>
          </w:tcPr>
          <w:p w14:paraId="7496EC93"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CFECA6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35A8775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5E6F066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35667BD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Contribuições de Intervenção no Domínio Ec</w:t>
            </w:r>
            <w:r w:rsidRPr="00103CC2">
              <w:rPr>
                <w:rFonts w:ascii="Arial" w:eastAsia="Times New Roman" w:hAnsi="Arial" w:cs="Arial"/>
                <w:color w:val="000000"/>
                <w:kern w:val="0"/>
                <w:sz w:val="14"/>
                <w:szCs w:val="14"/>
                <w:lang w:eastAsia="pt-BR" w:bidi="ar-SA"/>
              </w:rPr>
              <w:t>o</w:t>
            </w:r>
            <w:r w:rsidRPr="00103CC2">
              <w:rPr>
                <w:rFonts w:ascii="Arial" w:eastAsia="Times New Roman" w:hAnsi="Arial" w:cs="Arial"/>
                <w:color w:val="000000"/>
                <w:kern w:val="0"/>
                <w:sz w:val="14"/>
                <w:szCs w:val="14"/>
                <w:lang w:eastAsia="pt-BR" w:bidi="ar-SA"/>
              </w:rPr>
              <w:t>nômico</w:t>
            </w:r>
          </w:p>
        </w:tc>
        <w:tc>
          <w:tcPr>
            <w:tcW w:w="300" w:type="dxa"/>
            <w:tcBorders>
              <w:top w:val="nil"/>
              <w:left w:val="nil"/>
              <w:bottom w:val="nil"/>
              <w:right w:val="single" w:sz="4" w:space="0" w:color="000000"/>
            </w:tcBorders>
            <w:shd w:val="clear" w:color="000000" w:fill="FFFFFF"/>
            <w:hideMark/>
          </w:tcPr>
          <w:p w14:paraId="37AA8C3A"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4D256BA"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3455E640"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3D3A9E34"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4569A5A"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Contribuição de Iluminação Pública</w:t>
            </w:r>
          </w:p>
        </w:tc>
        <w:tc>
          <w:tcPr>
            <w:tcW w:w="300" w:type="dxa"/>
            <w:tcBorders>
              <w:top w:val="nil"/>
              <w:left w:val="nil"/>
              <w:bottom w:val="nil"/>
              <w:right w:val="single" w:sz="4" w:space="0" w:color="000000"/>
            </w:tcBorders>
            <w:shd w:val="clear" w:color="000000" w:fill="FFFFFF"/>
            <w:hideMark/>
          </w:tcPr>
          <w:p w14:paraId="696C5A37"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CCDE2EB"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18743A4"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1D9F04C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CD4108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Contribuições de Interesse das Categorias Profissionais</w:t>
            </w:r>
          </w:p>
        </w:tc>
        <w:tc>
          <w:tcPr>
            <w:tcW w:w="300" w:type="dxa"/>
            <w:tcBorders>
              <w:top w:val="nil"/>
              <w:left w:val="nil"/>
              <w:bottom w:val="nil"/>
              <w:right w:val="single" w:sz="4" w:space="0" w:color="000000"/>
            </w:tcBorders>
            <w:shd w:val="clear" w:color="000000" w:fill="FFFFFF"/>
            <w:hideMark/>
          </w:tcPr>
          <w:p w14:paraId="3E89DB1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9A7AE7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40DDF22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4437DB8D"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8880F60"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Exploração e Venda de Bens, Serviços e Dire</w:t>
            </w:r>
            <w:r w:rsidRPr="00103CC2">
              <w:rPr>
                <w:rFonts w:ascii="Arial" w:eastAsia="Times New Roman" w:hAnsi="Arial" w:cs="Arial"/>
                <w:b/>
                <w:bCs/>
                <w:color w:val="000000"/>
                <w:kern w:val="0"/>
                <w:sz w:val="14"/>
                <w:szCs w:val="14"/>
                <w:lang w:eastAsia="pt-BR" w:bidi="ar-SA"/>
              </w:rPr>
              <w:t>i</w:t>
            </w:r>
            <w:r w:rsidRPr="00103CC2">
              <w:rPr>
                <w:rFonts w:ascii="Arial" w:eastAsia="Times New Roman" w:hAnsi="Arial" w:cs="Arial"/>
                <w:b/>
                <w:bCs/>
                <w:color w:val="000000"/>
                <w:kern w:val="0"/>
                <w:sz w:val="14"/>
                <w:szCs w:val="14"/>
                <w:lang w:eastAsia="pt-BR" w:bidi="ar-SA"/>
              </w:rPr>
              <w:t>tos</w:t>
            </w:r>
          </w:p>
        </w:tc>
        <w:tc>
          <w:tcPr>
            <w:tcW w:w="300" w:type="dxa"/>
            <w:tcBorders>
              <w:top w:val="nil"/>
              <w:left w:val="nil"/>
              <w:bottom w:val="nil"/>
              <w:right w:val="single" w:sz="4" w:space="0" w:color="000000"/>
            </w:tcBorders>
            <w:shd w:val="clear" w:color="000000" w:fill="FFFFFF"/>
            <w:hideMark/>
          </w:tcPr>
          <w:p w14:paraId="16C2CD17"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A429E88"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345.345.398,80</w:t>
            </w:r>
          </w:p>
        </w:tc>
        <w:tc>
          <w:tcPr>
            <w:tcW w:w="1560" w:type="dxa"/>
            <w:tcBorders>
              <w:top w:val="nil"/>
              <w:left w:val="nil"/>
              <w:bottom w:val="nil"/>
              <w:right w:val="single" w:sz="4" w:space="0" w:color="000000"/>
            </w:tcBorders>
            <w:shd w:val="clear" w:color="000000" w:fill="FFFFFF"/>
            <w:hideMark/>
          </w:tcPr>
          <w:p w14:paraId="78C8A391"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510.122.643,00</w:t>
            </w:r>
          </w:p>
        </w:tc>
      </w:tr>
      <w:tr w:rsidR="00FD42B1" w:rsidRPr="00103CC2" w14:paraId="624D138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DEE7D07"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Venda de Mercadorias</w:t>
            </w:r>
          </w:p>
        </w:tc>
        <w:tc>
          <w:tcPr>
            <w:tcW w:w="300" w:type="dxa"/>
            <w:tcBorders>
              <w:top w:val="nil"/>
              <w:left w:val="nil"/>
              <w:bottom w:val="nil"/>
              <w:right w:val="single" w:sz="4" w:space="0" w:color="000000"/>
            </w:tcBorders>
            <w:shd w:val="clear" w:color="000000" w:fill="FFFFFF"/>
            <w:hideMark/>
          </w:tcPr>
          <w:p w14:paraId="313F2FF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020CA76"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29.214,50</w:t>
            </w:r>
          </w:p>
        </w:tc>
        <w:tc>
          <w:tcPr>
            <w:tcW w:w="1560" w:type="dxa"/>
            <w:tcBorders>
              <w:top w:val="nil"/>
              <w:left w:val="nil"/>
              <w:bottom w:val="nil"/>
              <w:right w:val="single" w:sz="4" w:space="0" w:color="000000"/>
            </w:tcBorders>
            <w:shd w:val="clear" w:color="000000" w:fill="FFFFFF"/>
            <w:hideMark/>
          </w:tcPr>
          <w:p w14:paraId="6503EAA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54.907,00</w:t>
            </w:r>
          </w:p>
        </w:tc>
      </w:tr>
      <w:tr w:rsidR="00FD42B1" w:rsidRPr="00103CC2" w14:paraId="68DC43C4"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41F40C1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Vendas de Produtos</w:t>
            </w:r>
          </w:p>
        </w:tc>
        <w:tc>
          <w:tcPr>
            <w:tcW w:w="300" w:type="dxa"/>
            <w:tcBorders>
              <w:top w:val="nil"/>
              <w:left w:val="nil"/>
              <w:bottom w:val="nil"/>
              <w:right w:val="single" w:sz="4" w:space="0" w:color="000000"/>
            </w:tcBorders>
            <w:shd w:val="clear" w:color="000000" w:fill="FFFFFF"/>
            <w:hideMark/>
          </w:tcPr>
          <w:p w14:paraId="4A80E8E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E74E819"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75F8E7A9"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4.113,00</w:t>
            </w:r>
          </w:p>
        </w:tc>
      </w:tr>
      <w:tr w:rsidR="00FD42B1" w:rsidRPr="00103CC2" w14:paraId="17C84D32"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5209C54"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Exploração de Bens, Direitos e Prestação de Serviços</w:t>
            </w:r>
          </w:p>
        </w:tc>
        <w:tc>
          <w:tcPr>
            <w:tcW w:w="300" w:type="dxa"/>
            <w:tcBorders>
              <w:top w:val="nil"/>
              <w:left w:val="nil"/>
              <w:bottom w:val="nil"/>
              <w:right w:val="single" w:sz="4" w:space="0" w:color="000000"/>
            </w:tcBorders>
            <w:shd w:val="clear" w:color="000000" w:fill="FFFFFF"/>
            <w:hideMark/>
          </w:tcPr>
          <w:p w14:paraId="2F1A3276"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B0E9A9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345.316.184,30</w:t>
            </w:r>
          </w:p>
        </w:tc>
        <w:tc>
          <w:tcPr>
            <w:tcW w:w="1560" w:type="dxa"/>
            <w:tcBorders>
              <w:top w:val="nil"/>
              <w:left w:val="nil"/>
              <w:bottom w:val="nil"/>
              <w:right w:val="single" w:sz="4" w:space="0" w:color="000000"/>
            </w:tcBorders>
            <w:shd w:val="clear" w:color="000000" w:fill="FFFFFF"/>
            <w:hideMark/>
          </w:tcPr>
          <w:p w14:paraId="1A4D0512"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510.063.623,00</w:t>
            </w:r>
          </w:p>
        </w:tc>
      </w:tr>
      <w:tr w:rsidR="00FD42B1" w:rsidRPr="00103CC2" w14:paraId="775C79C6"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A463FD7"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Variações Patrimoniais Aumentativas Finance</w:t>
            </w:r>
            <w:r w:rsidRPr="00103CC2">
              <w:rPr>
                <w:rFonts w:ascii="Arial" w:eastAsia="Times New Roman" w:hAnsi="Arial" w:cs="Arial"/>
                <w:b/>
                <w:bCs/>
                <w:color w:val="000000"/>
                <w:kern w:val="0"/>
                <w:sz w:val="14"/>
                <w:szCs w:val="14"/>
                <w:lang w:eastAsia="pt-BR" w:bidi="ar-SA"/>
              </w:rPr>
              <w:t>i</w:t>
            </w:r>
            <w:r w:rsidRPr="00103CC2">
              <w:rPr>
                <w:rFonts w:ascii="Arial" w:eastAsia="Times New Roman" w:hAnsi="Arial" w:cs="Arial"/>
                <w:b/>
                <w:bCs/>
                <w:color w:val="000000"/>
                <w:kern w:val="0"/>
                <w:sz w:val="14"/>
                <w:szCs w:val="14"/>
                <w:lang w:eastAsia="pt-BR" w:bidi="ar-SA"/>
              </w:rPr>
              <w:t>ras</w:t>
            </w:r>
          </w:p>
        </w:tc>
        <w:tc>
          <w:tcPr>
            <w:tcW w:w="300" w:type="dxa"/>
            <w:tcBorders>
              <w:top w:val="nil"/>
              <w:left w:val="nil"/>
              <w:bottom w:val="nil"/>
              <w:right w:val="single" w:sz="4" w:space="0" w:color="000000"/>
            </w:tcBorders>
            <w:shd w:val="clear" w:color="000000" w:fill="FFFFFF"/>
            <w:hideMark/>
          </w:tcPr>
          <w:p w14:paraId="740C22A6"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09A2AC6"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10.246.977.699,14</w:t>
            </w:r>
          </w:p>
        </w:tc>
        <w:tc>
          <w:tcPr>
            <w:tcW w:w="1560" w:type="dxa"/>
            <w:tcBorders>
              <w:top w:val="nil"/>
              <w:left w:val="nil"/>
              <w:bottom w:val="nil"/>
              <w:right w:val="single" w:sz="4" w:space="0" w:color="000000"/>
            </w:tcBorders>
            <w:shd w:val="clear" w:color="000000" w:fill="FFFFFF"/>
            <w:hideMark/>
          </w:tcPr>
          <w:p w14:paraId="0567BA23"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10.811.687.206,05</w:t>
            </w:r>
          </w:p>
        </w:tc>
      </w:tr>
      <w:tr w:rsidR="00FD42B1" w:rsidRPr="00103CC2" w14:paraId="4D2A4E93"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31B88F73"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Juros e Encargos de Empréstimos e Financi</w:t>
            </w:r>
            <w:r w:rsidRPr="00103CC2">
              <w:rPr>
                <w:rFonts w:ascii="Arial" w:eastAsia="Times New Roman" w:hAnsi="Arial" w:cs="Arial"/>
                <w:color w:val="000000"/>
                <w:kern w:val="0"/>
                <w:sz w:val="14"/>
                <w:szCs w:val="14"/>
                <w:lang w:eastAsia="pt-BR" w:bidi="ar-SA"/>
              </w:rPr>
              <w:t>a</w:t>
            </w:r>
            <w:r w:rsidRPr="00103CC2">
              <w:rPr>
                <w:rFonts w:ascii="Arial" w:eastAsia="Times New Roman" w:hAnsi="Arial" w:cs="Arial"/>
                <w:color w:val="000000"/>
                <w:kern w:val="0"/>
                <w:sz w:val="14"/>
                <w:szCs w:val="14"/>
                <w:lang w:eastAsia="pt-BR" w:bidi="ar-SA"/>
              </w:rPr>
              <w:t>mentos Concedidos</w:t>
            </w:r>
          </w:p>
        </w:tc>
        <w:tc>
          <w:tcPr>
            <w:tcW w:w="300" w:type="dxa"/>
            <w:tcBorders>
              <w:top w:val="nil"/>
              <w:left w:val="nil"/>
              <w:bottom w:val="nil"/>
              <w:right w:val="single" w:sz="4" w:space="0" w:color="000000"/>
            </w:tcBorders>
            <w:shd w:val="clear" w:color="000000" w:fill="FFFFFF"/>
            <w:hideMark/>
          </w:tcPr>
          <w:p w14:paraId="1064059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8386C3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9.577.087.869,29</w:t>
            </w:r>
          </w:p>
        </w:tc>
        <w:tc>
          <w:tcPr>
            <w:tcW w:w="1560" w:type="dxa"/>
            <w:tcBorders>
              <w:top w:val="nil"/>
              <w:left w:val="nil"/>
              <w:bottom w:val="nil"/>
              <w:right w:val="single" w:sz="4" w:space="0" w:color="000000"/>
            </w:tcBorders>
            <w:shd w:val="clear" w:color="000000" w:fill="FFFFFF"/>
            <w:hideMark/>
          </w:tcPr>
          <w:p w14:paraId="579D6B4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9.810.395.631,08</w:t>
            </w:r>
          </w:p>
        </w:tc>
      </w:tr>
      <w:tr w:rsidR="00FD42B1" w:rsidRPr="00103CC2" w14:paraId="53306BA9"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B1542EE"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Juros e Encargos de Mora</w:t>
            </w:r>
          </w:p>
        </w:tc>
        <w:tc>
          <w:tcPr>
            <w:tcW w:w="300" w:type="dxa"/>
            <w:tcBorders>
              <w:top w:val="nil"/>
              <w:left w:val="nil"/>
              <w:bottom w:val="nil"/>
              <w:right w:val="single" w:sz="4" w:space="0" w:color="000000"/>
            </w:tcBorders>
            <w:shd w:val="clear" w:color="000000" w:fill="FFFFFF"/>
            <w:hideMark/>
          </w:tcPr>
          <w:p w14:paraId="29B58306"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37039A6"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1.752.764,01</w:t>
            </w:r>
          </w:p>
        </w:tc>
        <w:tc>
          <w:tcPr>
            <w:tcW w:w="1560" w:type="dxa"/>
            <w:tcBorders>
              <w:top w:val="nil"/>
              <w:left w:val="nil"/>
              <w:bottom w:val="nil"/>
              <w:right w:val="single" w:sz="4" w:space="0" w:color="000000"/>
            </w:tcBorders>
            <w:shd w:val="clear" w:color="000000" w:fill="FFFFFF"/>
            <w:hideMark/>
          </w:tcPr>
          <w:p w14:paraId="73605F2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361.891.773,98</w:t>
            </w:r>
          </w:p>
        </w:tc>
      </w:tr>
      <w:tr w:rsidR="00FD42B1" w:rsidRPr="00103CC2" w14:paraId="2321E97B"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39F074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Variações Monetárias e Cambiais</w:t>
            </w:r>
          </w:p>
        </w:tc>
        <w:tc>
          <w:tcPr>
            <w:tcW w:w="300" w:type="dxa"/>
            <w:tcBorders>
              <w:top w:val="nil"/>
              <w:left w:val="nil"/>
              <w:bottom w:val="nil"/>
              <w:right w:val="single" w:sz="4" w:space="0" w:color="000000"/>
            </w:tcBorders>
            <w:shd w:val="clear" w:color="000000" w:fill="FFFFFF"/>
            <w:hideMark/>
          </w:tcPr>
          <w:p w14:paraId="06E77402"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85A2732"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83.098.725,13</w:t>
            </w:r>
          </w:p>
        </w:tc>
        <w:tc>
          <w:tcPr>
            <w:tcW w:w="1560" w:type="dxa"/>
            <w:tcBorders>
              <w:top w:val="nil"/>
              <w:left w:val="nil"/>
              <w:bottom w:val="nil"/>
              <w:right w:val="single" w:sz="4" w:space="0" w:color="000000"/>
            </w:tcBorders>
            <w:shd w:val="clear" w:color="000000" w:fill="FFFFFF"/>
            <w:hideMark/>
          </w:tcPr>
          <w:p w14:paraId="359EAB64"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66.239.832,63</w:t>
            </w:r>
          </w:p>
        </w:tc>
      </w:tr>
      <w:tr w:rsidR="00FD42B1" w:rsidRPr="00103CC2" w14:paraId="43C0BC69"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706D877"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Descontos Financeiros Obtidos</w:t>
            </w:r>
          </w:p>
        </w:tc>
        <w:tc>
          <w:tcPr>
            <w:tcW w:w="300" w:type="dxa"/>
            <w:tcBorders>
              <w:top w:val="nil"/>
              <w:left w:val="nil"/>
              <w:bottom w:val="nil"/>
              <w:right w:val="single" w:sz="4" w:space="0" w:color="000000"/>
            </w:tcBorders>
            <w:shd w:val="clear" w:color="000000" w:fill="FFFFFF"/>
            <w:hideMark/>
          </w:tcPr>
          <w:p w14:paraId="0CAB43B2"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150BDD0"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318E863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6C894D62"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5408D15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Remuneração de Depósitos Bancários e Aplic</w:t>
            </w:r>
            <w:r w:rsidRPr="00103CC2">
              <w:rPr>
                <w:rFonts w:ascii="Arial" w:eastAsia="Times New Roman" w:hAnsi="Arial" w:cs="Arial"/>
                <w:color w:val="000000"/>
                <w:kern w:val="0"/>
                <w:sz w:val="14"/>
                <w:szCs w:val="14"/>
                <w:lang w:eastAsia="pt-BR" w:bidi="ar-SA"/>
              </w:rPr>
              <w:t>a</w:t>
            </w:r>
            <w:r w:rsidRPr="00103CC2">
              <w:rPr>
                <w:rFonts w:ascii="Arial" w:eastAsia="Times New Roman" w:hAnsi="Arial" w:cs="Arial"/>
                <w:color w:val="000000"/>
                <w:kern w:val="0"/>
                <w:sz w:val="14"/>
                <w:szCs w:val="14"/>
                <w:lang w:eastAsia="pt-BR" w:bidi="ar-SA"/>
              </w:rPr>
              <w:t>ções Financeiras</w:t>
            </w:r>
          </w:p>
        </w:tc>
        <w:tc>
          <w:tcPr>
            <w:tcW w:w="300" w:type="dxa"/>
            <w:tcBorders>
              <w:top w:val="nil"/>
              <w:left w:val="nil"/>
              <w:bottom w:val="nil"/>
              <w:right w:val="single" w:sz="4" w:space="0" w:color="000000"/>
            </w:tcBorders>
            <w:shd w:val="clear" w:color="000000" w:fill="FFFFFF"/>
            <w:hideMark/>
          </w:tcPr>
          <w:p w14:paraId="71542EE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5993402"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584.359.624,16</w:t>
            </w:r>
          </w:p>
        </w:tc>
        <w:tc>
          <w:tcPr>
            <w:tcW w:w="1560" w:type="dxa"/>
            <w:tcBorders>
              <w:top w:val="nil"/>
              <w:left w:val="nil"/>
              <w:bottom w:val="nil"/>
              <w:right w:val="single" w:sz="4" w:space="0" w:color="000000"/>
            </w:tcBorders>
            <w:shd w:val="clear" w:color="000000" w:fill="FFFFFF"/>
            <w:hideMark/>
          </w:tcPr>
          <w:p w14:paraId="216CF896"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554.907.657,87</w:t>
            </w:r>
          </w:p>
        </w:tc>
      </w:tr>
      <w:tr w:rsidR="00FD42B1" w:rsidRPr="00103CC2" w14:paraId="313C0B8A"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A6A9FF6"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lastRenderedPageBreak/>
              <w:t xml:space="preserve">        Aportes do Banco Central</w:t>
            </w:r>
          </w:p>
        </w:tc>
        <w:tc>
          <w:tcPr>
            <w:tcW w:w="300" w:type="dxa"/>
            <w:tcBorders>
              <w:top w:val="nil"/>
              <w:left w:val="nil"/>
              <w:bottom w:val="nil"/>
              <w:right w:val="single" w:sz="4" w:space="0" w:color="000000"/>
            </w:tcBorders>
            <w:shd w:val="clear" w:color="000000" w:fill="FFFFFF"/>
            <w:hideMark/>
          </w:tcPr>
          <w:p w14:paraId="178787D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5733D6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7106E996"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501565B3"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7938446"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Outras Variações Patrimoniais Aumentativas Financeiras</w:t>
            </w:r>
          </w:p>
        </w:tc>
        <w:tc>
          <w:tcPr>
            <w:tcW w:w="300" w:type="dxa"/>
            <w:tcBorders>
              <w:top w:val="nil"/>
              <w:left w:val="nil"/>
              <w:bottom w:val="nil"/>
              <w:right w:val="single" w:sz="4" w:space="0" w:color="000000"/>
            </w:tcBorders>
            <w:shd w:val="clear" w:color="000000" w:fill="FFFFFF"/>
            <w:hideMark/>
          </w:tcPr>
          <w:p w14:paraId="214654C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22F775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678.716,55</w:t>
            </w:r>
          </w:p>
        </w:tc>
        <w:tc>
          <w:tcPr>
            <w:tcW w:w="1560" w:type="dxa"/>
            <w:tcBorders>
              <w:top w:val="nil"/>
              <w:left w:val="nil"/>
              <w:bottom w:val="nil"/>
              <w:right w:val="single" w:sz="4" w:space="0" w:color="000000"/>
            </w:tcBorders>
            <w:shd w:val="clear" w:color="000000" w:fill="FFFFFF"/>
            <w:hideMark/>
          </w:tcPr>
          <w:p w14:paraId="12011F2B"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18.252.310,49</w:t>
            </w:r>
          </w:p>
        </w:tc>
      </w:tr>
      <w:tr w:rsidR="00FD42B1" w:rsidRPr="00103CC2" w14:paraId="46D55325"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5FEB5CE4"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Transferências e Delegações Recebidas</w:t>
            </w:r>
          </w:p>
        </w:tc>
        <w:tc>
          <w:tcPr>
            <w:tcW w:w="300" w:type="dxa"/>
            <w:tcBorders>
              <w:top w:val="nil"/>
              <w:left w:val="nil"/>
              <w:bottom w:val="nil"/>
              <w:right w:val="single" w:sz="4" w:space="0" w:color="000000"/>
            </w:tcBorders>
            <w:shd w:val="clear" w:color="000000" w:fill="FFFFFF"/>
            <w:hideMark/>
          </w:tcPr>
          <w:p w14:paraId="63578100"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EFCC59A"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62.118.836.593,94</w:t>
            </w:r>
          </w:p>
        </w:tc>
        <w:tc>
          <w:tcPr>
            <w:tcW w:w="1560" w:type="dxa"/>
            <w:tcBorders>
              <w:top w:val="nil"/>
              <w:left w:val="nil"/>
              <w:bottom w:val="nil"/>
              <w:right w:val="single" w:sz="4" w:space="0" w:color="000000"/>
            </w:tcBorders>
            <w:shd w:val="clear" w:color="000000" w:fill="FFFFFF"/>
            <w:hideMark/>
          </w:tcPr>
          <w:p w14:paraId="32356E4D"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64.592.514.096,49</w:t>
            </w:r>
          </w:p>
        </w:tc>
      </w:tr>
      <w:tr w:rsidR="00FD42B1" w:rsidRPr="00103CC2" w14:paraId="5060D40B"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0E37DC0"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Intragovernamentais</w:t>
            </w:r>
          </w:p>
        </w:tc>
        <w:tc>
          <w:tcPr>
            <w:tcW w:w="300" w:type="dxa"/>
            <w:tcBorders>
              <w:top w:val="nil"/>
              <w:left w:val="nil"/>
              <w:bottom w:val="nil"/>
              <w:right w:val="single" w:sz="4" w:space="0" w:color="000000"/>
            </w:tcBorders>
            <w:shd w:val="clear" w:color="000000" w:fill="FFFFFF"/>
            <w:hideMark/>
          </w:tcPr>
          <w:p w14:paraId="325BD0E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76A9A9F"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62.032.382.073,05</w:t>
            </w:r>
          </w:p>
        </w:tc>
        <w:tc>
          <w:tcPr>
            <w:tcW w:w="1560" w:type="dxa"/>
            <w:tcBorders>
              <w:top w:val="nil"/>
              <w:left w:val="nil"/>
              <w:bottom w:val="nil"/>
              <w:right w:val="single" w:sz="4" w:space="0" w:color="000000"/>
            </w:tcBorders>
            <w:shd w:val="clear" w:color="000000" w:fill="FFFFFF"/>
            <w:hideMark/>
          </w:tcPr>
          <w:p w14:paraId="1FBA7D2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64.484.509.871,11</w:t>
            </w:r>
          </w:p>
        </w:tc>
      </w:tr>
      <w:tr w:rsidR="00FD42B1" w:rsidRPr="00103CC2" w14:paraId="5C56AF35"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DB37E08"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Intergovernamentais</w:t>
            </w:r>
          </w:p>
        </w:tc>
        <w:tc>
          <w:tcPr>
            <w:tcW w:w="300" w:type="dxa"/>
            <w:tcBorders>
              <w:top w:val="nil"/>
              <w:left w:val="nil"/>
              <w:bottom w:val="nil"/>
              <w:right w:val="single" w:sz="4" w:space="0" w:color="000000"/>
            </w:tcBorders>
            <w:shd w:val="clear" w:color="000000" w:fill="FFFFFF"/>
            <w:hideMark/>
          </w:tcPr>
          <w:p w14:paraId="59F6B466"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8738F6F"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6.108.696,74</w:t>
            </w:r>
          </w:p>
        </w:tc>
        <w:tc>
          <w:tcPr>
            <w:tcW w:w="1560" w:type="dxa"/>
            <w:tcBorders>
              <w:top w:val="nil"/>
              <w:left w:val="nil"/>
              <w:bottom w:val="nil"/>
              <w:right w:val="single" w:sz="4" w:space="0" w:color="000000"/>
            </w:tcBorders>
            <w:shd w:val="clear" w:color="000000" w:fill="FFFFFF"/>
            <w:hideMark/>
          </w:tcPr>
          <w:p w14:paraId="3452821F"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25.449.833,45</w:t>
            </w:r>
          </w:p>
        </w:tc>
      </w:tr>
      <w:tr w:rsidR="00FD42B1" w:rsidRPr="00103CC2" w14:paraId="1E85EA81"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48C7D3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das Instituições Privadas</w:t>
            </w:r>
          </w:p>
        </w:tc>
        <w:tc>
          <w:tcPr>
            <w:tcW w:w="300" w:type="dxa"/>
            <w:tcBorders>
              <w:top w:val="nil"/>
              <w:left w:val="nil"/>
              <w:bottom w:val="nil"/>
              <w:right w:val="single" w:sz="4" w:space="0" w:color="000000"/>
            </w:tcBorders>
            <w:shd w:val="clear" w:color="000000" w:fill="FFFFFF"/>
            <w:hideMark/>
          </w:tcPr>
          <w:p w14:paraId="1CAB7AB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98FCE5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269.857,20</w:t>
            </w:r>
          </w:p>
        </w:tc>
        <w:tc>
          <w:tcPr>
            <w:tcW w:w="1560" w:type="dxa"/>
            <w:tcBorders>
              <w:top w:val="nil"/>
              <w:left w:val="nil"/>
              <w:bottom w:val="nil"/>
              <w:right w:val="single" w:sz="4" w:space="0" w:color="000000"/>
            </w:tcBorders>
            <w:shd w:val="clear" w:color="000000" w:fill="FFFFFF"/>
            <w:hideMark/>
          </w:tcPr>
          <w:p w14:paraId="1CEBD638"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258.738,85</w:t>
            </w:r>
          </w:p>
        </w:tc>
      </w:tr>
      <w:tr w:rsidR="00FD42B1" w:rsidRPr="00103CC2" w14:paraId="1D454299"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2820745"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das Instituições Multigovern</w:t>
            </w:r>
            <w:r w:rsidRPr="00103CC2">
              <w:rPr>
                <w:rFonts w:ascii="Arial" w:eastAsia="Times New Roman" w:hAnsi="Arial" w:cs="Arial"/>
                <w:color w:val="000000"/>
                <w:kern w:val="0"/>
                <w:sz w:val="14"/>
                <w:szCs w:val="14"/>
                <w:lang w:eastAsia="pt-BR" w:bidi="ar-SA"/>
              </w:rPr>
              <w:t>a</w:t>
            </w:r>
            <w:r w:rsidRPr="00103CC2">
              <w:rPr>
                <w:rFonts w:ascii="Arial" w:eastAsia="Times New Roman" w:hAnsi="Arial" w:cs="Arial"/>
                <w:color w:val="000000"/>
                <w:kern w:val="0"/>
                <w:sz w:val="14"/>
                <w:szCs w:val="14"/>
                <w:lang w:eastAsia="pt-BR" w:bidi="ar-SA"/>
              </w:rPr>
              <w:t>mentais</w:t>
            </w:r>
          </w:p>
        </w:tc>
        <w:tc>
          <w:tcPr>
            <w:tcW w:w="300" w:type="dxa"/>
            <w:tcBorders>
              <w:top w:val="nil"/>
              <w:left w:val="nil"/>
              <w:bottom w:val="nil"/>
              <w:right w:val="single" w:sz="4" w:space="0" w:color="000000"/>
            </w:tcBorders>
            <w:shd w:val="clear" w:color="000000" w:fill="FFFFFF"/>
            <w:hideMark/>
          </w:tcPr>
          <w:p w14:paraId="215DA295"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032F0AB"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5D478EF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418A49AA"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518B463"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de Consórcios Públicos</w:t>
            </w:r>
          </w:p>
        </w:tc>
        <w:tc>
          <w:tcPr>
            <w:tcW w:w="300" w:type="dxa"/>
            <w:tcBorders>
              <w:top w:val="nil"/>
              <w:left w:val="nil"/>
              <w:bottom w:val="nil"/>
              <w:right w:val="single" w:sz="4" w:space="0" w:color="000000"/>
            </w:tcBorders>
            <w:shd w:val="clear" w:color="000000" w:fill="FFFFFF"/>
            <w:hideMark/>
          </w:tcPr>
          <w:p w14:paraId="1FCCF46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4C92DB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4EADF6F"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59925594"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138DC44"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do Exterior</w:t>
            </w:r>
          </w:p>
        </w:tc>
        <w:tc>
          <w:tcPr>
            <w:tcW w:w="300" w:type="dxa"/>
            <w:tcBorders>
              <w:top w:val="nil"/>
              <w:left w:val="nil"/>
              <w:bottom w:val="nil"/>
              <w:right w:val="single" w:sz="4" w:space="0" w:color="000000"/>
            </w:tcBorders>
            <w:shd w:val="clear" w:color="000000" w:fill="FFFFFF"/>
            <w:hideMark/>
          </w:tcPr>
          <w:p w14:paraId="2D6710E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600D6B8"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493A386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31F57F58"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5DE9F544"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Execução Orçamentária Delegada de Entes</w:t>
            </w:r>
          </w:p>
        </w:tc>
        <w:tc>
          <w:tcPr>
            <w:tcW w:w="300" w:type="dxa"/>
            <w:tcBorders>
              <w:top w:val="nil"/>
              <w:left w:val="nil"/>
              <w:bottom w:val="nil"/>
              <w:right w:val="single" w:sz="4" w:space="0" w:color="000000"/>
            </w:tcBorders>
            <w:shd w:val="clear" w:color="000000" w:fill="FFFFFF"/>
            <w:hideMark/>
          </w:tcPr>
          <w:p w14:paraId="73731E1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2578519"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1299D10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039D6D2B"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32231F7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de Pessoas Físicas</w:t>
            </w:r>
          </w:p>
        </w:tc>
        <w:tc>
          <w:tcPr>
            <w:tcW w:w="300" w:type="dxa"/>
            <w:tcBorders>
              <w:top w:val="nil"/>
              <w:left w:val="nil"/>
              <w:bottom w:val="nil"/>
              <w:right w:val="single" w:sz="4" w:space="0" w:color="000000"/>
            </w:tcBorders>
            <w:shd w:val="clear" w:color="000000" w:fill="FFFFFF"/>
            <w:hideMark/>
          </w:tcPr>
          <w:p w14:paraId="087B29E5"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802EDD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36C0F8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4D0376F0"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4971AF0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Outras Transferências e Delegações Recebidas</w:t>
            </w:r>
          </w:p>
        </w:tc>
        <w:tc>
          <w:tcPr>
            <w:tcW w:w="300" w:type="dxa"/>
            <w:tcBorders>
              <w:top w:val="nil"/>
              <w:left w:val="nil"/>
              <w:bottom w:val="nil"/>
              <w:right w:val="single" w:sz="4" w:space="0" w:color="000000"/>
            </w:tcBorders>
            <w:shd w:val="clear" w:color="000000" w:fill="FFFFFF"/>
            <w:hideMark/>
          </w:tcPr>
          <w:p w14:paraId="2954D0C0"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5D91F7B"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80.075.966,95</w:t>
            </w:r>
          </w:p>
        </w:tc>
        <w:tc>
          <w:tcPr>
            <w:tcW w:w="1560" w:type="dxa"/>
            <w:tcBorders>
              <w:top w:val="nil"/>
              <w:left w:val="nil"/>
              <w:bottom w:val="nil"/>
              <w:right w:val="single" w:sz="4" w:space="0" w:color="000000"/>
            </w:tcBorders>
            <w:shd w:val="clear" w:color="000000" w:fill="FFFFFF"/>
            <w:hideMark/>
          </w:tcPr>
          <w:p w14:paraId="6599815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82.295.653,08</w:t>
            </w:r>
          </w:p>
        </w:tc>
      </w:tr>
      <w:tr w:rsidR="00FD42B1" w:rsidRPr="00103CC2" w14:paraId="3AC67353"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8F6C5F5"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Valorização e Ganhos c/ Ativos e Desincorp</w:t>
            </w:r>
            <w:r w:rsidRPr="00103CC2">
              <w:rPr>
                <w:rFonts w:ascii="Arial" w:eastAsia="Times New Roman" w:hAnsi="Arial" w:cs="Arial"/>
                <w:b/>
                <w:bCs/>
                <w:color w:val="000000"/>
                <w:kern w:val="0"/>
                <w:sz w:val="14"/>
                <w:szCs w:val="14"/>
                <w:lang w:eastAsia="pt-BR" w:bidi="ar-SA"/>
              </w:rPr>
              <w:t>o</w:t>
            </w:r>
            <w:r w:rsidRPr="00103CC2">
              <w:rPr>
                <w:rFonts w:ascii="Arial" w:eastAsia="Times New Roman" w:hAnsi="Arial" w:cs="Arial"/>
                <w:b/>
                <w:bCs/>
                <w:color w:val="000000"/>
                <w:kern w:val="0"/>
                <w:sz w:val="14"/>
                <w:szCs w:val="14"/>
                <w:lang w:eastAsia="pt-BR" w:bidi="ar-SA"/>
              </w:rPr>
              <w:t>ração de Passivos</w:t>
            </w:r>
          </w:p>
        </w:tc>
        <w:tc>
          <w:tcPr>
            <w:tcW w:w="300" w:type="dxa"/>
            <w:tcBorders>
              <w:top w:val="nil"/>
              <w:left w:val="nil"/>
              <w:bottom w:val="nil"/>
              <w:right w:val="single" w:sz="4" w:space="0" w:color="000000"/>
            </w:tcBorders>
            <w:shd w:val="clear" w:color="000000" w:fill="FFFFFF"/>
            <w:hideMark/>
          </w:tcPr>
          <w:p w14:paraId="4E1509A4"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08</w:t>
            </w:r>
          </w:p>
        </w:tc>
        <w:tc>
          <w:tcPr>
            <w:tcW w:w="1480" w:type="dxa"/>
            <w:tcBorders>
              <w:top w:val="nil"/>
              <w:left w:val="nil"/>
              <w:bottom w:val="nil"/>
              <w:right w:val="single" w:sz="4" w:space="0" w:color="000000"/>
            </w:tcBorders>
            <w:shd w:val="clear" w:color="000000" w:fill="FFFFFF"/>
            <w:hideMark/>
          </w:tcPr>
          <w:p w14:paraId="181FB6EA"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1.473.562.989,86</w:t>
            </w:r>
          </w:p>
        </w:tc>
        <w:tc>
          <w:tcPr>
            <w:tcW w:w="1560" w:type="dxa"/>
            <w:tcBorders>
              <w:top w:val="nil"/>
              <w:left w:val="nil"/>
              <w:bottom w:val="nil"/>
              <w:right w:val="single" w:sz="4" w:space="0" w:color="000000"/>
            </w:tcBorders>
            <w:shd w:val="clear" w:color="000000" w:fill="FFFFFF"/>
            <w:hideMark/>
          </w:tcPr>
          <w:p w14:paraId="13B8FCC9"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13.227.321.412,66</w:t>
            </w:r>
          </w:p>
        </w:tc>
      </w:tr>
      <w:tr w:rsidR="00FD42B1" w:rsidRPr="00103CC2" w14:paraId="0CC55C93"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A431BD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Reavaliação de Ativos</w:t>
            </w:r>
          </w:p>
        </w:tc>
        <w:tc>
          <w:tcPr>
            <w:tcW w:w="300" w:type="dxa"/>
            <w:tcBorders>
              <w:top w:val="nil"/>
              <w:left w:val="nil"/>
              <w:bottom w:val="nil"/>
              <w:right w:val="single" w:sz="4" w:space="0" w:color="000000"/>
            </w:tcBorders>
            <w:shd w:val="clear" w:color="000000" w:fill="FFFFFF"/>
            <w:hideMark/>
          </w:tcPr>
          <w:p w14:paraId="2B907F32"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16C647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46.862.253,13</w:t>
            </w:r>
          </w:p>
        </w:tc>
        <w:tc>
          <w:tcPr>
            <w:tcW w:w="1560" w:type="dxa"/>
            <w:tcBorders>
              <w:top w:val="nil"/>
              <w:left w:val="nil"/>
              <w:bottom w:val="nil"/>
              <w:right w:val="single" w:sz="4" w:space="0" w:color="000000"/>
            </w:tcBorders>
            <w:shd w:val="clear" w:color="000000" w:fill="FFFFFF"/>
            <w:hideMark/>
          </w:tcPr>
          <w:p w14:paraId="16566DF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397.887.098,71</w:t>
            </w:r>
          </w:p>
        </w:tc>
      </w:tr>
      <w:tr w:rsidR="00FD42B1" w:rsidRPr="00103CC2" w14:paraId="39E02194"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A7D1D97"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Ganhos com Alienação</w:t>
            </w:r>
          </w:p>
        </w:tc>
        <w:tc>
          <w:tcPr>
            <w:tcW w:w="300" w:type="dxa"/>
            <w:tcBorders>
              <w:top w:val="nil"/>
              <w:left w:val="nil"/>
              <w:bottom w:val="nil"/>
              <w:right w:val="single" w:sz="4" w:space="0" w:color="000000"/>
            </w:tcBorders>
            <w:shd w:val="clear" w:color="000000" w:fill="FFFFFF"/>
            <w:hideMark/>
          </w:tcPr>
          <w:p w14:paraId="7CE4E77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48FE61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437.051,30</w:t>
            </w:r>
          </w:p>
        </w:tc>
        <w:tc>
          <w:tcPr>
            <w:tcW w:w="1560" w:type="dxa"/>
            <w:tcBorders>
              <w:top w:val="nil"/>
              <w:left w:val="nil"/>
              <w:bottom w:val="nil"/>
              <w:right w:val="single" w:sz="4" w:space="0" w:color="000000"/>
            </w:tcBorders>
            <w:shd w:val="clear" w:color="000000" w:fill="FFFFFF"/>
            <w:hideMark/>
          </w:tcPr>
          <w:p w14:paraId="4F7AECE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1.964.604,75</w:t>
            </w:r>
          </w:p>
        </w:tc>
      </w:tr>
      <w:tr w:rsidR="00FD42B1" w:rsidRPr="00103CC2" w14:paraId="6EBEE0B9"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67510A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Ganhos com Incorporação de Ativos</w:t>
            </w:r>
          </w:p>
        </w:tc>
        <w:tc>
          <w:tcPr>
            <w:tcW w:w="300" w:type="dxa"/>
            <w:tcBorders>
              <w:top w:val="nil"/>
              <w:left w:val="nil"/>
              <w:bottom w:val="nil"/>
              <w:right w:val="single" w:sz="4" w:space="0" w:color="000000"/>
            </w:tcBorders>
            <w:shd w:val="clear" w:color="000000" w:fill="FFFFFF"/>
            <w:hideMark/>
          </w:tcPr>
          <w:p w14:paraId="340D4B2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D0931F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1.352.637.456,48</w:t>
            </w:r>
          </w:p>
        </w:tc>
        <w:tc>
          <w:tcPr>
            <w:tcW w:w="1560" w:type="dxa"/>
            <w:tcBorders>
              <w:top w:val="nil"/>
              <w:left w:val="nil"/>
              <w:bottom w:val="nil"/>
              <w:right w:val="single" w:sz="4" w:space="0" w:color="000000"/>
            </w:tcBorders>
            <w:shd w:val="clear" w:color="000000" w:fill="FFFFFF"/>
            <w:hideMark/>
          </w:tcPr>
          <w:p w14:paraId="64CEDB4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8.798.013.028,18</w:t>
            </w:r>
          </w:p>
        </w:tc>
      </w:tr>
      <w:tr w:rsidR="00FD42B1" w:rsidRPr="00103CC2" w14:paraId="2F8E378D"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BC0004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Ganhos com Desincorporação de Passivos</w:t>
            </w:r>
          </w:p>
        </w:tc>
        <w:tc>
          <w:tcPr>
            <w:tcW w:w="300" w:type="dxa"/>
            <w:tcBorders>
              <w:top w:val="nil"/>
              <w:left w:val="nil"/>
              <w:bottom w:val="nil"/>
              <w:right w:val="single" w:sz="4" w:space="0" w:color="000000"/>
            </w:tcBorders>
            <w:shd w:val="clear" w:color="000000" w:fill="FFFFFF"/>
            <w:hideMark/>
          </w:tcPr>
          <w:p w14:paraId="7FD8AE23"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69D73F2"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73.626.228,95</w:t>
            </w:r>
          </w:p>
        </w:tc>
        <w:tc>
          <w:tcPr>
            <w:tcW w:w="1560" w:type="dxa"/>
            <w:tcBorders>
              <w:top w:val="nil"/>
              <w:left w:val="nil"/>
              <w:bottom w:val="nil"/>
              <w:right w:val="single" w:sz="4" w:space="0" w:color="000000"/>
            </w:tcBorders>
            <w:shd w:val="clear" w:color="000000" w:fill="FFFFFF"/>
            <w:hideMark/>
          </w:tcPr>
          <w:p w14:paraId="5175CEE0"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4.029.456.681,02</w:t>
            </w:r>
          </w:p>
        </w:tc>
      </w:tr>
      <w:tr w:rsidR="00FD42B1" w:rsidRPr="00103CC2" w14:paraId="2ACD01F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DF5DD55"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Reversão de Redução ao Valor Recuperável</w:t>
            </w:r>
          </w:p>
        </w:tc>
        <w:tc>
          <w:tcPr>
            <w:tcW w:w="300" w:type="dxa"/>
            <w:tcBorders>
              <w:top w:val="nil"/>
              <w:left w:val="nil"/>
              <w:bottom w:val="nil"/>
              <w:right w:val="single" w:sz="4" w:space="0" w:color="000000"/>
            </w:tcBorders>
            <w:shd w:val="clear" w:color="000000" w:fill="FFFFFF"/>
            <w:hideMark/>
          </w:tcPr>
          <w:p w14:paraId="5C39002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1C80F8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43082700"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2EAB65A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5D242B2"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Outras Variações Patrimoniais Aumentativas</w:t>
            </w:r>
          </w:p>
        </w:tc>
        <w:tc>
          <w:tcPr>
            <w:tcW w:w="300" w:type="dxa"/>
            <w:tcBorders>
              <w:top w:val="nil"/>
              <w:left w:val="nil"/>
              <w:bottom w:val="nil"/>
              <w:right w:val="single" w:sz="4" w:space="0" w:color="000000"/>
            </w:tcBorders>
            <w:shd w:val="clear" w:color="000000" w:fill="FFFFFF"/>
            <w:hideMark/>
          </w:tcPr>
          <w:p w14:paraId="3E555CD6"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09</w:t>
            </w:r>
          </w:p>
        </w:tc>
        <w:tc>
          <w:tcPr>
            <w:tcW w:w="1480" w:type="dxa"/>
            <w:tcBorders>
              <w:top w:val="nil"/>
              <w:left w:val="nil"/>
              <w:bottom w:val="nil"/>
              <w:right w:val="single" w:sz="4" w:space="0" w:color="000000"/>
            </w:tcBorders>
            <w:shd w:val="clear" w:color="000000" w:fill="FFFFFF"/>
            <w:hideMark/>
          </w:tcPr>
          <w:p w14:paraId="6BD76418"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4.401.344.735,67</w:t>
            </w:r>
          </w:p>
        </w:tc>
        <w:tc>
          <w:tcPr>
            <w:tcW w:w="1560" w:type="dxa"/>
            <w:tcBorders>
              <w:top w:val="nil"/>
              <w:left w:val="nil"/>
              <w:bottom w:val="nil"/>
              <w:right w:val="single" w:sz="4" w:space="0" w:color="000000"/>
            </w:tcBorders>
            <w:shd w:val="clear" w:color="000000" w:fill="FFFFFF"/>
            <w:hideMark/>
          </w:tcPr>
          <w:p w14:paraId="4127CB34"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2.112.270.057,14</w:t>
            </w:r>
          </w:p>
        </w:tc>
      </w:tr>
      <w:tr w:rsidR="00FD42B1" w:rsidRPr="00103CC2" w14:paraId="0FE94FF1"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0688B3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Variação Patrimonial Aumentativa a Classificar</w:t>
            </w:r>
          </w:p>
        </w:tc>
        <w:tc>
          <w:tcPr>
            <w:tcW w:w="300" w:type="dxa"/>
            <w:tcBorders>
              <w:top w:val="nil"/>
              <w:left w:val="nil"/>
              <w:bottom w:val="nil"/>
              <w:right w:val="single" w:sz="4" w:space="0" w:color="000000"/>
            </w:tcBorders>
            <w:shd w:val="clear" w:color="000000" w:fill="FFFFFF"/>
            <w:hideMark/>
          </w:tcPr>
          <w:p w14:paraId="45B2AAD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2516B86"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3896E559"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27CF1E42"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4AC8468"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Resultado Positivo de Participações</w:t>
            </w:r>
          </w:p>
        </w:tc>
        <w:tc>
          <w:tcPr>
            <w:tcW w:w="300" w:type="dxa"/>
            <w:tcBorders>
              <w:top w:val="nil"/>
              <w:left w:val="nil"/>
              <w:bottom w:val="nil"/>
              <w:right w:val="single" w:sz="4" w:space="0" w:color="000000"/>
            </w:tcBorders>
            <w:shd w:val="clear" w:color="000000" w:fill="FFFFFF"/>
            <w:hideMark/>
          </w:tcPr>
          <w:p w14:paraId="6960319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A5A72D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383.479,15</w:t>
            </w:r>
          </w:p>
        </w:tc>
        <w:tc>
          <w:tcPr>
            <w:tcW w:w="1560" w:type="dxa"/>
            <w:tcBorders>
              <w:top w:val="nil"/>
              <w:left w:val="nil"/>
              <w:bottom w:val="nil"/>
              <w:right w:val="single" w:sz="4" w:space="0" w:color="000000"/>
            </w:tcBorders>
            <w:shd w:val="clear" w:color="000000" w:fill="FFFFFF"/>
            <w:hideMark/>
          </w:tcPr>
          <w:p w14:paraId="6AF3D8C0"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289.657,93</w:t>
            </w:r>
          </w:p>
        </w:tc>
      </w:tr>
      <w:tr w:rsidR="00FD42B1" w:rsidRPr="00103CC2" w14:paraId="5896F278"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4FC8A204"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Operações da Autoridade Monetária</w:t>
            </w:r>
          </w:p>
        </w:tc>
        <w:tc>
          <w:tcPr>
            <w:tcW w:w="300" w:type="dxa"/>
            <w:tcBorders>
              <w:top w:val="nil"/>
              <w:left w:val="nil"/>
              <w:bottom w:val="nil"/>
              <w:right w:val="single" w:sz="4" w:space="0" w:color="000000"/>
            </w:tcBorders>
            <w:shd w:val="clear" w:color="000000" w:fill="FFFFFF"/>
            <w:hideMark/>
          </w:tcPr>
          <w:p w14:paraId="5EFC5DB3"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2A38B99"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72F31D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577A3E51"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31E0D3B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Reversão de Provisões e Ajustes para Perdas</w:t>
            </w:r>
          </w:p>
        </w:tc>
        <w:tc>
          <w:tcPr>
            <w:tcW w:w="300" w:type="dxa"/>
            <w:tcBorders>
              <w:top w:val="nil"/>
              <w:left w:val="nil"/>
              <w:bottom w:val="nil"/>
              <w:right w:val="single" w:sz="4" w:space="0" w:color="000000"/>
            </w:tcBorders>
            <w:shd w:val="clear" w:color="000000" w:fill="FFFFFF"/>
            <w:hideMark/>
          </w:tcPr>
          <w:p w14:paraId="1927D3F4"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7FAE666"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3.834.830.556,85</w:t>
            </w:r>
          </w:p>
        </w:tc>
        <w:tc>
          <w:tcPr>
            <w:tcW w:w="1560" w:type="dxa"/>
            <w:tcBorders>
              <w:top w:val="nil"/>
              <w:left w:val="nil"/>
              <w:bottom w:val="nil"/>
              <w:right w:val="single" w:sz="4" w:space="0" w:color="000000"/>
            </w:tcBorders>
            <w:shd w:val="clear" w:color="000000" w:fill="FFFFFF"/>
            <w:hideMark/>
          </w:tcPr>
          <w:p w14:paraId="5F6597B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1.439.139.161,72</w:t>
            </w:r>
          </w:p>
        </w:tc>
      </w:tr>
      <w:tr w:rsidR="00FD42B1" w:rsidRPr="00103CC2" w14:paraId="74382AB5"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7B5866A"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Diversas Variações Patrimoniais Aumentativas</w:t>
            </w:r>
          </w:p>
        </w:tc>
        <w:tc>
          <w:tcPr>
            <w:tcW w:w="300" w:type="dxa"/>
            <w:tcBorders>
              <w:top w:val="nil"/>
              <w:left w:val="nil"/>
              <w:bottom w:val="nil"/>
              <w:right w:val="single" w:sz="4" w:space="0" w:color="000000"/>
            </w:tcBorders>
            <w:shd w:val="clear" w:color="000000" w:fill="FFFFFF"/>
            <w:hideMark/>
          </w:tcPr>
          <w:p w14:paraId="59F253F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08B30A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566.130.699,67</w:t>
            </w:r>
          </w:p>
        </w:tc>
        <w:tc>
          <w:tcPr>
            <w:tcW w:w="1560" w:type="dxa"/>
            <w:tcBorders>
              <w:top w:val="nil"/>
              <w:left w:val="nil"/>
              <w:bottom w:val="nil"/>
              <w:right w:val="single" w:sz="4" w:space="0" w:color="000000"/>
            </w:tcBorders>
            <w:shd w:val="clear" w:color="000000" w:fill="FFFFFF"/>
            <w:hideMark/>
          </w:tcPr>
          <w:p w14:paraId="36D71472"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672.841.237,49</w:t>
            </w:r>
          </w:p>
        </w:tc>
      </w:tr>
      <w:tr w:rsidR="00FD42B1" w:rsidRPr="00103CC2" w14:paraId="54B11896"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9CB6508"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300" w:type="dxa"/>
            <w:tcBorders>
              <w:top w:val="nil"/>
              <w:left w:val="nil"/>
              <w:bottom w:val="nil"/>
              <w:right w:val="single" w:sz="4" w:space="0" w:color="000000"/>
            </w:tcBorders>
            <w:shd w:val="clear" w:color="000000" w:fill="FFFFFF"/>
            <w:hideMark/>
          </w:tcPr>
          <w:p w14:paraId="7AEFA05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5E84CC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560" w:type="dxa"/>
            <w:tcBorders>
              <w:top w:val="nil"/>
              <w:left w:val="nil"/>
              <w:bottom w:val="nil"/>
              <w:right w:val="single" w:sz="4" w:space="0" w:color="000000"/>
            </w:tcBorders>
            <w:shd w:val="clear" w:color="000000" w:fill="FFFFFF"/>
            <w:hideMark/>
          </w:tcPr>
          <w:p w14:paraId="4BD565D9"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r>
      <w:tr w:rsidR="00FD42B1" w:rsidRPr="00103CC2" w14:paraId="473AE11B"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9091BC5"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VARIAÇÕES PATRIMONIAIS DIMINUTIVAS</w:t>
            </w:r>
          </w:p>
        </w:tc>
        <w:tc>
          <w:tcPr>
            <w:tcW w:w="300" w:type="dxa"/>
            <w:tcBorders>
              <w:top w:val="nil"/>
              <w:left w:val="nil"/>
              <w:bottom w:val="nil"/>
              <w:right w:val="single" w:sz="4" w:space="0" w:color="000000"/>
            </w:tcBorders>
            <w:shd w:val="clear" w:color="000000" w:fill="FFFFFF"/>
            <w:hideMark/>
          </w:tcPr>
          <w:p w14:paraId="5D7B0FE8"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51E3216"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61.935.961.360,02</w:t>
            </w:r>
          </w:p>
        </w:tc>
        <w:tc>
          <w:tcPr>
            <w:tcW w:w="1560" w:type="dxa"/>
            <w:tcBorders>
              <w:top w:val="nil"/>
              <w:left w:val="nil"/>
              <w:bottom w:val="nil"/>
              <w:right w:val="single" w:sz="4" w:space="0" w:color="000000"/>
            </w:tcBorders>
            <w:shd w:val="clear" w:color="000000" w:fill="FFFFFF"/>
            <w:hideMark/>
          </w:tcPr>
          <w:p w14:paraId="02746B09"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77.971.274.669,92</w:t>
            </w:r>
          </w:p>
        </w:tc>
      </w:tr>
      <w:tr w:rsidR="00FD42B1" w:rsidRPr="00103CC2" w14:paraId="1AA58A5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38DAA26D"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Pessoal e Encargos</w:t>
            </w:r>
          </w:p>
        </w:tc>
        <w:tc>
          <w:tcPr>
            <w:tcW w:w="300" w:type="dxa"/>
            <w:tcBorders>
              <w:top w:val="nil"/>
              <w:left w:val="nil"/>
              <w:bottom w:val="nil"/>
              <w:right w:val="single" w:sz="4" w:space="0" w:color="000000"/>
            </w:tcBorders>
            <w:shd w:val="clear" w:color="000000" w:fill="FFFFFF"/>
            <w:hideMark/>
          </w:tcPr>
          <w:p w14:paraId="3696035E"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40C09D6"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1.759.015.341,55</w:t>
            </w:r>
          </w:p>
        </w:tc>
        <w:tc>
          <w:tcPr>
            <w:tcW w:w="1560" w:type="dxa"/>
            <w:tcBorders>
              <w:top w:val="nil"/>
              <w:left w:val="nil"/>
              <w:bottom w:val="nil"/>
              <w:right w:val="single" w:sz="4" w:space="0" w:color="000000"/>
            </w:tcBorders>
            <w:shd w:val="clear" w:color="000000" w:fill="FFFFFF"/>
            <w:hideMark/>
          </w:tcPr>
          <w:p w14:paraId="4CE224AB"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1.934.128.679,59</w:t>
            </w:r>
          </w:p>
        </w:tc>
      </w:tr>
      <w:tr w:rsidR="00FD42B1" w:rsidRPr="00103CC2" w14:paraId="7CE87E3C"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5BB9EE3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Remuneração a Pessoal</w:t>
            </w:r>
          </w:p>
        </w:tc>
        <w:tc>
          <w:tcPr>
            <w:tcW w:w="300" w:type="dxa"/>
            <w:tcBorders>
              <w:top w:val="nil"/>
              <w:left w:val="nil"/>
              <w:bottom w:val="nil"/>
              <w:right w:val="single" w:sz="4" w:space="0" w:color="000000"/>
            </w:tcBorders>
            <w:shd w:val="clear" w:color="000000" w:fill="FFFFFF"/>
            <w:hideMark/>
          </w:tcPr>
          <w:p w14:paraId="06F5C646"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DC427A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1.406.921.183,83</w:t>
            </w:r>
          </w:p>
        </w:tc>
        <w:tc>
          <w:tcPr>
            <w:tcW w:w="1560" w:type="dxa"/>
            <w:tcBorders>
              <w:top w:val="nil"/>
              <w:left w:val="nil"/>
              <w:bottom w:val="nil"/>
              <w:right w:val="single" w:sz="4" w:space="0" w:color="000000"/>
            </w:tcBorders>
            <w:shd w:val="clear" w:color="000000" w:fill="FFFFFF"/>
            <w:hideMark/>
          </w:tcPr>
          <w:p w14:paraId="0932CCD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1.528.445.115,68</w:t>
            </w:r>
          </w:p>
        </w:tc>
      </w:tr>
      <w:tr w:rsidR="00FD42B1" w:rsidRPr="00103CC2" w14:paraId="2C4FF07B"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E3FBDDA"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Encargos Patronais</w:t>
            </w:r>
          </w:p>
        </w:tc>
        <w:tc>
          <w:tcPr>
            <w:tcW w:w="300" w:type="dxa"/>
            <w:tcBorders>
              <w:top w:val="nil"/>
              <w:left w:val="nil"/>
              <w:bottom w:val="nil"/>
              <w:right w:val="single" w:sz="4" w:space="0" w:color="000000"/>
            </w:tcBorders>
            <w:shd w:val="clear" w:color="000000" w:fill="FFFFFF"/>
            <w:hideMark/>
          </w:tcPr>
          <w:p w14:paraId="6E63505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30E65C8"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291.255.635,33</w:t>
            </w:r>
          </w:p>
        </w:tc>
        <w:tc>
          <w:tcPr>
            <w:tcW w:w="1560" w:type="dxa"/>
            <w:tcBorders>
              <w:top w:val="nil"/>
              <w:left w:val="nil"/>
              <w:bottom w:val="nil"/>
              <w:right w:val="single" w:sz="4" w:space="0" w:color="000000"/>
            </w:tcBorders>
            <w:shd w:val="clear" w:color="000000" w:fill="FFFFFF"/>
            <w:hideMark/>
          </w:tcPr>
          <w:p w14:paraId="0A63A8D0"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306.046.631,99</w:t>
            </w:r>
          </w:p>
        </w:tc>
      </w:tr>
      <w:tr w:rsidR="00FD42B1" w:rsidRPr="00103CC2" w14:paraId="4626DF37"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1C96C03"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Benefícios a Pessoal</w:t>
            </w:r>
          </w:p>
        </w:tc>
        <w:tc>
          <w:tcPr>
            <w:tcW w:w="300" w:type="dxa"/>
            <w:tcBorders>
              <w:top w:val="nil"/>
              <w:left w:val="nil"/>
              <w:bottom w:val="nil"/>
              <w:right w:val="single" w:sz="4" w:space="0" w:color="000000"/>
            </w:tcBorders>
            <w:shd w:val="clear" w:color="000000" w:fill="FFFFFF"/>
            <w:hideMark/>
          </w:tcPr>
          <w:p w14:paraId="774173F2"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50A0859"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23.144.604,76</w:t>
            </w:r>
          </w:p>
        </w:tc>
        <w:tc>
          <w:tcPr>
            <w:tcW w:w="1560" w:type="dxa"/>
            <w:tcBorders>
              <w:top w:val="nil"/>
              <w:left w:val="nil"/>
              <w:bottom w:val="nil"/>
              <w:right w:val="single" w:sz="4" w:space="0" w:color="000000"/>
            </w:tcBorders>
            <w:shd w:val="clear" w:color="000000" w:fill="FFFFFF"/>
            <w:hideMark/>
          </w:tcPr>
          <w:p w14:paraId="0CEEF482"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53.249.032,02</w:t>
            </w:r>
          </w:p>
        </w:tc>
      </w:tr>
      <w:tr w:rsidR="00FD42B1" w:rsidRPr="00103CC2" w14:paraId="7716DB05"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5C4E1F77"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Outras Var. Patrimoniais Diminutivas - Pessoal e Encargos</w:t>
            </w:r>
          </w:p>
        </w:tc>
        <w:tc>
          <w:tcPr>
            <w:tcW w:w="300" w:type="dxa"/>
            <w:tcBorders>
              <w:top w:val="nil"/>
              <w:left w:val="nil"/>
              <w:bottom w:val="nil"/>
              <w:right w:val="single" w:sz="4" w:space="0" w:color="000000"/>
            </w:tcBorders>
            <w:shd w:val="clear" w:color="000000" w:fill="FFFFFF"/>
            <w:hideMark/>
          </w:tcPr>
          <w:p w14:paraId="3C19F3F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AB04AFA"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37.693.917,63</w:t>
            </w:r>
          </w:p>
        </w:tc>
        <w:tc>
          <w:tcPr>
            <w:tcW w:w="1560" w:type="dxa"/>
            <w:tcBorders>
              <w:top w:val="nil"/>
              <w:left w:val="nil"/>
              <w:bottom w:val="nil"/>
              <w:right w:val="single" w:sz="4" w:space="0" w:color="000000"/>
            </w:tcBorders>
            <w:shd w:val="clear" w:color="000000" w:fill="FFFFFF"/>
            <w:hideMark/>
          </w:tcPr>
          <w:p w14:paraId="68393E4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46.387.899,90</w:t>
            </w:r>
          </w:p>
        </w:tc>
      </w:tr>
      <w:tr w:rsidR="00FD42B1" w:rsidRPr="00103CC2" w14:paraId="55EFA2B0"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42DD359E"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Benefícios Previdenciários e Assistenciais</w:t>
            </w:r>
          </w:p>
        </w:tc>
        <w:tc>
          <w:tcPr>
            <w:tcW w:w="300" w:type="dxa"/>
            <w:tcBorders>
              <w:top w:val="nil"/>
              <w:left w:val="nil"/>
              <w:bottom w:val="nil"/>
              <w:right w:val="single" w:sz="4" w:space="0" w:color="000000"/>
            </w:tcBorders>
            <w:shd w:val="clear" w:color="000000" w:fill="FFFFFF"/>
            <w:hideMark/>
          </w:tcPr>
          <w:p w14:paraId="3B5ED055"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F6B0FDD"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636.373.051,73</w:t>
            </w:r>
          </w:p>
        </w:tc>
        <w:tc>
          <w:tcPr>
            <w:tcW w:w="1560" w:type="dxa"/>
            <w:tcBorders>
              <w:top w:val="nil"/>
              <w:left w:val="nil"/>
              <w:bottom w:val="nil"/>
              <w:right w:val="single" w:sz="4" w:space="0" w:color="000000"/>
            </w:tcBorders>
            <w:shd w:val="clear" w:color="000000" w:fill="FFFFFF"/>
            <w:hideMark/>
          </w:tcPr>
          <w:p w14:paraId="094C79F7"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592.934.176,10</w:t>
            </w:r>
          </w:p>
        </w:tc>
      </w:tr>
      <w:tr w:rsidR="00FD42B1" w:rsidRPr="00103CC2" w14:paraId="05001CF5"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5412F5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Aposentadorias e Reformas</w:t>
            </w:r>
          </w:p>
        </w:tc>
        <w:tc>
          <w:tcPr>
            <w:tcW w:w="300" w:type="dxa"/>
            <w:tcBorders>
              <w:top w:val="nil"/>
              <w:left w:val="nil"/>
              <w:bottom w:val="nil"/>
              <w:right w:val="single" w:sz="4" w:space="0" w:color="000000"/>
            </w:tcBorders>
            <w:shd w:val="clear" w:color="000000" w:fill="FFFFFF"/>
            <w:hideMark/>
          </w:tcPr>
          <w:p w14:paraId="10C25B60"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B3836E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301.950.033,54</w:t>
            </w:r>
          </w:p>
        </w:tc>
        <w:tc>
          <w:tcPr>
            <w:tcW w:w="1560" w:type="dxa"/>
            <w:tcBorders>
              <w:top w:val="nil"/>
              <w:left w:val="nil"/>
              <w:bottom w:val="nil"/>
              <w:right w:val="single" w:sz="4" w:space="0" w:color="000000"/>
            </w:tcBorders>
            <w:shd w:val="clear" w:color="000000" w:fill="FFFFFF"/>
            <w:hideMark/>
          </w:tcPr>
          <w:p w14:paraId="069E611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290.640.430,80</w:t>
            </w:r>
          </w:p>
        </w:tc>
      </w:tr>
      <w:tr w:rsidR="00FD42B1" w:rsidRPr="00103CC2" w14:paraId="3AAC7DB0"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06395C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Pensões</w:t>
            </w:r>
          </w:p>
        </w:tc>
        <w:tc>
          <w:tcPr>
            <w:tcW w:w="300" w:type="dxa"/>
            <w:tcBorders>
              <w:top w:val="nil"/>
              <w:left w:val="nil"/>
              <w:bottom w:val="nil"/>
              <w:right w:val="single" w:sz="4" w:space="0" w:color="000000"/>
            </w:tcBorders>
            <w:shd w:val="clear" w:color="000000" w:fill="FFFFFF"/>
            <w:hideMark/>
          </w:tcPr>
          <w:p w14:paraId="3776DF85"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669C98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304.356.793,90</w:t>
            </w:r>
          </w:p>
        </w:tc>
        <w:tc>
          <w:tcPr>
            <w:tcW w:w="1560" w:type="dxa"/>
            <w:tcBorders>
              <w:top w:val="nil"/>
              <w:left w:val="nil"/>
              <w:bottom w:val="nil"/>
              <w:right w:val="single" w:sz="4" w:space="0" w:color="000000"/>
            </w:tcBorders>
            <w:shd w:val="clear" w:color="000000" w:fill="FFFFFF"/>
            <w:hideMark/>
          </w:tcPr>
          <w:p w14:paraId="0364520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298.726.191,44</w:t>
            </w:r>
          </w:p>
        </w:tc>
      </w:tr>
      <w:tr w:rsidR="00FD42B1" w:rsidRPr="00103CC2" w14:paraId="6EF65360"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65E8EE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Benefícios de Prestação Continuada</w:t>
            </w:r>
          </w:p>
        </w:tc>
        <w:tc>
          <w:tcPr>
            <w:tcW w:w="300" w:type="dxa"/>
            <w:tcBorders>
              <w:top w:val="nil"/>
              <w:left w:val="nil"/>
              <w:bottom w:val="nil"/>
              <w:right w:val="single" w:sz="4" w:space="0" w:color="000000"/>
            </w:tcBorders>
            <w:shd w:val="clear" w:color="000000" w:fill="FFFFFF"/>
            <w:hideMark/>
          </w:tcPr>
          <w:p w14:paraId="749DC03C"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2E4A918"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7937DBC0"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3E1796A3"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AE9892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Benefícios Eventuais</w:t>
            </w:r>
          </w:p>
        </w:tc>
        <w:tc>
          <w:tcPr>
            <w:tcW w:w="300" w:type="dxa"/>
            <w:tcBorders>
              <w:top w:val="nil"/>
              <w:left w:val="nil"/>
              <w:bottom w:val="nil"/>
              <w:right w:val="single" w:sz="4" w:space="0" w:color="000000"/>
            </w:tcBorders>
            <w:shd w:val="clear" w:color="000000" w:fill="FFFFFF"/>
            <w:hideMark/>
          </w:tcPr>
          <w:p w14:paraId="6C407490"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FC4A3D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35CE156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4698A085"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9FAC7FA"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Políticas Públicas de Transferência de Renda</w:t>
            </w:r>
          </w:p>
        </w:tc>
        <w:tc>
          <w:tcPr>
            <w:tcW w:w="300" w:type="dxa"/>
            <w:tcBorders>
              <w:top w:val="nil"/>
              <w:left w:val="nil"/>
              <w:bottom w:val="nil"/>
              <w:right w:val="single" w:sz="4" w:space="0" w:color="000000"/>
            </w:tcBorders>
            <w:shd w:val="clear" w:color="000000" w:fill="FFFFFF"/>
            <w:hideMark/>
          </w:tcPr>
          <w:p w14:paraId="14D696B8"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760BC9B"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5303CC9"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6927030D"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852DC5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Outros Benefícios Previdenciários e Assiste</w:t>
            </w:r>
            <w:r w:rsidRPr="00103CC2">
              <w:rPr>
                <w:rFonts w:ascii="Arial" w:eastAsia="Times New Roman" w:hAnsi="Arial" w:cs="Arial"/>
                <w:color w:val="000000"/>
                <w:kern w:val="0"/>
                <w:sz w:val="14"/>
                <w:szCs w:val="14"/>
                <w:lang w:eastAsia="pt-BR" w:bidi="ar-SA"/>
              </w:rPr>
              <w:t>n</w:t>
            </w:r>
            <w:r w:rsidRPr="00103CC2">
              <w:rPr>
                <w:rFonts w:ascii="Arial" w:eastAsia="Times New Roman" w:hAnsi="Arial" w:cs="Arial"/>
                <w:color w:val="000000"/>
                <w:kern w:val="0"/>
                <w:sz w:val="14"/>
                <w:szCs w:val="14"/>
                <w:lang w:eastAsia="pt-BR" w:bidi="ar-SA"/>
              </w:rPr>
              <w:t>ciais</w:t>
            </w:r>
          </w:p>
        </w:tc>
        <w:tc>
          <w:tcPr>
            <w:tcW w:w="300" w:type="dxa"/>
            <w:tcBorders>
              <w:top w:val="nil"/>
              <w:left w:val="nil"/>
              <w:bottom w:val="nil"/>
              <w:right w:val="single" w:sz="4" w:space="0" w:color="000000"/>
            </w:tcBorders>
            <w:shd w:val="clear" w:color="000000" w:fill="FFFFFF"/>
            <w:hideMark/>
          </w:tcPr>
          <w:p w14:paraId="4DDAECA3"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2B5018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30.066.224,29</w:t>
            </w:r>
          </w:p>
        </w:tc>
        <w:tc>
          <w:tcPr>
            <w:tcW w:w="1560" w:type="dxa"/>
            <w:tcBorders>
              <w:top w:val="nil"/>
              <w:left w:val="nil"/>
              <w:bottom w:val="nil"/>
              <w:right w:val="single" w:sz="4" w:space="0" w:color="000000"/>
            </w:tcBorders>
            <w:shd w:val="clear" w:color="000000" w:fill="FFFFFF"/>
            <w:hideMark/>
          </w:tcPr>
          <w:p w14:paraId="55098458"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3.567.553,86</w:t>
            </w:r>
          </w:p>
        </w:tc>
      </w:tr>
      <w:tr w:rsidR="00FD42B1" w:rsidRPr="00103CC2" w14:paraId="36813D18"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8ACF6D2"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Uso de Bens, Serviços e Consumo de Capital Fixo</w:t>
            </w:r>
          </w:p>
        </w:tc>
        <w:tc>
          <w:tcPr>
            <w:tcW w:w="300" w:type="dxa"/>
            <w:tcBorders>
              <w:top w:val="nil"/>
              <w:left w:val="nil"/>
              <w:bottom w:val="nil"/>
              <w:right w:val="single" w:sz="4" w:space="0" w:color="000000"/>
            </w:tcBorders>
            <w:shd w:val="clear" w:color="000000" w:fill="FFFFFF"/>
            <w:hideMark/>
          </w:tcPr>
          <w:p w14:paraId="3E859BBF"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6B4D6D7"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1.041.829.006,61</w:t>
            </w:r>
          </w:p>
        </w:tc>
        <w:tc>
          <w:tcPr>
            <w:tcW w:w="1560" w:type="dxa"/>
            <w:tcBorders>
              <w:top w:val="nil"/>
              <w:left w:val="nil"/>
              <w:bottom w:val="nil"/>
              <w:right w:val="single" w:sz="4" w:space="0" w:color="000000"/>
            </w:tcBorders>
            <w:shd w:val="clear" w:color="000000" w:fill="FFFFFF"/>
            <w:hideMark/>
          </w:tcPr>
          <w:p w14:paraId="02A2B187"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1.254.887.912,79</w:t>
            </w:r>
          </w:p>
        </w:tc>
      </w:tr>
      <w:tr w:rsidR="00FD42B1" w:rsidRPr="00103CC2" w14:paraId="5903667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7118C47"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Uso de Material de Consumo</w:t>
            </w:r>
          </w:p>
        </w:tc>
        <w:tc>
          <w:tcPr>
            <w:tcW w:w="300" w:type="dxa"/>
            <w:tcBorders>
              <w:top w:val="nil"/>
              <w:left w:val="nil"/>
              <w:bottom w:val="nil"/>
              <w:right w:val="single" w:sz="4" w:space="0" w:color="000000"/>
            </w:tcBorders>
            <w:shd w:val="clear" w:color="000000" w:fill="FFFFFF"/>
            <w:hideMark/>
          </w:tcPr>
          <w:p w14:paraId="173F4002"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08759C0"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31.439.801,50</w:t>
            </w:r>
          </w:p>
        </w:tc>
        <w:tc>
          <w:tcPr>
            <w:tcW w:w="1560" w:type="dxa"/>
            <w:tcBorders>
              <w:top w:val="nil"/>
              <w:left w:val="nil"/>
              <w:bottom w:val="nil"/>
              <w:right w:val="single" w:sz="4" w:space="0" w:color="000000"/>
            </w:tcBorders>
            <w:shd w:val="clear" w:color="000000" w:fill="FFFFFF"/>
            <w:hideMark/>
          </w:tcPr>
          <w:p w14:paraId="138B107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40.869.698,09</w:t>
            </w:r>
          </w:p>
        </w:tc>
      </w:tr>
      <w:tr w:rsidR="00FD42B1" w:rsidRPr="00103CC2" w14:paraId="7266813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27FD1A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Serviços</w:t>
            </w:r>
          </w:p>
        </w:tc>
        <w:tc>
          <w:tcPr>
            <w:tcW w:w="300" w:type="dxa"/>
            <w:tcBorders>
              <w:top w:val="nil"/>
              <w:left w:val="nil"/>
              <w:bottom w:val="nil"/>
              <w:right w:val="single" w:sz="4" w:space="0" w:color="000000"/>
            </w:tcBorders>
            <w:shd w:val="clear" w:color="000000" w:fill="FFFFFF"/>
            <w:hideMark/>
          </w:tcPr>
          <w:p w14:paraId="2C99EFD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894048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753.787.937,39</w:t>
            </w:r>
          </w:p>
        </w:tc>
        <w:tc>
          <w:tcPr>
            <w:tcW w:w="1560" w:type="dxa"/>
            <w:tcBorders>
              <w:top w:val="nil"/>
              <w:left w:val="nil"/>
              <w:bottom w:val="nil"/>
              <w:right w:val="single" w:sz="4" w:space="0" w:color="000000"/>
            </w:tcBorders>
            <w:shd w:val="clear" w:color="000000" w:fill="FFFFFF"/>
            <w:hideMark/>
          </w:tcPr>
          <w:p w14:paraId="517E393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940.961.914,51</w:t>
            </w:r>
          </w:p>
        </w:tc>
      </w:tr>
      <w:tr w:rsidR="00FD42B1" w:rsidRPr="00103CC2" w14:paraId="193ECE00"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1792E8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Depreciação, Amortização e Exaustão</w:t>
            </w:r>
          </w:p>
        </w:tc>
        <w:tc>
          <w:tcPr>
            <w:tcW w:w="300" w:type="dxa"/>
            <w:tcBorders>
              <w:top w:val="nil"/>
              <w:left w:val="nil"/>
              <w:bottom w:val="nil"/>
              <w:right w:val="single" w:sz="4" w:space="0" w:color="000000"/>
            </w:tcBorders>
            <w:shd w:val="clear" w:color="000000" w:fill="FFFFFF"/>
            <w:hideMark/>
          </w:tcPr>
          <w:p w14:paraId="00FB70A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91C73B4"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256.601.267,72</w:t>
            </w:r>
          </w:p>
        </w:tc>
        <w:tc>
          <w:tcPr>
            <w:tcW w:w="1560" w:type="dxa"/>
            <w:tcBorders>
              <w:top w:val="nil"/>
              <w:left w:val="nil"/>
              <w:bottom w:val="nil"/>
              <w:right w:val="single" w:sz="4" w:space="0" w:color="000000"/>
            </w:tcBorders>
            <w:shd w:val="clear" w:color="000000" w:fill="FFFFFF"/>
            <w:hideMark/>
          </w:tcPr>
          <w:p w14:paraId="638FA87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273.056.300,19</w:t>
            </w:r>
          </w:p>
        </w:tc>
      </w:tr>
      <w:tr w:rsidR="00FD42B1" w:rsidRPr="00103CC2" w14:paraId="5554A20A"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97197A4"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Variações Patrimoniais Diminutivas Financeiras</w:t>
            </w:r>
          </w:p>
        </w:tc>
        <w:tc>
          <w:tcPr>
            <w:tcW w:w="300" w:type="dxa"/>
            <w:tcBorders>
              <w:top w:val="nil"/>
              <w:left w:val="nil"/>
              <w:bottom w:val="nil"/>
              <w:right w:val="single" w:sz="4" w:space="0" w:color="000000"/>
            </w:tcBorders>
            <w:shd w:val="clear" w:color="000000" w:fill="FFFFFF"/>
            <w:hideMark/>
          </w:tcPr>
          <w:p w14:paraId="35D3268D"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07ABD01"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7.629.556.929,67</w:t>
            </w:r>
          </w:p>
        </w:tc>
        <w:tc>
          <w:tcPr>
            <w:tcW w:w="1560" w:type="dxa"/>
            <w:tcBorders>
              <w:top w:val="nil"/>
              <w:left w:val="nil"/>
              <w:bottom w:val="nil"/>
              <w:right w:val="single" w:sz="4" w:space="0" w:color="000000"/>
            </w:tcBorders>
            <w:shd w:val="clear" w:color="000000" w:fill="FFFFFF"/>
            <w:hideMark/>
          </w:tcPr>
          <w:p w14:paraId="7FB1714D"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8.303.910.969,49</w:t>
            </w:r>
          </w:p>
        </w:tc>
      </w:tr>
      <w:tr w:rsidR="00FD42B1" w:rsidRPr="00103CC2" w14:paraId="27F749CC"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AD943C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Juros e Encargos de Empréstimos e Financi</w:t>
            </w:r>
            <w:r w:rsidRPr="00103CC2">
              <w:rPr>
                <w:rFonts w:ascii="Arial" w:eastAsia="Times New Roman" w:hAnsi="Arial" w:cs="Arial"/>
                <w:color w:val="000000"/>
                <w:kern w:val="0"/>
                <w:sz w:val="14"/>
                <w:szCs w:val="14"/>
                <w:lang w:eastAsia="pt-BR" w:bidi="ar-SA"/>
              </w:rPr>
              <w:t>a</w:t>
            </w:r>
            <w:r w:rsidRPr="00103CC2">
              <w:rPr>
                <w:rFonts w:ascii="Arial" w:eastAsia="Times New Roman" w:hAnsi="Arial" w:cs="Arial"/>
                <w:color w:val="000000"/>
                <w:kern w:val="0"/>
                <w:sz w:val="14"/>
                <w:szCs w:val="14"/>
                <w:lang w:eastAsia="pt-BR" w:bidi="ar-SA"/>
              </w:rPr>
              <w:t>mentos Obtidos</w:t>
            </w:r>
          </w:p>
        </w:tc>
        <w:tc>
          <w:tcPr>
            <w:tcW w:w="300" w:type="dxa"/>
            <w:tcBorders>
              <w:top w:val="nil"/>
              <w:left w:val="nil"/>
              <w:bottom w:val="nil"/>
              <w:right w:val="single" w:sz="4" w:space="0" w:color="000000"/>
            </w:tcBorders>
            <w:shd w:val="clear" w:color="000000" w:fill="FFFFFF"/>
            <w:hideMark/>
          </w:tcPr>
          <w:p w14:paraId="6C0B1E6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19B780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144.668,40</w:t>
            </w:r>
          </w:p>
        </w:tc>
        <w:tc>
          <w:tcPr>
            <w:tcW w:w="1560" w:type="dxa"/>
            <w:tcBorders>
              <w:top w:val="nil"/>
              <w:left w:val="nil"/>
              <w:bottom w:val="nil"/>
              <w:right w:val="single" w:sz="4" w:space="0" w:color="000000"/>
            </w:tcBorders>
            <w:shd w:val="clear" w:color="000000" w:fill="FFFFFF"/>
            <w:hideMark/>
          </w:tcPr>
          <w:p w14:paraId="4459113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10.834.631,21</w:t>
            </w:r>
          </w:p>
        </w:tc>
      </w:tr>
      <w:tr w:rsidR="00FD42B1" w:rsidRPr="00103CC2" w14:paraId="4D10E602"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54D6E6F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Juros e Encargos de Mora</w:t>
            </w:r>
          </w:p>
        </w:tc>
        <w:tc>
          <w:tcPr>
            <w:tcW w:w="300" w:type="dxa"/>
            <w:tcBorders>
              <w:top w:val="nil"/>
              <w:left w:val="nil"/>
              <w:bottom w:val="nil"/>
              <w:right w:val="single" w:sz="4" w:space="0" w:color="000000"/>
            </w:tcBorders>
            <w:shd w:val="clear" w:color="000000" w:fill="FFFFFF"/>
            <w:hideMark/>
          </w:tcPr>
          <w:p w14:paraId="53681D26"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C331F3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518.326,79</w:t>
            </w:r>
          </w:p>
        </w:tc>
        <w:tc>
          <w:tcPr>
            <w:tcW w:w="1560" w:type="dxa"/>
            <w:tcBorders>
              <w:top w:val="nil"/>
              <w:left w:val="nil"/>
              <w:bottom w:val="nil"/>
              <w:right w:val="single" w:sz="4" w:space="0" w:color="000000"/>
            </w:tcBorders>
            <w:shd w:val="clear" w:color="000000" w:fill="FFFFFF"/>
            <w:hideMark/>
          </w:tcPr>
          <w:p w14:paraId="30411D6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843.812.060,95</w:t>
            </w:r>
          </w:p>
        </w:tc>
      </w:tr>
      <w:tr w:rsidR="00FD42B1" w:rsidRPr="00103CC2" w14:paraId="44A4E7F8"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C54B76A"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lastRenderedPageBreak/>
              <w:t xml:space="preserve">        Variações Monetárias e Cambiais</w:t>
            </w:r>
          </w:p>
        </w:tc>
        <w:tc>
          <w:tcPr>
            <w:tcW w:w="300" w:type="dxa"/>
            <w:tcBorders>
              <w:top w:val="nil"/>
              <w:left w:val="nil"/>
              <w:bottom w:val="nil"/>
              <w:right w:val="single" w:sz="4" w:space="0" w:color="000000"/>
            </w:tcBorders>
            <w:shd w:val="clear" w:color="000000" w:fill="FFFFFF"/>
            <w:hideMark/>
          </w:tcPr>
          <w:p w14:paraId="790D2B6E"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9481792"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174.030.605,03</w:t>
            </w:r>
          </w:p>
        </w:tc>
        <w:tc>
          <w:tcPr>
            <w:tcW w:w="1560" w:type="dxa"/>
            <w:tcBorders>
              <w:top w:val="nil"/>
              <w:left w:val="nil"/>
              <w:bottom w:val="nil"/>
              <w:right w:val="single" w:sz="4" w:space="0" w:color="000000"/>
            </w:tcBorders>
            <w:shd w:val="clear" w:color="000000" w:fill="FFFFFF"/>
            <w:hideMark/>
          </w:tcPr>
          <w:p w14:paraId="2DBCF23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136.362.662,34</w:t>
            </w:r>
          </w:p>
        </w:tc>
      </w:tr>
      <w:tr w:rsidR="00FD42B1" w:rsidRPr="00103CC2" w14:paraId="1460B1D9"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563F395"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Descontos Financeiros Concedidos</w:t>
            </w:r>
          </w:p>
        </w:tc>
        <w:tc>
          <w:tcPr>
            <w:tcW w:w="300" w:type="dxa"/>
            <w:tcBorders>
              <w:top w:val="nil"/>
              <w:left w:val="nil"/>
              <w:bottom w:val="nil"/>
              <w:right w:val="single" w:sz="4" w:space="0" w:color="000000"/>
            </w:tcBorders>
            <w:shd w:val="clear" w:color="000000" w:fill="FFFFFF"/>
            <w:hideMark/>
          </w:tcPr>
          <w:p w14:paraId="6684507A"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D103EB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24.876,20</w:t>
            </w:r>
          </w:p>
        </w:tc>
        <w:tc>
          <w:tcPr>
            <w:tcW w:w="1560" w:type="dxa"/>
            <w:tcBorders>
              <w:top w:val="nil"/>
              <w:left w:val="nil"/>
              <w:bottom w:val="nil"/>
              <w:right w:val="single" w:sz="4" w:space="0" w:color="000000"/>
            </w:tcBorders>
            <w:shd w:val="clear" w:color="000000" w:fill="FFFFFF"/>
            <w:hideMark/>
          </w:tcPr>
          <w:p w14:paraId="73440AD6"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74.836,16</w:t>
            </w:r>
          </w:p>
        </w:tc>
      </w:tr>
      <w:tr w:rsidR="00FD42B1" w:rsidRPr="00103CC2" w14:paraId="1AF5CA0A"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5C93A048"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Aportes ao Banco Central</w:t>
            </w:r>
          </w:p>
        </w:tc>
        <w:tc>
          <w:tcPr>
            <w:tcW w:w="300" w:type="dxa"/>
            <w:tcBorders>
              <w:top w:val="nil"/>
              <w:left w:val="nil"/>
              <w:bottom w:val="nil"/>
              <w:right w:val="single" w:sz="4" w:space="0" w:color="000000"/>
            </w:tcBorders>
            <w:shd w:val="clear" w:color="000000" w:fill="FFFFFF"/>
            <w:hideMark/>
          </w:tcPr>
          <w:p w14:paraId="2678CAD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309738B"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1CA25724"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25EC25A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2549076"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Outras Variações Patrimoniais Diminutivas Financeiras</w:t>
            </w:r>
          </w:p>
        </w:tc>
        <w:tc>
          <w:tcPr>
            <w:tcW w:w="300" w:type="dxa"/>
            <w:tcBorders>
              <w:top w:val="nil"/>
              <w:left w:val="nil"/>
              <w:bottom w:val="nil"/>
              <w:right w:val="single" w:sz="4" w:space="0" w:color="000000"/>
            </w:tcBorders>
            <w:shd w:val="clear" w:color="000000" w:fill="FFFFFF"/>
            <w:hideMark/>
          </w:tcPr>
          <w:p w14:paraId="6136ECDC"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329A6A4"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7.454.838.453,25</w:t>
            </w:r>
          </w:p>
        </w:tc>
        <w:tc>
          <w:tcPr>
            <w:tcW w:w="1560" w:type="dxa"/>
            <w:tcBorders>
              <w:top w:val="nil"/>
              <w:left w:val="nil"/>
              <w:bottom w:val="nil"/>
              <w:right w:val="single" w:sz="4" w:space="0" w:color="000000"/>
            </w:tcBorders>
            <w:shd w:val="clear" w:color="000000" w:fill="FFFFFF"/>
            <w:hideMark/>
          </w:tcPr>
          <w:p w14:paraId="3FEA989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7.312.826.778,83</w:t>
            </w:r>
          </w:p>
        </w:tc>
      </w:tr>
      <w:tr w:rsidR="00FD42B1" w:rsidRPr="00103CC2" w14:paraId="223587A3"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F6E5BBA"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Transferências e Delegações Concedidas</w:t>
            </w:r>
          </w:p>
        </w:tc>
        <w:tc>
          <w:tcPr>
            <w:tcW w:w="300" w:type="dxa"/>
            <w:tcBorders>
              <w:top w:val="nil"/>
              <w:left w:val="nil"/>
              <w:bottom w:val="nil"/>
              <w:right w:val="single" w:sz="4" w:space="0" w:color="000000"/>
            </w:tcBorders>
            <w:shd w:val="clear" w:color="000000" w:fill="FFFFFF"/>
            <w:hideMark/>
          </w:tcPr>
          <w:p w14:paraId="77C1CE67"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1182B8B"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40.527.562.348,81</w:t>
            </w:r>
          </w:p>
        </w:tc>
        <w:tc>
          <w:tcPr>
            <w:tcW w:w="1560" w:type="dxa"/>
            <w:tcBorders>
              <w:top w:val="nil"/>
              <w:left w:val="nil"/>
              <w:bottom w:val="nil"/>
              <w:right w:val="single" w:sz="4" w:space="0" w:color="000000"/>
            </w:tcBorders>
            <w:shd w:val="clear" w:color="000000" w:fill="FFFFFF"/>
            <w:hideMark/>
          </w:tcPr>
          <w:p w14:paraId="774B6383"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47.825.899.897,19</w:t>
            </w:r>
          </w:p>
        </w:tc>
      </w:tr>
      <w:tr w:rsidR="00FD42B1" w:rsidRPr="00103CC2" w14:paraId="707E25E1"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AA1332E"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Intragovernamentais</w:t>
            </w:r>
          </w:p>
        </w:tc>
        <w:tc>
          <w:tcPr>
            <w:tcW w:w="300" w:type="dxa"/>
            <w:tcBorders>
              <w:top w:val="nil"/>
              <w:left w:val="nil"/>
              <w:bottom w:val="nil"/>
              <w:right w:val="single" w:sz="4" w:space="0" w:color="000000"/>
            </w:tcBorders>
            <w:shd w:val="clear" w:color="000000" w:fill="FFFFFF"/>
            <w:hideMark/>
          </w:tcPr>
          <w:p w14:paraId="15356A0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D31E510"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35.347.781.119,99</w:t>
            </w:r>
          </w:p>
        </w:tc>
        <w:tc>
          <w:tcPr>
            <w:tcW w:w="1560" w:type="dxa"/>
            <w:tcBorders>
              <w:top w:val="nil"/>
              <w:left w:val="nil"/>
              <w:bottom w:val="nil"/>
              <w:right w:val="single" w:sz="4" w:space="0" w:color="000000"/>
            </w:tcBorders>
            <w:shd w:val="clear" w:color="000000" w:fill="FFFFFF"/>
            <w:hideMark/>
          </w:tcPr>
          <w:p w14:paraId="3E2D721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36.509.439.160,65</w:t>
            </w:r>
          </w:p>
        </w:tc>
      </w:tr>
      <w:tr w:rsidR="00FD42B1" w:rsidRPr="00103CC2" w14:paraId="671DBB3A"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328026E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Intergovernamentais</w:t>
            </w:r>
          </w:p>
        </w:tc>
        <w:tc>
          <w:tcPr>
            <w:tcW w:w="300" w:type="dxa"/>
            <w:tcBorders>
              <w:top w:val="nil"/>
              <w:left w:val="nil"/>
              <w:bottom w:val="nil"/>
              <w:right w:val="single" w:sz="4" w:space="0" w:color="000000"/>
            </w:tcBorders>
            <w:shd w:val="clear" w:color="000000" w:fill="FFFFFF"/>
            <w:hideMark/>
          </w:tcPr>
          <w:p w14:paraId="7961DAB6"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A10740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4.971.913.707,99</w:t>
            </w:r>
          </w:p>
        </w:tc>
        <w:tc>
          <w:tcPr>
            <w:tcW w:w="1560" w:type="dxa"/>
            <w:tcBorders>
              <w:top w:val="nil"/>
              <w:left w:val="nil"/>
              <w:bottom w:val="nil"/>
              <w:right w:val="single" w:sz="4" w:space="0" w:color="000000"/>
            </w:tcBorders>
            <w:shd w:val="clear" w:color="000000" w:fill="FFFFFF"/>
            <w:hideMark/>
          </w:tcPr>
          <w:p w14:paraId="2440DAF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11.040.757.353,93</w:t>
            </w:r>
          </w:p>
        </w:tc>
      </w:tr>
      <w:tr w:rsidR="00FD42B1" w:rsidRPr="00103CC2" w14:paraId="3D1759D3"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AA49D6C"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a Instituições Privadas</w:t>
            </w:r>
          </w:p>
        </w:tc>
        <w:tc>
          <w:tcPr>
            <w:tcW w:w="300" w:type="dxa"/>
            <w:tcBorders>
              <w:top w:val="nil"/>
              <w:left w:val="nil"/>
              <w:bottom w:val="nil"/>
              <w:right w:val="single" w:sz="4" w:space="0" w:color="000000"/>
            </w:tcBorders>
            <w:shd w:val="clear" w:color="000000" w:fill="FFFFFF"/>
            <w:hideMark/>
          </w:tcPr>
          <w:p w14:paraId="18383405"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F3059F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3CF9254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2A8BCCD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43DDCF5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a Instituições Multigovername</w:t>
            </w:r>
            <w:r w:rsidRPr="00103CC2">
              <w:rPr>
                <w:rFonts w:ascii="Arial" w:eastAsia="Times New Roman" w:hAnsi="Arial" w:cs="Arial"/>
                <w:color w:val="000000"/>
                <w:kern w:val="0"/>
                <w:sz w:val="14"/>
                <w:szCs w:val="14"/>
                <w:lang w:eastAsia="pt-BR" w:bidi="ar-SA"/>
              </w:rPr>
              <w:t>n</w:t>
            </w:r>
            <w:r w:rsidRPr="00103CC2">
              <w:rPr>
                <w:rFonts w:ascii="Arial" w:eastAsia="Times New Roman" w:hAnsi="Arial" w:cs="Arial"/>
                <w:color w:val="000000"/>
                <w:kern w:val="0"/>
                <w:sz w:val="14"/>
                <w:szCs w:val="14"/>
                <w:lang w:eastAsia="pt-BR" w:bidi="ar-SA"/>
              </w:rPr>
              <w:t>tais</w:t>
            </w:r>
          </w:p>
        </w:tc>
        <w:tc>
          <w:tcPr>
            <w:tcW w:w="300" w:type="dxa"/>
            <w:tcBorders>
              <w:top w:val="nil"/>
              <w:left w:val="nil"/>
              <w:bottom w:val="nil"/>
              <w:right w:val="single" w:sz="4" w:space="0" w:color="000000"/>
            </w:tcBorders>
            <w:shd w:val="clear" w:color="000000" w:fill="FFFFFF"/>
            <w:hideMark/>
          </w:tcPr>
          <w:p w14:paraId="2F690937"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B93421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B5A8422"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4D35B5F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503F232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a Consórcios Públicos</w:t>
            </w:r>
          </w:p>
        </w:tc>
        <w:tc>
          <w:tcPr>
            <w:tcW w:w="300" w:type="dxa"/>
            <w:tcBorders>
              <w:top w:val="nil"/>
              <w:left w:val="nil"/>
              <w:bottom w:val="nil"/>
              <w:right w:val="single" w:sz="4" w:space="0" w:color="000000"/>
            </w:tcBorders>
            <w:shd w:val="clear" w:color="000000" w:fill="FFFFFF"/>
            <w:hideMark/>
          </w:tcPr>
          <w:p w14:paraId="2135A74E"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2601E06"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5C6C98FB"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0DD1B3DD"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0939ED4"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Transferências ao Exterior</w:t>
            </w:r>
          </w:p>
        </w:tc>
        <w:tc>
          <w:tcPr>
            <w:tcW w:w="300" w:type="dxa"/>
            <w:tcBorders>
              <w:top w:val="nil"/>
              <w:left w:val="nil"/>
              <w:bottom w:val="nil"/>
              <w:right w:val="single" w:sz="4" w:space="0" w:color="000000"/>
            </w:tcBorders>
            <w:shd w:val="clear" w:color="000000" w:fill="FFFFFF"/>
            <w:hideMark/>
          </w:tcPr>
          <w:p w14:paraId="5A40DE6A"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5A17994"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900.000,00</w:t>
            </w:r>
          </w:p>
        </w:tc>
        <w:tc>
          <w:tcPr>
            <w:tcW w:w="1560" w:type="dxa"/>
            <w:tcBorders>
              <w:top w:val="nil"/>
              <w:left w:val="nil"/>
              <w:bottom w:val="nil"/>
              <w:right w:val="single" w:sz="4" w:space="0" w:color="000000"/>
            </w:tcBorders>
            <w:shd w:val="clear" w:color="000000" w:fill="FFFFFF"/>
            <w:hideMark/>
          </w:tcPr>
          <w:p w14:paraId="1EC1D9EA"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3.844.212,70</w:t>
            </w:r>
          </w:p>
        </w:tc>
      </w:tr>
      <w:tr w:rsidR="00FD42B1" w:rsidRPr="00103CC2" w14:paraId="70021BD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40EDCE32"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Execução Orçamentária Delegada a Entes</w:t>
            </w:r>
          </w:p>
        </w:tc>
        <w:tc>
          <w:tcPr>
            <w:tcW w:w="300" w:type="dxa"/>
            <w:tcBorders>
              <w:top w:val="nil"/>
              <w:left w:val="nil"/>
              <w:bottom w:val="nil"/>
              <w:right w:val="single" w:sz="4" w:space="0" w:color="000000"/>
            </w:tcBorders>
            <w:shd w:val="clear" w:color="000000" w:fill="FFFFFF"/>
            <w:hideMark/>
          </w:tcPr>
          <w:p w14:paraId="7E0C34BE"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5506266"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67DBA2D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2BD2A510"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BF3FBBA"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Outras Transferências e Delegações Conced</w:t>
            </w:r>
            <w:r w:rsidRPr="00103CC2">
              <w:rPr>
                <w:rFonts w:ascii="Arial" w:eastAsia="Times New Roman" w:hAnsi="Arial" w:cs="Arial"/>
                <w:color w:val="000000"/>
                <w:kern w:val="0"/>
                <w:sz w:val="14"/>
                <w:szCs w:val="14"/>
                <w:lang w:eastAsia="pt-BR" w:bidi="ar-SA"/>
              </w:rPr>
              <w:t>i</w:t>
            </w:r>
            <w:r w:rsidRPr="00103CC2">
              <w:rPr>
                <w:rFonts w:ascii="Arial" w:eastAsia="Times New Roman" w:hAnsi="Arial" w:cs="Arial"/>
                <w:color w:val="000000"/>
                <w:kern w:val="0"/>
                <w:sz w:val="14"/>
                <w:szCs w:val="14"/>
                <w:lang w:eastAsia="pt-BR" w:bidi="ar-SA"/>
              </w:rPr>
              <w:t>das</w:t>
            </w:r>
          </w:p>
        </w:tc>
        <w:tc>
          <w:tcPr>
            <w:tcW w:w="300" w:type="dxa"/>
            <w:tcBorders>
              <w:top w:val="nil"/>
              <w:left w:val="nil"/>
              <w:bottom w:val="nil"/>
              <w:right w:val="single" w:sz="4" w:space="0" w:color="000000"/>
            </w:tcBorders>
            <w:shd w:val="clear" w:color="000000" w:fill="FFFFFF"/>
            <w:hideMark/>
          </w:tcPr>
          <w:p w14:paraId="7A0CCD95"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837C41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206.967.520,83</w:t>
            </w:r>
          </w:p>
        </w:tc>
        <w:tc>
          <w:tcPr>
            <w:tcW w:w="1560" w:type="dxa"/>
            <w:tcBorders>
              <w:top w:val="nil"/>
              <w:left w:val="nil"/>
              <w:bottom w:val="nil"/>
              <w:right w:val="single" w:sz="4" w:space="0" w:color="000000"/>
            </w:tcBorders>
            <w:shd w:val="clear" w:color="000000" w:fill="FFFFFF"/>
            <w:hideMark/>
          </w:tcPr>
          <w:p w14:paraId="6E6B777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271.859.169,91</w:t>
            </w:r>
          </w:p>
        </w:tc>
      </w:tr>
      <w:tr w:rsidR="00FD42B1" w:rsidRPr="00103CC2" w14:paraId="131AD994"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4B131D78"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Desvalorização e Perda de Ativos e Incorpor</w:t>
            </w:r>
            <w:r w:rsidRPr="00103CC2">
              <w:rPr>
                <w:rFonts w:ascii="Arial" w:eastAsia="Times New Roman" w:hAnsi="Arial" w:cs="Arial"/>
                <w:b/>
                <w:bCs/>
                <w:color w:val="000000"/>
                <w:kern w:val="0"/>
                <w:sz w:val="14"/>
                <w:szCs w:val="14"/>
                <w:lang w:eastAsia="pt-BR" w:bidi="ar-SA"/>
              </w:rPr>
              <w:t>a</w:t>
            </w:r>
            <w:r w:rsidRPr="00103CC2">
              <w:rPr>
                <w:rFonts w:ascii="Arial" w:eastAsia="Times New Roman" w:hAnsi="Arial" w:cs="Arial"/>
                <w:b/>
                <w:bCs/>
                <w:color w:val="000000"/>
                <w:kern w:val="0"/>
                <w:sz w:val="14"/>
                <w:szCs w:val="14"/>
                <w:lang w:eastAsia="pt-BR" w:bidi="ar-SA"/>
              </w:rPr>
              <w:t>ção de Passivos</w:t>
            </w:r>
          </w:p>
        </w:tc>
        <w:tc>
          <w:tcPr>
            <w:tcW w:w="300" w:type="dxa"/>
            <w:tcBorders>
              <w:top w:val="nil"/>
              <w:left w:val="nil"/>
              <w:bottom w:val="nil"/>
              <w:right w:val="single" w:sz="4" w:space="0" w:color="000000"/>
            </w:tcBorders>
            <w:shd w:val="clear" w:color="000000" w:fill="FFFFFF"/>
            <w:hideMark/>
          </w:tcPr>
          <w:p w14:paraId="375E6973"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10</w:t>
            </w:r>
          </w:p>
        </w:tc>
        <w:tc>
          <w:tcPr>
            <w:tcW w:w="1480" w:type="dxa"/>
            <w:tcBorders>
              <w:top w:val="nil"/>
              <w:left w:val="nil"/>
              <w:bottom w:val="nil"/>
              <w:right w:val="single" w:sz="4" w:space="0" w:color="000000"/>
            </w:tcBorders>
            <w:shd w:val="clear" w:color="000000" w:fill="FFFFFF"/>
            <w:hideMark/>
          </w:tcPr>
          <w:p w14:paraId="3C0026FC"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5.885.370.038,46</w:t>
            </w:r>
          </w:p>
        </w:tc>
        <w:tc>
          <w:tcPr>
            <w:tcW w:w="1560" w:type="dxa"/>
            <w:tcBorders>
              <w:top w:val="nil"/>
              <w:left w:val="nil"/>
              <w:bottom w:val="nil"/>
              <w:right w:val="single" w:sz="4" w:space="0" w:color="000000"/>
            </w:tcBorders>
            <w:shd w:val="clear" w:color="000000" w:fill="FFFFFF"/>
            <w:hideMark/>
          </w:tcPr>
          <w:p w14:paraId="6CE472F4"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13.289.003.265,11</w:t>
            </w:r>
          </w:p>
        </w:tc>
      </w:tr>
      <w:tr w:rsidR="00FD42B1" w:rsidRPr="00103CC2" w14:paraId="29A19BE2"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819BBA4"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Reavaliação, Redução a Valor Recuperável e Ajustes p/ Perdas</w:t>
            </w:r>
          </w:p>
        </w:tc>
        <w:tc>
          <w:tcPr>
            <w:tcW w:w="300" w:type="dxa"/>
            <w:tcBorders>
              <w:top w:val="nil"/>
              <w:left w:val="nil"/>
              <w:bottom w:val="nil"/>
              <w:right w:val="single" w:sz="4" w:space="0" w:color="000000"/>
            </w:tcBorders>
            <w:shd w:val="clear" w:color="000000" w:fill="FFFFFF"/>
            <w:hideMark/>
          </w:tcPr>
          <w:p w14:paraId="5E4030E2"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FA031A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3.039.357.839,21</w:t>
            </w:r>
          </w:p>
        </w:tc>
        <w:tc>
          <w:tcPr>
            <w:tcW w:w="1560" w:type="dxa"/>
            <w:tcBorders>
              <w:top w:val="nil"/>
              <w:left w:val="nil"/>
              <w:bottom w:val="nil"/>
              <w:right w:val="single" w:sz="4" w:space="0" w:color="000000"/>
            </w:tcBorders>
            <w:shd w:val="clear" w:color="000000" w:fill="FFFFFF"/>
            <w:hideMark/>
          </w:tcPr>
          <w:p w14:paraId="1F9EC96A"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5.006.465.732,03</w:t>
            </w:r>
          </w:p>
        </w:tc>
      </w:tr>
      <w:tr w:rsidR="00FD42B1" w:rsidRPr="00103CC2" w14:paraId="4DDCA32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37E605A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Perdas com Alienação</w:t>
            </w:r>
          </w:p>
        </w:tc>
        <w:tc>
          <w:tcPr>
            <w:tcW w:w="300" w:type="dxa"/>
            <w:tcBorders>
              <w:top w:val="nil"/>
              <w:left w:val="nil"/>
              <w:bottom w:val="nil"/>
              <w:right w:val="single" w:sz="4" w:space="0" w:color="000000"/>
            </w:tcBorders>
            <w:shd w:val="clear" w:color="000000" w:fill="FFFFFF"/>
            <w:hideMark/>
          </w:tcPr>
          <w:p w14:paraId="0E743F6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CB1E4F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2.695.076,10</w:t>
            </w:r>
          </w:p>
        </w:tc>
        <w:tc>
          <w:tcPr>
            <w:tcW w:w="1560" w:type="dxa"/>
            <w:tcBorders>
              <w:top w:val="nil"/>
              <w:left w:val="nil"/>
              <w:bottom w:val="nil"/>
              <w:right w:val="single" w:sz="4" w:space="0" w:color="000000"/>
            </w:tcBorders>
            <w:shd w:val="clear" w:color="000000" w:fill="FFFFFF"/>
            <w:hideMark/>
          </w:tcPr>
          <w:p w14:paraId="6FA952D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743,76</w:t>
            </w:r>
          </w:p>
        </w:tc>
      </w:tr>
      <w:tr w:rsidR="00FD42B1" w:rsidRPr="00103CC2" w14:paraId="63530202"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46CECDC"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Perdas Involuntárias</w:t>
            </w:r>
          </w:p>
        </w:tc>
        <w:tc>
          <w:tcPr>
            <w:tcW w:w="300" w:type="dxa"/>
            <w:tcBorders>
              <w:top w:val="nil"/>
              <w:left w:val="nil"/>
              <w:bottom w:val="nil"/>
              <w:right w:val="single" w:sz="4" w:space="0" w:color="000000"/>
            </w:tcBorders>
            <w:shd w:val="clear" w:color="000000" w:fill="FFFFFF"/>
            <w:hideMark/>
          </w:tcPr>
          <w:p w14:paraId="01C782E7"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DF5764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1.831.904,73</w:t>
            </w:r>
          </w:p>
        </w:tc>
        <w:tc>
          <w:tcPr>
            <w:tcW w:w="1560" w:type="dxa"/>
            <w:tcBorders>
              <w:top w:val="nil"/>
              <w:left w:val="nil"/>
              <w:bottom w:val="nil"/>
              <w:right w:val="single" w:sz="4" w:space="0" w:color="000000"/>
            </w:tcBorders>
            <w:shd w:val="clear" w:color="000000" w:fill="FFFFFF"/>
            <w:hideMark/>
          </w:tcPr>
          <w:p w14:paraId="2CC6D7D6"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2.714.328,99</w:t>
            </w:r>
          </w:p>
        </w:tc>
      </w:tr>
      <w:tr w:rsidR="00FD42B1" w:rsidRPr="00103CC2" w14:paraId="5B68FFF3"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280FBB2"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Incorporação de Passivos</w:t>
            </w:r>
          </w:p>
        </w:tc>
        <w:tc>
          <w:tcPr>
            <w:tcW w:w="300" w:type="dxa"/>
            <w:tcBorders>
              <w:top w:val="nil"/>
              <w:left w:val="nil"/>
              <w:bottom w:val="nil"/>
              <w:right w:val="single" w:sz="4" w:space="0" w:color="000000"/>
            </w:tcBorders>
            <w:shd w:val="clear" w:color="000000" w:fill="FFFFFF"/>
            <w:hideMark/>
          </w:tcPr>
          <w:p w14:paraId="29447D8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390A82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2.275.148.159,55</w:t>
            </w:r>
          </w:p>
        </w:tc>
        <w:tc>
          <w:tcPr>
            <w:tcW w:w="1560" w:type="dxa"/>
            <w:tcBorders>
              <w:top w:val="nil"/>
              <w:left w:val="nil"/>
              <w:bottom w:val="nil"/>
              <w:right w:val="single" w:sz="4" w:space="0" w:color="000000"/>
            </w:tcBorders>
            <w:shd w:val="clear" w:color="000000" w:fill="FFFFFF"/>
            <w:hideMark/>
          </w:tcPr>
          <w:p w14:paraId="1F8F66D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5.835.628.620,97</w:t>
            </w:r>
          </w:p>
        </w:tc>
      </w:tr>
      <w:tr w:rsidR="00FD42B1" w:rsidRPr="00103CC2" w14:paraId="170EA6FF"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62FEFCE"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Desincorporação de Ativos</w:t>
            </w:r>
          </w:p>
        </w:tc>
        <w:tc>
          <w:tcPr>
            <w:tcW w:w="300" w:type="dxa"/>
            <w:tcBorders>
              <w:top w:val="nil"/>
              <w:left w:val="nil"/>
              <w:bottom w:val="nil"/>
              <w:right w:val="single" w:sz="4" w:space="0" w:color="000000"/>
            </w:tcBorders>
            <w:shd w:val="clear" w:color="000000" w:fill="FFFFFF"/>
            <w:hideMark/>
          </w:tcPr>
          <w:p w14:paraId="580FAC9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C5C24B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566.337.058,87</w:t>
            </w:r>
          </w:p>
        </w:tc>
        <w:tc>
          <w:tcPr>
            <w:tcW w:w="1560" w:type="dxa"/>
            <w:tcBorders>
              <w:top w:val="nil"/>
              <w:left w:val="nil"/>
              <w:bottom w:val="nil"/>
              <w:right w:val="single" w:sz="4" w:space="0" w:color="000000"/>
            </w:tcBorders>
            <w:shd w:val="clear" w:color="000000" w:fill="FFFFFF"/>
            <w:hideMark/>
          </w:tcPr>
          <w:p w14:paraId="25FA86B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2.444.193.839,36</w:t>
            </w:r>
          </w:p>
        </w:tc>
      </w:tr>
      <w:tr w:rsidR="00FD42B1" w:rsidRPr="00103CC2" w14:paraId="371EA579"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82944ED"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Tributárias</w:t>
            </w:r>
          </w:p>
        </w:tc>
        <w:tc>
          <w:tcPr>
            <w:tcW w:w="300" w:type="dxa"/>
            <w:tcBorders>
              <w:top w:val="nil"/>
              <w:left w:val="nil"/>
              <w:bottom w:val="nil"/>
              <w:right w:val="single" w:sz="4" w:space="0" w:color="000000"/>
            </w:tcBorders>
            <w:shd w:val="clear" w:color="000000" w:fill="FFFFFF"/>
            <w:hideMark/>
          </w:tcPr>
          <w:p w14:paraId="52460C17"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44ABFF2"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5.583.686,71</w:t>
            </w:r>
          </w:p>
        </w:tc>
        <w:tc>
          <w:tcPr>
            <w:tcW w:w="1560" w:type="dxa"/>
            <w:tcBorders>
              <w:top w:val="nil"/>
              <w:left w:val="nil"/>
              <w:bottom w:val="nil"/>
              <w:right w:val="single" w:sz="4" w:space="0" w:color="000000"/>
            </w:tcBorders>
            <w:shd w:val="clear" w:color="000000" w:fill="FFFFFF"/>
            <w:hideMark/>
          </w:tcPr>
          <w:p w14:paraId="22B28ED7"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15.472.511,22</w:t>
            </w:r>
          </w:p>
        </w:tc>
      </w:tr>
      <w:tr w:rsidR="00FD42B1" w:rsidRPr="00103CC2" w14:paraId="2B608822"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DBEE4D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Impostos, Taxas e Contribuições de Melhoria</w:t>
            </w:r>
          </w:p>
        </w:tc>
        <w:tc>
          <w:tcPr>
            <w:tcW w:w="300" w:type="dxa"/>
            <w:tcBorders>
              <w:top w:val="nil"/>
              <w:left w:val="nil"/>
              <w:bottom w:val="nil"/>
              <w:right w:val="single" w:sz="4" w:space="0" w:color="000000"/>
            </w:tcBorders>
            <w:shd w:val="clear" w:color="000000" w:fill="FFFFFF"/>
            <w:hideMark/>
          </w:tcPr>
          <w:p w14:paraId="0F5E6D7E"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49B3CA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3.057.348,10</w:t>
            </w:r>
          </w:p>
        </w:tc>
        <w:tc>
          <w:tcPr>
            <w:tcW w:w="1560" w:type="dxa"/>
            <w:tcBorders>
              <w:top w:val="nil"/>
              <w:left w:val="nil"/>
              <w:bottom w:val="nil"/>
              <w:right w:val="single" w:sz="4" w:space="0" w:color="000000"/>
            </w:tcBorders>
            <w:shd w:val="clear" w:color="000000" w:fill="FFFFFF"/>
            <w:hideMark/>
          </w:tcPr>
          <w:p w14:paraId="4272061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10.653.082,07</w:t>
            </w:r>
          </w:p>
        </w:tc>
      </w:tr>
      <w:tr w:rsidR="00FD42B1" w:rsidRPr="00103CC2" w14:paraId="39B269E5"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315349C8"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Contribuições</w:t>
            </w:r>
          </w:p>
        </w:tc>
        <w:tc>
          <w:tcPr>
            <w:tcW w:w="300" w:type="dxa"/>
            <w:tcBorders>
              <w:top w:val="nil"/>
              <w:left w:val="nil"/>
              <w:bottom w:val="nil"/>
              <w:right w:val="single" w:sz="4" w:space="0" w:color="000000"/>
            </w:tcBorders>
            <w:shd w:val="clear" w:color="000000" w:fill="FFFFFF"/>
            <w:hideMark/>
          </w:tcPr>
          <w:p w14:paraId="634257C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32EF44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2.526.338,61</w:t>
            </w:r>
          </w:p>
        </w:tc>
        <w:tc>
          <w:tcPr>
            <w:tcW w:w="1560" w:type="dxa"/>
            <w:tcBorders>
              <w:top w:val="nil"/>
              <w:left w:val="nil"/>
              <w:bottom w:val="nil"/>
              <w:right w:val="single" w:sz="4" w:space="0" w:color="000000"/>
            </w:tcBorders>
            <w:shd w:val="clear" w:color="000000" w:fill="FFFFFF"/>
            <w:hideMark/>
          </w:tcPr>
          <w:p w14:paraId="3B5EAA2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4.819.429,15</w:t>
            </w:r>
          </w:p>
        </w:tc>
      </w:tr>
      <w:tr w:rsidR="00FD42B1" w:rsidRPr="00103CC2" w14:paraId="7513D0C4"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C954ADD"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Custo - Mercadorias, Produtos </w:t>
            </w:r>
            <w:proofErr w:type="spellStart"/>
            <w:r w:rsidRPr="00103CC2">
              <w:rPr>
                <w:rFonts w:ascii="Arial" w:eastAsia="Times New Roman" w:hAnsi="Arial" w:cs="Arial"/>
                <w:b/>
                <w:bCs/>
                <w:color w:val="000000"/>
                <w:kern w:val="0"/>
                <w:sz w:val="14"/>
                <w:szCs w:val="14"/>
                <w:lang w:eastAsia="pt-BR" w:bidi="ar-SA"/>
              </w:rPr>
              <w:t>Vend</w:t>
            </w:r>
            <w:proofErr w:type="spellEnd"/>
            <w:r w:rsidRPr="00103CC2">
              <w:rPr>
                <w:rFonts w:ascii="Arial" w:eastAsia="Times New Roman" w:hAnsi="Arial" w:cs="Arial"/>
                <w:b/>
                <w:bCs/>
                <w:color w:val="000000"/>
                <w:kern w:val="0"/>
                <w:sz w:val="14"/>
                <w:szCs w:val="14"/>
                <w:lang w:eastAsia="pt-BR" w:bidi="ar-SA"/>
              </w:rPr>
              <w:t>. e dos Serviços Prestados</w:t>
            </w:r>
          </w:p>
        </w:tc>
        <w:tc>
          <w:tcPr>
            <w:tcW w:w="300" w:type="dxa"/>
            <w:tcBorders>
              <w:top w:val="nil"/>
              <w:left w:val="nil"/>
              <w:bottom w:val="nil"/>
              <w:right w:val="single" w:sz="4" w:space="0" w:color="000000"/>
            </w:tcBorders>
            <w:shd w:val="clear" w:color="000000" w:fill="FFFFFF"/>
            <w:hideMark/>
          </w:tcPr>
          <w:p w14:paraId="5665BD80"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823C0B4"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EA46DC4"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FD42B1" w:rsidRPr="00103CC2" w14:paraId="11F15BFC"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43CE3D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Custo das Mercadorias Vendidas</w:t>
            </w:r>
          </w:p>
        </w:tc>
        <w:tc>
          <w:tcPr>
            <w:tcW w:w="300" w:type="dxa"/>
            <w:tcBorders>
              <w:top w:val="nil"/>
              <w:left w:val="nil"/>
              <w:bottom w:val="nil"/>
              <w:right w:val="single" w:sz="4" w:space="0" w:color="000000"/>
            </w:tcBorders>
            <w:shd w:val="clear" w:color="000000" w:fill="FFFFFF"/>
            <w:hideMark/>
          </w:tcPr>
          <w:p w14:paraId="7EFE8E7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6AB7A3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7B7D534B"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2D6F6190"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3629036"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Custos dos Produtos Vendidos</w:t>
            </w:r>
          </w:p>
        </w:tc>
        <w:tc>
          <w:tcPr>
            <w:tcW w:w="300" w:type="dxa"/>
            <w:tcBorders>
              <w:top w:val="nil"/>
              <w:left w:val="nil"/>
              <w:bottom w:val="nil"/>
              <w:right w:val="single" w:sz="4" w:space="0" w:color="000000"/>
            </w:tcBorders>
            <w:shd w:val="clear" w:color="000000" w:fill="FFFFFF"/>
            <w:hideMark/>
          </w:tcPr>
          <w:p w14:paraId="27435444"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D0476D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F50E50A"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4473501C"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4FE9C3E"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Custo dos Serviços Prestados</w:t>
            </w:r>
          </w:p>
        </w:tc>
        <w:tc>
          <w:tcPr>
            <w:tcW w:w="300" w:type="dxa"/>
            <w:tcBorders>
              <w:top w:val="nil"/>
              <w:left w:val="nil"/>
              <w:bottom w:val="nil"/>
              <w:right w:val="single" w:sz="4" w:space="0" w:color="000000"/>
            </w:tcBorders>
            <w:shd w:val="clear" w:color="000000" w:fill="FFFFFF"/>
            <w:hideMark/>
          </w:tcPr>
          <w:p w14:paraId="56BCC293"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281694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59AFB30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7B281C1C"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16D509BB"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Outras Variações Patrimoniais Diminutivas</w:t>
            </w:r>
          </w:p>
        </w:tc>
        <w:tc>
          <w:tcPr>
            <w:tcW w:w="300" w:type="dxa"/>
            <w:tcBorders>
              <w:top w:val="nil"/>
              <w:left w:val="nil"/>
              <w:bottom w:val="nil"/>
              <w:right w:val="single" w:sz="4" w:space="0" w:color="000000"/>
            </w:tcBorders>
            <w:shd w:val="clear" w:color="000000" w:fill="FFFFFF"/>
            <w:hideMark/>
          </w:tcPr>
          <w:p w14:paraId="05E31052"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2F5D4E8"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4.450.670.956,48</w:t>
            </w:r>
          </w:p>
        </w:tc>
        <w:tc>
          <w:tcPr>
            <w:tcW w:w="1560" w:type="dxa"/>
            <w:tcBorders>
              <w:top w:val="nil"/>
              <w:left w:val="nil"/>
              <w:bottom w:val="nil"/>
              <w:right w:val="single" w:sz="4" w:space="0" w:color="000000"/>
            </w:tcBorders>
            <w:shd w:val="clear" w:color="000000" w:fill="FFFFFF"/>
            <w:hideMark/>
          </w:tcPr>
          <w:p w14:paraId="5BF5AE2F"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4.755.037.258,43</w:t>
            </w:r>
          </w:p>
        </w:tc>
      </w:tr>
      <w:tr w:rsidR="00FD42B1" w:rsidRPr="00103CC2" w14:paraId="174986A0"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4CCB529C"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Premiações</w:t>
            </w:r>
          </w:p>
        </w:tc>
        <w:tc>
          <w:tcPr>
            <w:tcW w:w="300" w:type="dxa"/>
            <w:tcBorders>
              <w:top w:val="nil"/>
              <w:left w:val="nil"/>
              <w:bottom w:val="nil"/>
              <w:right w:val="single" w:sz="4" w:space="0" w:color="000000"/>
            </w:tcBorders>
            <w:shd w:val="clear" w:color="000000" w:fill="FFFFFF"/>
            <w:hideMark/>
          </w:tcPr>
          <w:p w14:paraId="2F2D0F0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EA5552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57C0B76C"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0D315B2E"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7ABE5A2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Resultado Negativo de Participações</w:t>
            </w:r>
          </w:p>
        </w:tc>
        <w:tc>
          <w:tcPr>
            <w:tcW w:w="300" w:type="dxa"/>
            <w:tcBorders>
              <w:top w:val="nil"/>
              <w:left w:val="nil"/>
              <w:bottom w:val="nil"/>
              <w:right w:val="single" w:sz="4" w:space="0" w:color="000000"/>
            </w:tcBorders>
            <w:shd w:val="clear" w:color="000000" w:fill="FFFFFF"/>
            <w:hideMark/>
          </w:tcPr>
          <w:p w14:paraId="73965712"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9974EF0"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6CBC41B3"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3AA86DA8"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39839D9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Operações da Autoridade Monetária</w:t>
            </w:r>
          </w:p>
        </w:tc>
        <w:tc>
          <w:tcPr>
            <w:tcW w:w="300" w:type="dxa"/>
            <w:tcBorders>
              <w:top w:val="nil"/>
              <w:left w:val="nil"/>
              <w:bottom w:val="nil"/>
              <w:right w:val="single" w:sz="4" w:space="0" w:color="000000"/>
            </w:tcBorders>
            <w:shd w:val="clear" w:color="000000" w:fill="FFFFFF"/>
            <w:hideMark/>
          </w:tcPr>
          <w:p w14:paraId="0941BEA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A3C4F8F"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36C4E596"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43D53A56"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A83886A"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Incentivos</w:t>
            </w:r>
          </w:p>
        </w:tc>
        <w:tc>
          <w:tcPr>
            <w:tcW w:w="300" w:type="dxa"/>
            <w:tcBorders>
              <w:top w:val="nil"/>
              <w:left w:val="nil"/>
              <w:bottom w:val="nil"/>
              <w:right w:val="single" w:sz="4" w:space="0" w:color="000000"/>
            </w:tcBorders>
            <w:shd w:val="clear" w:color="000000" w:fill="FFFFFF"/>
            <w:hideMark/>
          </w:tcPr>
          <w:p w14:paraId="53154829"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27E3E2F"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1.343.336,28</w:t>
            </w:r>
          </w:p>
        </w:tc>
        <w:tc>
          <w:tcPr>
            <w:tcW w:w="1560" w:type="dxa"/>
            <w:tcBorders>
              <w:top w:val="nil"/>
              <w:left w:val="nil"/>
              <w:bottom w:val="nil"/>
              <w:right w:val="single" w:sz="4" w:space="0" w:color="000000"/>
            </w:tcBorders>
            <w:shd w:val="clear" w:color="000000" w:fill="FFFFFF"/>
            <w:hideMark/>
          </w:tcPr>
          <w:p w14:paraId="7024837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1.318.663,67</w:t>
            </w:r>
          </w:p>
        </w:tc>
      </w:tr>
      <w:tr w:rsidR="00FD42B1" w:rsidRPr="00103CC2" w14:paraId="3B6EE609"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62BCCAE"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Subvenções Econômicas</w:t>
            </w:r>
          </w:p>
        </w:tc>
        <w:tc>
          <w:tcPr>
            <w:tcW w:w="300" w:type="dxa"/>
            <w:tcBorders>
              <w:top w:val="nil"/>
              <w:left w:val="nil"/>
              <w:bottom w:val="nil"/>
              <w:right w:val="single" w:sz="4" w:space="0" w:color="000000"/>
            </w:tcBorders>
            <w:shd w:val="clear" w:color="000000" w:fill="FFFFFF"/>
            <w:hideMark/>
          </w:tcPr>
          <w:p w14:paraId="39582E7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6FA68DD"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897.319.561,84</w:t>
            </w:r>
          </w:p>
        </w:tc>
        <w:tc>
          <w:tcPr>
            <w:tcW w:w="1560" w:type="dxa"/>
            <w:tcBorders>
              <w:top w:val="nil"/>
              <w:left w:val="nil"/>
              <w:bottom w:val="nil"/>
              <w:right w:val="single" w:sz="4" w:space="0" w:color="000000"/>
            </w:tcBorders>
            <w:shd w:val="clear" w:color="000000" w:fill="FFFFFF"/>
            <w:hideMark/>
          </w:tcPr>
          <w:p w14:paraId="4F95A88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1.362.780.453,84</w:t>
            </w:r>
          </w:p>
        </w:tc>
      </w:tr>
      <w:tr w:rsidR="00FD42B1" w:rsidRPr="00103CC2" w14:paraId="7BA45AB7"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287BBA7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Participações e Contribuições</w:t>
            </w:r>
          </w:p>
        </w:tc>
        <w:tc>
          <w:tcPr>
            <w:tcW w:w="300" w:type="dxa"/>
            <w:tcBorders>
              <w:top w:val="nil"/>
              <w:left w:val="nil"/>
              <w:bottom w:val="nil"/>
              <w:right w:val="single" w:sz="4" w:space="0" w:color="000000"/>
            </w:tcBorders>
            <w:shd w:val="clear" w:color="000000" w:fill="FFFFFF"/>
            <w:hideMark/>
          </w:tcPr>
          <w:p w14:paraId="2DAC4C5B"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5FA0797"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401FF1A"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FD42B1" w:rsidRPr="00103CC2" w14:paraId="4490E321"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6B390940"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Constituição de Provisões</w:t>
            </w:r>
          </w:p>
        </w:tc>
        <w:tc>
          <w:tcPr>
            <w:tcW w:w="300" w:type="dxa"/>
            <w:tcBorders>
              <w:top w:val="nil"/>
              <w:left w:val="nil"/>
              <w:bottom w:val="nil"/>
              <w:right w:val="single" w:sz="4" w:space="0" w:color="000000"/>
            </w:tcBorders>
            <w:shd w:val="clear" w:color="000000" w:fill="FFFFFF"/>
            <w:hideMark/>
          </w:tcPr>
          <w:p w14:paraId="0624D650"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E3E6A7E"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3.413.788.869,42</w:t>
            </w:r>
          </w:p>
        </w:tc>
        <w:tc>
          <w:tcPr>
            <w:tcW w:w="1560" w:type="dxa"/>
            <w:tcBorders>
              <w:top w:val="nil"/>
              <w:left w:val="nil"/>
              <w:bottom w:val="nil"/>
              <w:right w:val="single" w:sz="4" w:space="0" w:color="000000"/>
            </w:tcBorders>
            <w:shd w:val="clear" w:color="000000" w:fill="FFFFFF"/>
            <w:hideMark/>
          </w:tcPr>
          <w:p w14:paraId="4B883CCA"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3.153.937.533,01</w:t>
            </w:r>
          </w:p>
        </w:tc>
      </w:tr>
      <w:tr w:rsidR="00FD42B1" w:rsidRPr="00103CC2" w14:paraId="12DD5AE2"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0566495A"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Diversas Variações Patrimoniais Diminutivas</w:t>
            </w:r>
          </w:p>
        </w:tc>
        <w:tc>
          <w:tcPr>
            <w:tcW w:w="300" w:type="dxa"/>
            <w:tcBorders>
              <w:top w:val="nil"/>
              <w:left w:val="nil"/>
              <w:bottom w:val="nil"/>
              <w:right w:val="single" w:sz="4" w:space="0" w:color="000000"/>
            </w:tcBorders>
            <w:shd w:val="clear" w:color="000000" w:fill="FFFFFF"/>
            <w:hideMark/>
          </w:tcPr>
          <w:p w14:paraId="4018A570"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C8F85D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138.219.188,94</w:t>
            </w:r>
          </w:p>
        </w:tc>
        <w:tc>
          <w:tcPr>
            <w:tcW w:w="1560" w:type="dxa"/>
            <w:tcBorders>
              <w:top w:val="nil"/>
              <w:left w:val="nil"/>
              <w:bottom w:val="nil"/>
              <w:right w:val="single" w:sz="4" w:space="0" w:color="000000"/>
            </w:tcBorders>
            <w:shd w:val="clear" w:color="000000" w:fill="FFFFFF"/>
            <w:hideMark/>
          </w:tcPr>
          <w:p w14:paraId="790D6B6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237.000.607,91</w:t>
            </w:r>
          </w:p>
        </w:tc>
      </w:tr>
      <w:tr w:rsidR="00FD42B1" w:rsidRPr="00103CC2" w14:paraId="77CB0249" w14:textId="77777777" w:rsidTr="00FD42B1">
        <w:trPr>
          <w:trHeight w:val="199"/>
          <w:jc w:val="center"/>
        </w:trPr>
        <w:tc>
          <w:tcPr>
            <w:tcW w:w="3560" w:type="dxa"/>
            <w:gridSpan w:val="5"/>
            <w:tcBorders>
              <w:top w:val="nil"/>
              <w:left w:val="single" w:sz="4" w:space="0" w:color="000000"/>
              <w:bottom w:val="nil"/>
              <w:right w:val="single" w:sz="4" w:space="0" w:color="000000"/>
            </w:tcBorders>
            <w:shd w:val="clear" w:color="000000" w:fill="FFFFFF"/>
            <w:hideMark/>
          </w:tcPr>
          <w:p w14:paraId="50F44048"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300" w:type="dxa"/>
            <w:tcBorders>
              <w:top w:val="nil"/>
              <w:left w:val="nil"/>
              <w:bottom w:val="nil"/>
              <w:right w:val="single" w:sz="4" w:space="0" w:color="000000"/>
            </w:tcBorders>
            <w:shd w:val="clear" w:color="000000" w:fill="FFFFFF"/>
            <w:hideMark/>
          </w:tcPr>
          <w:p w14:paraId="4552DC21"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6D3ACE4"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560" w:type="dxa"/>
            <w:tcBorders>
              <w:top w:val="nil"/>
              <w:left w:val="nil"/>
              <w:bottom w:val="nil"/>
              <w:right w:val="single" w:sz="4" w:space="0" w:color="000000"/>
            </w:tcBorders>
            <w:shd w:val="clear" w:color="000000" w:fill="FFFFFF"/>
            <w:hideMark/>
          </w:tcPr>
          <w:p w14:paraId="519C6491"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r>
      <w:tr w:rsidR="00FD42B1" w:rsidRPr="00103CC2" w14:paraId="24B66F3F" w14:textId="77777777" w:rsidTr="00FD42B1">
        <w:trPr>
          <w:trHeight w:val="199"/>
          <w:jc w:val="center"/>
        </w:trPr>
        <w:tc>
          <w:tcPr>
            <w:tcW w:w="3560" w:type="dxa"/>
            <w:gridSpan w:val="5"/>
            <w:tcBorders>
              <w:top w:val="single" w:sz="4" w:space="0" w:color="000000"/>
              <w:left w:val="single" w:sz="4" w:space="0" w:color="000000"/>
              <w:bottom w:val="nil"/>
              <w:right w:val="single" w:sz="4" w:space="0" w:color="000000"/>
            </w:tcBorders>
            <w:shd w:val="clear" w:color="000000" w:fill="FFFFFF"/>
            <w:hideMark/>
          </w:tcPr>
          <w:p w14:paraId="4223B523" w14:textId="77777777" w:rsidR="00FD42B1" w:rsidRPr="00103CC2" w:rsidRDefault="00FD42B1" w:rsidP="00FD42B1">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RESULTADO PATRIMONIAL DO PERÍODO</w:t>
            </w:r>
          </w:p>
        </w:tc>
        <w:tc>
          <w:tcPr>
            <w:tcW w:w="300" w:type="dxa"/>
            <w:tcBorders>
              <w:top w:val="single" w:sz="4" w:space="0" w:color="000000"/>
              <w:left w:val="nil"/>
              <w:bottom w:val="nil"/>
              <w:right w:val="single" w:sz="4" w:space="0" w:color="000000"/>
            </w:tcBorders>
            <w:shd w:val="clear" w:color="000000" w:fill="FFFFFF"/>
            <w:hideMark/>
          </w:tcPr>
          <w:p w14:paraId="6EE8DB0D"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07</w:t>
            </w:r>
          </w:p>
        </w:tc>
        <w:tc>
          <w:tcPr>
            <w:tcW w:w="1480" w:type="dxa"/>
            <w:tcBorders>
              <w:top w:val="single" w:sz="4" w:space="0" w:color="000000"/>
              <w:left w:val="nil"/>
              <w:bottom w:val="nil"/>
              <w:right w:val="single" w:sz="4" w:space="0" w:color="000000"/>
            </w:tcBorders>
            <w:shd w:val="clear" w:color="000000" w:fill="FFFFFF"/>
            <w:hideMark/>
          </w:tcPr>
          <w:p w14:paraId="76286BAB"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16.650.106.057,39</w:t>
            </w:r>
          </w:p>
        </w:tc>
        <w:tc>
          <w:tcPr>
            <w:tcW w:w="1560" w:type="dxa"/>
            <w:tcBorders>
              <w:top w:val="single" w:sz="4" w:space="0" w:color="000000"/>
              <w:left w:val="nil"/>
              <w:bottom w:val="nil"/>
              <w:right w:val="single" w:sz="4" w:space="0" w:color="000000"/>
            </w:tcBorders>
            <w:shd w:val="clear" w:color="000000" w:fill="FFFFFF"/>
            <w:hideMark/>
          </w:tcPr>
          <w:p w14:paraId="07B77955" w14:textId="77777777" w:rsidR="00FD42B1" w:rsidRPr="00103CC2" w:rsidRDefault="00FD42B1" w:rsidP="00FD42B1">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13.282.640.745,42</w:t>
            </w:r>
          </w:p>
        </w:tc>
      </w:tr>
      <w:tr w:rsidR="00FD42B1" w:rsidRPr="00103CC2" w14:paraId="1411E9E5" w14:textId="77777777" w:rsidTr="00FD42B1">
        <w:trPr>
          <w:trHeight w:val="19"/>
          <w:jc w:val="center"/>
        </w:trPr>
        <w:tc>
          <w:tcPr>
            <w:tcW w:w="6900" w:type="dxa"/>
            <w:gridSpan w:val="8"/>
            <w:tcBorders>
              <w:top w:val="single" w:sz="4" w:space="0" w:color="000000"/>
              <w:left w:val="nil"/>
              <w:bottom w:val="nil"/>
              <w:right w:val="nil"/>
            </w:tcBorders>
            <w:shd w:val="clear" w:color="000000" w:fill="FFFFFF"/>
            <w:hideMark/>
          </w:tcPr>
          <w:p w14:paraId="05D694AA"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FD42B1" w:rsidRPr="00103CC2" w14:paraId="0E8C7863" w14:textId="77777777" w:rsidTr="00FD42B1">
        <w:trPr>
          <w:trHeight w:val="199"/>
          <w:jc w:val="center"/>
        </w:trPr>
        <w:tc>
          <w:tcPr>
            <w:tcW w:w="620" w:type="dxa"/>
            <w:tcBorders>
              <w:top w:val="nil"/>
              <w:left w:val="nil"/>
              <w:bottom w:val="nil"/>
              <w:right w:val="nil"/>
            </w:tcBorders>
            <w:shd w:val="clear" w:color="000000" w:fill="FFFFFF"/>
            <w:hideMark/>
          </w:tcPr>
          <w:p w14:paraId="0E46A925"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0" w:type="dxa"/>
            <w:tcBorders>
              <w:top w:val="nil"/>
              <w:left w:val="nil"/>
              <w:bottom w:val="nil"/>
              <w:right w:val="nil"/>
            </w:tcBorders>
            <w:shd w:val="clear" w:color="000000" w:fill="FFFFFF"/>
            <w:hideMark/>
          </w:tcPr>
          <w:p w14:paraId="47D3B7B3"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00" w:type="dxa"/>
            <w:tcBorders>
              <w:top w:val="nil"/>
              <w:left w:val="nil"/>
              <w:bottom w:val="nil"/>
              <w:right w:val="nil"/>
            </w:tcBorders>
            <w:shd w:val="clear" w:color="000000" w:fill="FFFFFF"/>
            <w:hideMark/>
          </w:tcPr>
          <w:p w14:paraId="203B1DE7" w14:textId="01CBAD7C"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40" w:type="dxa"/>
            <w:tcBorders>
              <w:top w:val="nil"/>
              <w:left w:val="nil"/>
              <w:bottom w:val="nil"/>
              <w:right w:val="nil"/>
            </w:tcBorders>
            <w:shd w:val="clear" w:color="000000" w:fill="FFFFFF"/>
            <w:hideMark/>
          </w:tcPr>
          <w:p w14:paraId="16F6F286"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180" w:type="dxa"/>
            <w:tcBorders>
              <w:top w:val="nil"/>
              <w:left w:val="nil"/>
              <w:bottom w:val="nil"/>
              <w:right w:val="nil"/>
            </w:tcBorders>
            <w:shd w:val="clear" w:color="000000" w:fill="FFFFFF"/>
            <w:hideMark/>
          </w:tcPr>
          <w:p w14:paraId="1AC2BCB9"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00" w:type="dxa"/>
            <w:tcBorders>
              <w:top w:val="nil"/>
              <w:left w:val="nil"/>
              <w:bottom w:val="nil"/>
              <w:right w:val="nil"/>
            </w:tcBorders>
            <w:shd w:val="clear" w:color="000000" w:fill="FFFFFF"/>
            <w:hideMark/>
          </w:tcPr>
          <w:p w14:paraId="3BCEC7F8"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80" w:type="dxa"/>
            <w:tcBorders>
              <w:top w:val="nil"/>
              <w:left w:val="nil"/>
              <w:bottom w:val="nil"/>
              <w:right w:val="nil"/>
            </w:tcBorders>
            <w:shd w:val="clear" w:color="000000" w:fill="FFFFFF"/>
            <w:hideMark/>
          </w:tcPr>
          <w:p w14:paraId="06DA48DE"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560" w:type="dxa"/>
            <w:tcBorders>
              <w:top w:val="nil"/>
              <w:left w:val="nil"/>
              <w:bottom w:val="nil"/>
              <w:right w:val="nil"/>
            </w:tcBorders>
            <w:shd w:val="clear" w:color="000000" w:fill="FFFFFF"/>
            <w:hideMark/>
          </w:tcPr>
          <w:p w14:paraId="7F2A22F8"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FD42B1" w:rsidRPr="00103CC2" w14:paraId="32CCC3EE" w14:textId="77777777" w:rsidTr="00FD42B1">
        <w:trPr>
          <w:trHeight w:val="276"/>
          <w:jc w:val="center"/>
        </w:trPr>
        <w:tc>
          <w:tcPr>
            <w:tcW w:w="6900" w:type="dxa"/>
            <w:gridSpan w:val="8"/>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F31DD8" w14:textId="77777777" w:rsidR="00FD42B1" w:rsidRPr="00103CC2" w:rsidRDefault="00FD42B1" w:rsidP="00FD42B1">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VARIAÇÕES PATRIMONIAIS QUALITATIVAS</w:t>
            </w:r>
          </w:p>
        </w:tc>
      </w:tr>
      <w:tr w:rsidR="00FD42B1" w:rsidRPr="00103CC2" w14:paraId="3BE12113" w14:textId="77777777" w:rsidTr="00FD42B1">
        <w:trPr>
          <w:trHeight w:val="276"/>
          <w:jc w:val="center"/>
        </w:trPr>
        <w:tc>
          <w:tcPr>
            <w:tcW w:w="6900" w:type="dxa"/>
            <w:gridSpan w:val="8"/>
            <w:vMerge/>
            <w:tcBorders>
              <w:top w:val="single" w:sz="4" w:space="0" w:color="000000"/>
              <w:left w:val="single" w:sz="4" w:space="0" w:color="000000"/>
              <w:bottom w:val="single" w:sz="4" w:space="0" w:color="000000"/>
              <w:right w:val="single" w:sz="4" w:space="0" w:color="000000"/>
            </w:tcBorders>
            <w:vAlign w:val="center"/>
            <w:hideMark/>
          </w:tcPr>
          <w:p w14:paraId="748560D7"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p>
        </w:tc>
      </w:tr>
      <w:tr w:rsidR="00FD42B1" w:rsidRPr="00103CC2" w14:paraId="1CA25B1C" w14:textId="77777777" w:rsidTr="00FD42B1">
        <w:trPr>
          <w:trHeight w:val="276"/>
          <w:jc w:val="center"/>
        </w:trPr>
        <w:tc>
          <w:tcPr>
            <w:tcW w:w="6900" w:type="dxa"/>
            <w:gridSpan w:val="8"/>
            <w:vMerge/>
            <w:tcBorders>
              <w:top w:val="single" w:sz="4" w:space="0" w:color="000000"/>
              <w:left w:val="single" w:sz="4" w:space="0" w:color="000000"/>
              <w:bottom w:val="single" w:sz="4" w:space="0" w:color="000000"/>
              <w:right w:val="single" w:sz="4" w:space="0" w:color="000000"/>
            </w:tcBorders>
            <w:vAlign w:val="center"/>
            <w:hideMark/>
          </w:tcPr>
          <w:p w14:paraId="46BEB13D"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p>
        </w:tc>
      </w:tr>
      <w:tr w:rsidR="00FD42B1" w:rsidRPr="00103CC2" w14:paraId="569194E3" w14:textId="77777777" w:rsidTr="001F5575">
        <w:trPr>
          <w:trHeight w:val="240"/>
          <w:jc w:val="center"/>
        </w:trPr>
        <w:tc>
          <w:tcPr>
            <w:tcW w:w="356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8E14DF" w14:textId="77777777" w:rsidR="00FD42B1" w:rsidRPr="00103CC2" w:rsidRDefault="00FD42B1" w:rsidP="00FD42B1">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w:t>
            </w:r>
          </w:p>
        </w:tc>
        <w:tc>
          <w:tcPr>
            <w:tcW w:w="300" w:type="dxa"/>
            <w:tcBorders>
              <w:top w:val="nil"/>
              <w:left w:val="nil"/>
              <w:bottom w:val="single" w:sz="4" w:space="0" w:color="000000"/>
              <w:right w:val="single" w:sz="4" w:space="0" w:color="000000"/>
            </w:tcBorders>
            <w:shd w:val="clear" w:color="000000" w:fill="FFFFFF"/>
            <w:vAlign w:val="center"/>
            <w:hideMark/>
          </w:tcPr>
          <w:p w14:paraId="34C35E5E" w14:textId="77777777" w:rsidR="00FD42B1" w:rsidRPr="00103CC2" w:rsidRDefault="00FD42B1" w:rsidP="00FD42B1">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nil"/>
              <w:left w:val="nil"/>
              <w:bottom w:val="single" w:sz="4" w:space="0" w:color="000000"/>
              <w:right w:val="single" w:sz="4" w:space="0" w:color="000000"/>
            </w:tcBorders>
            <w:shd w:val="clear" w:color="000000" w:fill="FFFFFF"/>
            <w:vAlign w:val="center"/>
            <w:hideMark/>
          </w:tcPr>
          <w:p w14:paraId="46080E32"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2020</w:t>
            </w:r>
          </w:p>
        </w:tc>
        <w:tc>
          <w:tcPr>
            <w:tcW w:w="1560" w:type="dxa"/>
            <w:tcBorders>
              <w:top w:val="nil"/>
              <w:left w:val="nil"/>
              <w:bottom w:val="single" w:sz="4" w:space="0" w:color="000000"/>
              <w:right w:val="single" w:sz="4" w:space="0" w:color="000000"/>
            </w:tcBorders>
            <w:shd w:val="clear" w:color="000000" w:fill="FFFFFF"/>
            <w:vAlign w:val="center"/>
            <w:hideMark/>
          </w:tcPr>
          <w:p w14:paraId="3E156A08" w14:textId="77777777" w:rsidR="00FD42B1" w:rsidRPr="00103CC2" w:rsidRDefault="00FD42B1" w:rsidP="00FD42B1">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2019</w:t>
            </w:r>
          </w:p>
        </w:tc>
      </w:tr>
      <w:tr w:rsidR="00FD42B1" w:rsidRPr="00103CC2" w14:paraId="1C84CE29" w14:textId="77777777" w:rsidTr="001F5575">
        <w:trPr>
          <w:trHeight w:val="199"/>
          <w:jc w:val="center"/>
        </w:trPr>
        <w:tc>
          <w:tcPr>
            <w:tcW w:w="3560" w:type="dxa"/>
            <w:gridSpan w:val="5"/>
            <w:tcBorders>
              <w:top w:val="single" w:sz="4" w:space="0" w:color="000000"/>
              <w:left w:val="single" w:sz="4" w:space="0" w:color="000000"/>
              <w:right w:val="single" w:sz="4" w:space="0" w:color="000000"/>
            </w:tcBorders>
            <w:shd w:val="clear" w:color="000000" w:fill="FFFFFF"/>
            <w:hideMark/>
          </w:tcPr>
          <w:p w14:paraId="2A09BC75"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300" w:type="dxa"/>
            <w:tcBorders>
              <w:top w:val="single" w:sz="4" w:space="0" w:color="000000"/>
              <w:left w:val="nil"/>
              <w:right w:val="single" w:sz="4" w:space="0" w:color="000000"/>
            </w:tcBorders>
            <w:shd w:val="clear" w:color="000000" w:fill="FFFFFF"/>
            <w:hideMark/>
          </w:tcPr>
          <w:p w14:paraId="528F8EDF" w14:textId="77777777" w:rsidR="00FD42B1" w:rsidRPr="00103CC2" w:rsidRDefault="00FD42B1" w:rsidP="00FD42B1">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80" w:type="dxa"/>
            <w:tcBorders>
              <w:top w:val="single" w:sz="4" w:space="0" w:color="000000"/>
              <w:left w:val="nil"/>
              <w:right w:val="single" w:sz="4" w:space="0" w:color="000000"/>
            </w:tcBorders>
            <w:shd w:val="clear" w:color="000000" w:fill="FFFFFF"/>
            <w:hideMark/>
          </w:tcPr>
          <w:p w14:paraId="6868EDF5"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560" w:type="dxa"/>
            <w:tcBorders>
              <w:top w:val="single" w:sz="4" w:space="0" w:color="000000"/>
              <w:left w:val="nil"/>
              <w:right w:val="single" w:sz="4" w:space="0" w:color="000000"/>
            </w:tcBorders>
            <w:shd w:val="clear" w:color="000000" w:fill="FFFFFF"/>
            <w:hideMark/>
          </w:tcPr>
          <w:p w14:paraId="1C7DADE4" w14:textId="77777777" w:rsidR="00FD42B1" w:rsidRPr="00103CC2" w:rsidRDefault="00FD42B1" w:rsidP="00FD42B1">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r>
      <w:tr w:rsidR="00FD42B1" w:rsidRPr="00103CC2" w14:paraId="607337C4" w14:textId="77777777" w:rsidTr="001F5575">
        <w:trPr>
          <w:trHeight w:val="19"/>
          <w:jc w:val="center"/>
        </w:trPr>
        <w:tc>
          <w:tcPr>
            <w:tcW w:w="6900" w:type="dxa"/>
            <w:gridSpan w:val="8"/>
            <w:tcBorders>
              <w:left w:val="nil"/>
              <w:bottom w:val="nil"/>
              <w:right w:val="nil"/>
            </w:tcBorders>
            <w:shd w:val="clear" w:color="000000" w:fill="FFFFFF"/>
            <w:hideMark/>
          </w:tcPr>
          <w:p w14:paraId="2DE5B591" w14:textId="77777777" w:rsidR="00FD42B1" w:rsidRPr="00103CC2" w:rsidRDefault="00FD42B1" w:rsidP="00FD42B1">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lastRenderedPageBreak/>
              <w:t> </w:t>
            </w:r>
          </w:p>
        </w:tc>
      </w:tr>
    </w:tbl>
    <w:p w14:paraId="3F2F4DF8" w14:textId="77777777" w:rsidR="00397A9E" w:rsidRPr="00B42317" w:rsidRDefault="00397A9E">
      <w:pPr>
        <w:rPr>
          <w:rFonts w:cs="Times New Roman"/>
          <w:b/>
          <w:sz w:val="16"/>
          <w:szCs w:val="16"/>
        </w:rPr>
      </w:pPr>
    </w:p>
    <w:p w14:paraId="14CEEEED" w14:textId="77777777" w:rsidR="00397A9E" w:rsidRDefault="003210ED">
      <w:pPr>
        <w:jc w:val="center"/>
        <w:rPr>
          <w:rFonts w:cs="Times New Roman"/>
          <w:b/>
        </w:rPr>
      </w:pPr>
      <w:r>
        <w:rPr>
          <w:rFonts w:cs="Times New Roman"/>
          <w:b/>
        </w:rPr>
        <w:t>Balanço Orçamentário</w:t>
      </w:r>
    </w:p>
    <w:p w14:paraId="61B0A6AE" w14:textId="77777777" w:rsidR="00397A9E" w:rsidRPr="00B42317" w:rsidRDefault="00397A9E">
      <w:pPr>
        <w:jc w:val="center"/>
        <w:rPr>
          <w:rFonts w:cs="Times New Roman"/>
          <w:b/>
          <w:sz w:val="16"/>
          <w:szCs w:val="16"/>
        </w:rPr>
      </w:pPr>
    </w:p>
    <w:p w14:paraId="50F73DF9" w14:textId="77777777" w:rsidR="002B5CA8" w:rsidRPr="00B42317" w:rsidRDefault="002B5CA8">
      <w:pPr>
        <w:jc w:val="center"/>
        <w:rPr>
          <w:rFonts w:cs="Times New Roman"/>
          <w:b/>
          <w:sz w:val="16"/>
          <w:szCs w:val="16"/>
        </w:rPr>
      </w:pPr>
    </w:p>
    <w:p w14:paraId="38114E5A" w14:textId="77777777" w:rsidR="00397A9E" w:rsidRPr="00B42317" w:rsidRDefault="00397A9E">
      <w:pPr>
        <w:pStyle w:val="Ttulo2"/>
        <w:jc w:val="left"/>
        <w:rPr>
          <w:rFonts w:ascii="Times New Roman" w:hAnsi="Times New Roman"/>
          <w:color w:val="000000"/>
          <w:sz w:val="16"/>
          <w:szCs w:val="16"/>
        </w:rPr>
      </w:pPr>
      <w:bookmarkStart w:id="1" w:name="_Toc445286273"/>
      <w:bookmarkStart w:id="2" w:name="_Toc456950378"/>
    </w:p>
    <w:p w14:paraId="0AF7A4D2" w14:textId="77777777" w:rsidR="00397A9E" w:rsidRPr="00B42317" w:rsidRDefault="00397A9E">
      <w:pPr>
        <w:rPr>
          <w:sz w:val="16"/>
          <w:szCs w:val="16"/>
        </w:rPr>
      </w:pPr>
    </w:p>
    <w:tbl>
      <w:tblPr>
        <w:tblW w:w="14040" w:type="dxa"/>
        <w:tblCellMar>
          <w:left w:w="70" w:type="dxa"/>
          <w:right w:w="70" w:type="dxa"/>
        </w:tblCellMar>
        <w:tblLook w:val="04A0" w:firstRow="1" w:lastRow="0" w:firstColumn="1" w:lastColumn="0" w:noHBand="0" w:noVBand="1"/>
      </w:tblPr>
      <w:tblGrid>
        <w:gridCol w:w="578"/>
        <w:gridCol w:w="171"/>
        <w:gridCol w:w="537"/>
        <w:gridCol w:w="171"/>
        <w:gridCol w:w="1023"/>
        <w:gridCol w:w="413"/>
        <w:gridCol w:w="1645"/>
        <w:gridCol w:w="171"/>
        <w:gridCol w:w="413"/>
        <w:gridCol w:w="200"/>
        <w:gridCol w:w="400"/>
        <w:gridCol w:w="838"/>
        <w:gridCol w:w="171"/>
        <w:gridCol w:w="543"/>
        <w:gridCol w:w="171"/>
        <w:gridCol w:w="584"/>
        <w:gridCol w:w="480"/>
        <w:gridCol w:w="900"/>
        <w:gridCol w:w="171"/>
        <w:gridCol w:w="171"/>
        <w:gridCol w:w="707"/>
        <w:gridCol w:w="628"/>
        <w:gridCol w:w="670"/>
        <w:gridCol w:w="171"/>
        <w:gridCol w:w="358"/>
        <w:gridCol w:w="337"/>
        <w:gridCol w:w="1418"/>
      </w:tblGrid>
      <w:tr w:rsidR="00103CC2" w:rsidRPr="00103CC2" w14:paraId="46EF49BB" w14:textId="77777777" w:rsidTr="00103CC2">
        <w:trPr>
          <w:trHeight w:val="120"/>
        </w:trPr>
        <w:tc>
          <w:tcPr>
            <w:tcW w:w="619" w:type="dxa"/>
            <w:vMerge w:val="restart"/>
            <w:tcBorders>
              <w:top w:val="nil"/>
              <w:left w:val="nil"/>
              <w:bottom w:val="nil"/>
              <w:right w:val="nil"/>
            </w:tcBorders>
            <w:shd w:val="clear" w:color="000000" w:fill="FFFFFF"/>
            <w:hideMark/>
          </w:tcPr>
          <w:p w14:paraId="597AC2C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noProof/>
                <w:color w:val="000000"/>
                <w:kern w:val="0"/>
                <w:sz w:val="14"/>
                <w:szCs w:val="14"/>
                <w:lang w:eastAsia="pt-BR" w:bidi="ar-SA"/>
              </w:rPr>
              <w:drawing>
                <wp:anchor distT="0" distB="0" distL="114300" distR="114300" simplePos="0" relativeHeight="251671552" behindDoc="0" locked="0" layoutInCell="1" allowOverlap="1" wp14:anchorId="6C35C08B" wp14:editId="65289752">
                  <wp:simplePos x="0" y="0"/>
                  <wp:positionH relativeFrom="column">
                    <wp:posOffset>0</wp:posOffset>
                  </wp:positionH>
                  <wp:positionV relativeFrom="paragraph">
                    <wp:posOffset>0</wp:posOffset>
                  </wp:positionV>
                  <wp:extent cx="333375" cy="390525"/>
                  <wp:effectExtent l="0" t="0" r="9525" b="9525"/>
                  <wp:wrapNone/>
                  <wp:docPr id="2069" name="Imagem 2069"/>
                  <wp:cNvGraphicFramePr/>
                  <a:graphic xmlns:a="http://schemas.openxmlformats.org/drawingml/2006/main">
                    <a:graphicData uri="http://schemas.openxmlformats.org/drawingml/2006/picture">
                      <pic:pic xmlns:pic="http://schemas.openxmlformats.org/drawingml/2006/picture">
                        <pic:nvPicPr>
                          <pic:cNvPr id="206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0" w:type="dxa"/>
            <w:tcBorders>
              <w:top w:val="nil"/>
              <w:left w:val="nil"/>
              <w:bottom w:val="nil"/>
              <w:right w:val="nil"/>
            </w:tcBorders>
            <w:shd w:val="clear" w:color="000000" w:fill="FFFFFF"/>
            <w:hideMark/>
          </w:tcPr>
          <w:p w14:paraId="558E8EB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59055D6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3DDCA28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77" w:type="dxa"/>
            <w:tcBorders>
              <w:top w:val="nil"/>
              <w:left w:val="nil"/>
              <w:bottom w:val="nil"/>
              <w:right w:val="nil"/>
            </w:tcBorders>
            <w:shd w:val="clear" w:color="000000" w:fill="FFFFFF"/>
            <w:hideMark/>
          </w:tcPr>
          <w:p w14:paraId="54546079"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4405E1B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777" w:type="dxa"/>
            <w:tcBorders>
              <w:top w:val="nil"/>
              <w:left w:val="nil"/>
              <w:bottom w:val="nil"/>
              <w:right w:val="nil"/>
            </w:tcBorders>
            <w:shd w:val="clear" w:color="000000" w:fill="FFFFFF"/>
            <w:hideMark/>
          </w:tcPr>
          <w:p w14:paraId="30B1089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12A26969"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7BB2A69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00" w:type="dxa"/>
            <w:tcBorders>
              <w:top w:val="nil"/>
              <w:left w:val="nil"/>
              <w:bottom w:val="nil"/>
              <w:right w:val="nil"/>
            </w:tcBorders>
            <w:shd w:val="clear" w:color="000000" w:fill="FFFFFF"/>
            <w:hideMark/>
          </w:tcPr>
          <w:p w14:paraId="0FAE4A6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0" w:type="dxa"/>
            <w:tcBorders>
              <w:top w:val="nil"/>
              <w:left w:val="nil"/>
              <w:bottom w:val="nil"/>
              <w:right w:val="nil"/>
            </w:tcBorders>
            <w:shd w:val="clear" w:color="000000" w:fill="FFFFFF"/>
            <w:hideMark/>
          </w:tcPr>
          <w:p w14:paraId="2C68E6A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79" w:type="dxa"/>
            <w:tcBorders>
              <w:top w:val="nil"/>
              <w:left w:val="nil"/>
              <w:bottom w:val="nil"/>
              <w:right w:val="nil"/>
            </w:tcBorders>
            <w:shd w:val="clear" w:color="000000" w:fill="FFFFFF"/>
            <w:hideMark/>
          </w:tcPr>
          <w:p w14:paraId="4F644B1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55A259D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79" w:type="dxa"/>
            <w:tcBorders>
              <w:top w:val="nil"/>
              <w:left w:val="nil"/>
              <w:bottom w:val="nil"/>
              <w:right w:val="nil"/>
            </w:tcBorders>
            <w:shd w:val="clear" w:color="000000" w:fill="FFFFFF"/>
            <w:hideMark/>
          </w:tcPr>
          <w:p w14:paraId="505DAA2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0" w:type="dxa"/>
            <w:tcBorders>
              <w:top w:val="nil"/>
              <w:left w:val="nil"/>
              <w:bottom w:val="nil"/>
              <w:right w:val="nil"/>
            </w:tcBorders>
            <w:shd w:val="clear" w:color="000000" w:fill="FFFFFF"/>
            <w:hideMark/>
          </w:tcPr>
          <w:p w14:paraId="34558F9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517212C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80" w:type="dxa"/>
            <w:tcBorders>
              <w:top w:val="nil"/>
              <w:left w:val="nil"/>
              <w:bottom w:val="nil"/>
              <w:right w:val="nil"/>
            </w:tcBorders>
            <w:shd w:val="clear" w:color="000000" w:fill="FFFFFF"/>
            <w:hideMark/>
          </w:tcPr>
          <w:p w14:paraId="2048543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978" w:type="dxa"/>
            <w:tcBorders>
              <w:top w:val="nil"/>
              <w:left w:val="nil"/>
              <w:bottom w:val="nil"/>
              <w:right w:val="nil"/>
            </w:tcBorders>
            <w:shd w:val="clear" w:color="000000" w:fill="FFFFFF"/>
            <w:hideMark/>
          </w:tcPr>
          <w:p w14:paraId="11D35A4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743A6A1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0" w:type="dxa"/>
            <w:tcBorders>
              <w:top w:val="nil"/>
              <w:left w:val="nil"/>
              <w:bottom w:val="nil"/>
              <w:right w:val="nil"/>
            </w:tcBorders>
            <w:shd w:val="clear" w:color="000000" w:fill="FFFFFF"/>
            <w:hideMark/>
          </w:tcPr>
          <w:p w14:paraId="0006006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719" w:type="dxa"/>
            <w:tcBorders>
              <w:top w:val="nil"/>
              <w:left w:val="nil"/>
              <w:bottom w:val="nil"/>
              <w:right w:val="nil"/>
            </w:tcBorders>
            <w:shd w:val="clear" w:color="000000" w:fill="FFFFFF"/>
            <w:hideMark/>
          </w:tcPr>
          <w:p w14:paraId="014B356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79" w:type="dxa"/>
            <w:tcBorders>
              <w:top w:val="nil"/>
              <w:left w:val="nil"/>
              <w:bottom w:val="nil"/>
              <w:right w:val="nil"/>
            </w:tcBorders>
            <w:shd w:val="clear" w:color="000000" w:fill="FFFFFF"/>
            <w:hideMark/>
          </w:tcPr>
          <w:p w14:paraId="3D4DA30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99" w:type="dxa"/>
            <w:tcBorders>
              <w:top w:val="nil"/>
              <w:left w:val="nil"/>
              <w:bottom w:val="nil"/>
              <w:right w:val="nil"/>
            </w:tcBorders>
            <w:shd w:val="clear" w:color="000000" w:fill="FFFFFF"/>
            <w:hideMark/>
          </w:tcPr>
          <w:p w14:paraId="6673A0B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7CE98DF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79" w:type="dxa"/>
            <w:tcBorders>
              <w:top w:val="nil"/>
              <w:left w:val="nil"/>
              <w:bottom w:val="nil"/>
              <w:right w:val="nil"/>
            </w:tcBorders>
            <w:shd w:val="clear" w:color="000000" w:fill="FFFFFF"/>
            <w:hideMark/>
          </w:tcPr>
          <w:p w14:paraId="26F7C50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59" w:type="dxa"/>
            <w:tcBorders>
              <w:top w:val="nil"/>
              <w:left w:val="nil"/>
              <w:bottom w:val="nil"/>
              <w:right w:val="nil"/>
            </w:tcBorders>
            <w:shd w:val="clear" w:color="000000" w:fill="FFFFFF"/>
            <w:hideMark/>
          </w:tcPr>
          <w:p w14:paraId="0A4F3D7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78" w:type="dxa"/>
            <w:tcBorders>
              <w:top w:val="nil"/>
              <w:left w:val="nil"/>
              <w:bottom w:val="nil"/>
              <w:right w:val="nil"/>
            </w:tcBorders>
            <w:shd w:val="clear" w:color="000000" w:fill="FFFFFF"/>
            <w:hideMark/>
          </w:tcPr>
          <w:p w14:paraId="1CF6E65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5CF3BCF3" w14:textId="77777777" w:rsidTr="00103CC2">
        <w:trPr>
          <w:trHeight w:val="240"/>
        </w:trPr>
        <w:tc>
          <w:tcPr>
            <w:tcW w:w="619" w:type="dxa"/>
            <w:vMerge/>
            <w:tcBorders>
              <w:top w:val="nil"/>
              <w:left w:val="nil"/>
              <w:bottom w:val="nil"/>
              <w:right w:val="nil"/>
            </w:tcBorders>
            <w:vAlign w:val="center"/>
            <w:hideMark/>
          </w:tcPr>
          <w:p w14:paraId="64EC78A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5EDC8F5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013" w:type="dxa"/>
            <w:gridSpan w:val="9"/>
            <w:tcBorders>
              <w:top w:val="nil"/>
              <w:left w:val="nil"/>
              <w:bottom w:val="nil"/>
              <w:right w:val="nil"/>
            </w:tcBorders>
            <w:shd w:val="clear" w:color="000000" w:fill="FFFFFF"/>
            <w:hideMark/>
          </w:tcPr>
          <w:p w14:paraId="4E73775C" w14:textId="77777777" w:rsidR="00103CC2" w:rsidRPr="00103CC2" w:rsidRDefault="00103CC2" w:rsidP="00103CC2">
            <w:pPr>
              <w:widowControl/>
              <w:suppressAutoHyphens w:val="0"/>
              <w:autoSpaceDN/>
              <w:textAlignment w:val="auto"/>
              <w:rPr>
                <w:rFonts w:ascii="SansSerif" w:eastAsia="Times New Roman" w:hAnsi="SansSerif" w:cs="Arial"/>
                <w:b/>
                <w:bCs/>
                <w:color w:val="000000"/>
                <w:kern w:val="0"/>
                <w:sz w:val="14"/>
                <w:szCs w:val="14"/>
                <w:lang w:eastAsia="pt-BR" w:bidi="ar-SA"/>
              </w:rPr>
            </w:pPr>
            <w:r w:rsidRPr="00103CC2">
              <w:rPr>
                <w:rFonts w:ascii="SansSerif" w:eastAsia="Times New Roman" w:hAnsi="SansSerif" w:cs="Arial"/>
                <w:b/>
                <w:bCs/>
                <w:color w:val="000000"/>
                <w:kern w:val="0"/>
                <w:sz w:val="14"/>
                <w:szCs w:val="14"/>
                <w:lang w:eastAsia="pt-BR" w:bidi="ar-SA"/>
              </w:rPr>
              <w:t>MINISTÉRIO DA FAZENDA</w:t>
            </w:r>
          </w:p>
        </w:tc>
        <w:tc>
          <w:tcPr>
            <w:tcW w:w="879" w:type="dxa"/>
            <w:tcBorders>
              <w:top w:val="nil"/>
              <w:left w:val="nil"/>
              <w:bottom w:val="nil"/>
              <w:right w:val="nil"/>
            </w:tcBorders>
            <w:shd w:val="clear" w:color="000000" w:fill="FFFFFF"/>
            <w:hideMark/>
          </w:tcPr>
          <w:p w14:paraId="3EB6E93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0A1D2F22"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79" w:type="dxa"/>
            <w:tcBorders>
              <w:top w:val="nil"/>
              <w:left w:val="nil"/>
              <w:bottom w:val="nil"/>
              <w:right w:val="nil"/>
            </w:tcBorders>
            <w:shd w:val="clear" w:color="000000" w:fill="FFFFFF"/>
            <w:hideMark/>
          </w:tcPr>
          <w:p w14:paraId="1CA5EA8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0" w:type="dxa"/>
            <w:tcBorders>
              <w:top w:val="nil"/>
              <w:left w:val="nil"/>
              <w:bottom w:val="nil"/>
              <w:right w:val="nil"/>
            </w:tcBorders>
            <w:shd w:val="clear" w:color="000000" w:fill="FFFFFF"/>
            <w:hideMark/>
          </w:tcPr>
          <w:p w14:paraId="2422A88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60A78C4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80" w:type="dxa"/>
            <w:tcBorders>
              <w:top w:val="nil"/>
              <w:left w:val="nil"/>
              <w:bottom w:val="nil"/>
              <w:right w:val="nil"/>
            </w:tcBorders>
            <w:shd w:val="clear" w:color="000000" w:fill="FFFFFF"/>
            <w:hideMark/>
          </w:tcPr>
          <w:p w14:paraId="16BD156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978" w:type="dxa"/>
            <w:tcBorders>
              <w:top w:val="nil"/>
              <w:left w:val="nil"/>
              <w:bottom w:val="nil"/>
              <w:right w:val="nil"/>
            </w:tcBorders>
            <w:shd w:val="clear" w:color="000000" w:fill="FFFFFF"/>
            <w:hideMark/>
          </w:tcPr>
          <w:p w14:paraId="6EE9C35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18F7B4A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0" w:type="dxa"/>
            <w:tcBorders>
              <w:top w:val="nil"/>
              <w:left w:val="nil"/>
              <w:bottom w:val="nil"/>
              <w:right w:val="nil"/>
            </w:tcBorders>
            <w:shd w:val="clear" w:color="000000" w:fill="FFFFFF"/>
            <w:hideMark/>
          </w:tcPr>
          <w:p w14:paraId="71DB233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719" w:type="dxa"/>
            <w:tcBorders>
              <w:top w:val="nil"/>
              <w:left w:val="nil"/>
              <w:bottom w:val="nil"/>
              <w:right w:val="nil"/>
            </w:tcBorders>
            <w:shd w:val="clear" w:color="000000" w:fill="FFFFFF"/>
            <w:hideMark/>
          </w:tcPr>
          <w:p w14:paraId="7EE2008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79" w:type="dxa"/>
            <w:tcBorders>
              <w:top w:val="nil"/>
              <w:left w:val="nil"/>
              <w:bottom w:val="nil"/>
              <w:right w:val="nil"/>
            </w:tcBorders>
            <w:shd w:val="clear" w:color="000000" w:fill="FFFFFF"/>
            <w:hideMark/>
          </w:tcPr>
          <w:p w14:paraId="3F3BA42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99" w:type="dxa"/>
            <w:tcBorders>
              <w:top w:val="nil"/>
              <w:left w:val="nil"/>
              <w:bottom w:val="nil"/>
              <w:right w:val="nil"/>
            </w:tcBorders>
            <w:shd w:val="clear" w:color="000000" w:fill="FFFFFF"/>
            <w:hideMark/>
          </w:tcPr>
          <w:p w14:paraId="6E14FC9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362A8B2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79" w:type="dxa"/>
            <w:tcBorders>
              <w:top w:val="nil"/>
              <w:left w:val="nil"/>
              <w:bottom w:val="nil"/>
              <w:right w:val="nil"/>
            </w:tcBorders>
            <w:shd w:val="clear" w:color="000000" w:fill="FFFFFF"/>
            <w:hideMark/>
          </w:tcPr>
          <w:p w14:paraId="1928A1B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59" w:type="dxa"/>
            <w:tcBorders>
              <w:top w:val="nil"/>
              <w:left w:val="nil"/>
              <w:bottom w:val="nil"/>
              <w:right w:val="nil"/>
            </w:tcBorders>
            <w:shd w:val="clear" w:color="000000" w:fill="FFFFFF"/>
            <w:hideMark/>
          </w:tcPr>
          <w:p w14:paraId="46D1E2AB"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78" w:type="dxa"/>
            <w:tcBorders>
              <w:top w:val="nil"/>
              <w:left w:val="nil"/>
              <w:bottom w:val="nil"/>
              <w:right w:val="nil"/>
            </w:tcBorders>
            <w:shd w:val="clear" w:color="000000" w:fill="FFFFFF"/>
            <w:hideMark/>
          </w:tcPr>
          <w:p w14:paraId="7CF1A27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4E9F817E" w14:textId="77777777" w:rsidTr="00103CC2">
        <w:trPr>
          <w:trHeight w:val="199"/>
        </w:trPr>
        <w:tc>
          <w:tcPr>
            <w:tcW w:w="619" w:type="dxa"/>
            <w:vMerge/>
            <w:tcBorders>
              <w:top w:val="nil"/>
              <w:left w:val="nil"/>
              <w:bottom w:val="nil"/>
              <w:right w:val="nil"/>
            </w:tcBorders>
            <w:vAlign w:val="center"/>
            <w:hideMark/>
          </w:tcPr>
          <w:p w14:paraId="0DA495D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7E1416B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013" w:type="dxa"/>
            <w:gridSpan w:val="9"/>
            <w:tcBorders>
              <w:top w:val="nil"/>
              <w:left w:val="nil"/>
              <w:bottom w:val="nil"/>
              <w:right w:val="nil"/>
            </w:tcBorders>
            <w:shd w:val="clear" w:color="000000" w:fill="FFFFFF"/>
            <w:hideMark/>
          </w:tcPr>
          <w:p w14:paraId="63B94A1E" w14:textId="77777777" w:rsidR="00103CC2" w:rsidRPr="00103CC2" w:rsidRDefault="00103CC2" w:rsidP="00103CC2">
            <w:pPr>
              <w:widowControl/>
              <w:suppressAutoHyphens w:val="0"/>
              <w:autoSpaceDN/>
              <w:textAlignment w:val="auto"/>
              <w:rPr>
                <w:rFonts w:ascii="SansSerif" w:eastAsia="Times New Roman" w:hAnsi="SansSerif" w:cs="Arial"/>
                <w:b/>
                <w:bCs/>
                <w:color w:val="000000"/>
                <w:kern w:val="0"/>
                <w:sz w:val="14"/>
                <w:szCs w:val="14"/>
                <w:lang w:eastAsia="pt-BR" w:bidi="ar-SA"/>
              </w:rPr>
            </w:pPr>
            <w:r w:rsidRPr="00103CC2">
              <w:rPr>
                <w:rFonts w:ascii="SansSerif" w:eastAsia="Times New Roman" w:hAnsi="SansSerif" w:cs="Arial"/>
                <w:b/>
                <w:bCs/>
                <w:color w:val="000000"/>
                <w:kern w:val="0"/>
                <w:sz w:val="14"/>
                <w:szCs w:val="14"/>
                <w:lang w:eastAsia="pt-BR" w:bidi="ar-SA"/>
              </w:rPr>
              <w:t>SECRETARIA DO TESOURO NACIONAL</w:t>
            </w:r>
          </w:p>
        </w:tc>
        <w:tc>
          <w:tcPr>
            <w:tcW w:w="879" w:type="dxa"/>
            <w:tcBorders>
              <w:top w:val="nil"/>
              <w:left w:val="nil"/>
              <w:bottom w:val="nil"/>
              <w:right w:val="nil"/>
            </w:tcBorders>
            <w:shd w:val="clear" w:color="000000" w:fill="FFFFFF"/>
            <w:hideMark/>
          </w:tcPr>
          <w:p w14:paraId="565D4BA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542CD91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79" w:type="dxa"/>
            <w:tcBorders>
              <w:top w:val="nil"/>
              <w:left w:val="nil"/>
              <w:bottom w:val="nil"/>
              <w:right w:val="nil"/>
            </w:tcBorders>
            <w:shd w:val="clear" w:color="000000" w:fill="FFFFFF"/>
            <w:hideMark/>
          </w:tcPr>
          <w:p w14:paraId="5791AF8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0" w:type="dxa"/>
            <w:tcBorders>
              <w:top w:val="nil"/>
              <w:left w:val="nil"/>
              <w:bottom w:val="nil"/>
              <w:right w:val="nil"/>
            </w:tcBorders>
            <w:shd w:val="clear" w:color="000000" w:fill="FFFFFF"/>
            <w:hideMark/>
          </w:tcPr>
          <w:p w14:paraId="0B08D71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6D316F6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80" w:type="dxa"/>
            <w:tcBorders>
              <w:top w:val="nil"/>
              <w:left w:val="nil"/>
              <w:bottom w:val="nil"/>
              <w:right w:val="nil"/>
            </w:tcBorders>
            <w:shd w:val="clear" w:color="000000" w:fill="FFFFFF"/>
            <w:hideMark/>
          </w:tcPr>
          <w:p w14:paraId="1C8B32D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978" w:type="dxa"/>
            <w:tcBorders>
              <w:top w:val="nil"/>
              <w:left w:val="nil"/>
              <w:bottom w:val="nil"/>
              <w:right w:val="nil"/>
            </w:tcBorders>
            <w:shd w:val="clear" w:color="000000" w:fill="FFFFFF"/>
            <w:hideMark/>
          </w:tcPr>
          <w:p w14:paraId="2329F79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1C0CFA89"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0" w:type="dxa"/>
            <w:tcBorders>
              <w:top w:val="nil"/>
              <w:left w:val="nil"/>
              <w:bottom w:val="nil"/>
              <w:right w:val="nil"/>
            </w:tcBorders>
            <w:shd w:val="clear" w:color="000000" w:fill="FFFFFF"/>
            <w:hideMark/>
          </w:tcPr>
          <w:p w14:paraId="38F40B99"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719" w:type="dxa"/>
            <w:tcBorders>
              <w:top w:val="nil"/>
              <w:left w:val="nil"/>
              <w:bottom w:val="nil"/>
              <w:right w:val="nil"/>
            </w:tcBorders>
            <w:shd w:val="clear" w:color="000000" w:fill="FFFFFF"/>
            <w:hideMark/>
          </w:tcPr>
          <w:p w14:paraId="056DBE6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79" w:type="dxa"/>
            <w:tcBorders>
              <w:top w:val="nil"/>
              <w:left w:val="nil"/>
              <w:bottom w:val="nil"/>
              <w:right w:val="nil"/>
            </w:tcBorders>
            <w:shd w:val="clear" w:color="000000" w:fill="FFFFFF"/>
            <w:hideMark/>
          </w:tcPr>
          <w:p w14:paraId="5E2E5CB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99" w:type="dxa"/>
            <w:tcBorders>
              <w:top w:val="nil"/>
              <w:left w:val="nil"/>
              <w:bottom w:val="nil"/>
              <w:right w:val="nil"/>
            </w:tcBorders>
            <w:shd w:val="clear" w:color="000000" w:fill="FFFFFF"/>
            <w:hideMark/>
          </w:tcPr>
          <w:p w14:paraId="33A8D15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6E74F60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79" w:type="dxa"/>
            <w:tcBorders>
              <w:top w:val="nil"/>
              <w:left w:val="nil"/>
              <w:bottom w:val="nil"/>
              <w:right w:val="nil"/>
            </w:tcBorders>
            <w:shd w:val="clear" w:color="000000" w:fill="FFFFFF"/>
            <w:hideMark/>
          </w:tcPr>
          <w:p w14:paraId="180EBC6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59" w:type="dxa"/>
            <w:tcBorders>
              <w:top w:val="nil"/>
              <w:left w:val="nil"/>
              <w:bottom w:val="nil"/>
              <w:right w:val="nil"/>
            </w:tcBorders>
            <w:shd w:val="clear" w:color="000000" w:fill="FFFFFF"/>
            <w:hideMark/>
          </w:tcPr>
          <w:p w14:paraId="085E000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78" w:type="dxa"/>
            <w:tcBorders>
              <w:top w:val="nil"/>
              <w:left w:val="nil"/>
              <w:bottom w:val="nil"/>
              <w:right w:val="nil"/>
            </w:tcBorders>
            <w:shd w:val="clear" w:color="000000" w:fill="FFFFFF"/>
            <w:hideMark/>
          </w:tcPr>
          <w:p w14:paraId="1932D84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3A61DB28" w14:textId="77777777" w:rsidTr="00103CC2">
        <w:trPr>
          <w:trHeight w:val="60"/>
        </w:trPr>
        <w:tc>
          <w:tcPr>
            <w:tcW w:w="619" w:type="dxa"/>
            <w:vMerge/>
            <w:tcBorders>
              <w:top w:val="nil"/>
              <w:left w:val="nil"/>
              <w:bottom w:val="nil"/>
              <w:right w:val="nil"/>
            </w:tcBorders>
            <w:vAlign w:val="center"/>
            <w:hideMark/>
          </w:tcPr>
          <w:p w14:paraId="5837A1F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694DE08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6BABFD79"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4028080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77" w:type="dxa"/>
            <w:tcBorders>
              <w:top w:val="nil"/>
              <w:left w:val="nil"/>
              <w:bottom w:val="nil"/>
              <w:right w:val="nil"/>
            </w:tcBorders>
            <w:shd w:val="clear" w:color="000000" w:fill="FFFFFF"/>
            <w:hideMark/>
          </w:tcPr>
          <w:p w14:paraId="5AC83B12"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4E8F158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777" w:type="dxa"/>
            <w:tcBorders>
              <w:top w:val="nil"/>
              <w:left w:val="nil"/>
              <w:bottom w:val="nil"/>
              <w:right w:val="nil"/>
            </w:tcBorders>
            <w:shd w:val="clear" w:color="000000" w:fill="FFFFFF"/>
            <w:hideMark/>
          </w:tcPr>
          <w:p w14:paraId="6239BCC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5C0BE4E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4F584342"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00" w:type="dxa"/>
            <w:tcBorders>
              <w:top w:val="nil"/>
              <w:left w:val="nil"/>
              <w:bottom w:val="nil"/>
              <w:right w:val="nil"/>
            </w:tcBorders>
            <w:shd w:val="clear" w:color="000000" w:fill="FFFFFF"/>
            <w:hideMark/>
          </w:tcPr>
          <w:p w14:paraId="08192BA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0" w:type="dxa"/>
            <w:tcBorders>
              <w:top w:val="nil"/>
              <w:left w:val="nil"/>
              <w:bottom w:val="nil"/>
              <w:right w:val="nil"/>
            </w:tcBorders>
            <w:shd w:val="clear" w:color="000000" w:fill="FFFFFF"/>
            <w:hideMark/>
          </w:tcPr>
          <w:p w14:paraId="48AD202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79" w:type="dxa"/>
            <w:tcBorders>
              <w:top w:val="nil"/>
              <w:left w:val="nil"/>
              <w:bottom w:val="nil"/>
              <w:right w:val="nil"/>
            </w:tcBorders>
            <w:shd w:val="clear" w:color="000000" w:fill="FFFFFF"/>
            <w:hideMark/>
          </w:tcPr>
          <w:p w14:paraId="34B75AA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791C798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79" w:type="dxa"/>
            <w:tcBorders>
              <w:top w:val="nil"/>
              <w:left w:val="nil"/>
              <w:bottom w:val="nil"/>
              <w:right w:val="nil"/>
            </w:tcBorders>
            <w:shd w:val="clear" w:color="000000" w:fill="FFFFFF"/>
            <w:hideMark/>
          </w:tcPr>
          <w:p w14:paraId="546EFBD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0" w:type="dxa"/>
            <w:tcBorders>
              <w:top w:val="nil"/>
              <w:left w:val="nil"/>
              <w:bottom w:val="nil"/>
              <w:right w:val="nil"/>
            </w:tcBorders>
            <w:shd w:val="clear" w:color="000000" w:fill="FFFFFF"/>
            <w:hideMark/>
          </w:tcPr>
          <w:p w14:paraId="40C16CF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577DCFC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80" w:type="dxa"/>
            <w:tcBorders>
              <w:top w:val="nil"/>
              <w:left w:val="nil"/>
              <w:bottom w:val="nil"/>
              <w:right w:val="nil"/>
            </w:tcBorders>
            <w:shd w:val="clear" w:color="000000" w:fill="FFFFFF"/>
            <w:hideMark/>
          </w:tcPr>
          <w:p w14:paraId="1098671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978" w:type="dxa"/>
            <w:tcBorders>
              <w:top w:val="nil"/>
              <w:left w:val="nil"/>
              <w:bottom w:val="nil"/>
              <w:right w:val="nil"/>
            </w:tcBorders>
            <w:shd w:val="clear" w:color="000000" w:fill="FFFFFF"/>
            <w:hideMark/>
          </w:tcPr>
          <w:p w14:paraId="41B7FC3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4A5333B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0" w:type="dxa"/>
            <w:tcBorders>
              <w:top w:val="nil"/>
              <w:left w:val="nil"/>
              <w:bottom w:val="nil"/>
              <w:right w:val="nil"/>
            </w:tcBorders>
            <w:shd w:val="clear" w:color="000000" w:fill="FFFFFF"/>
            <w:hideMark/>
          </w:tcPr>
          <w:p w14:paraId="74F4426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719" w:type="dxa"/>
            <w:tcBorders>
              <w:top w:val="nil"/>
              <w:left w:val="nil"/>
              <w:bottom w:val="nil"/>
              <w:right w:val="nil"/>
            </w:tcBorders>
            <w:shd w:val="clear" w:color="000000" w:fill="FFFFFF"/>
            <w:hideMark/>
          </w:tcPr>
          <w:p w14:paraId="59A56A5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79" w:type="dxa"/>
            <w:tcBorders>
              <w:top w:val="nil"/>
              <w:left w:val="nil"/>
              <w:bottom w:val="nil"/>
              <w:right w:val="nil"/>
            </w:tcBorders>
            <w:shd w:val="clear" w:color="000000" w:fill="FFFFFF"/>
            <w:hideMark/>
          </w:tcPr>
          <w:p w14:paraId="39ECCF7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99" w:type="dxa"/>
            <w:tcBorders>
              <w:top w:val="nil"/>
              <w:left w:val="nil"/>
              <w:bottom w:val="nil"/>
              <w:right w:val="nil"/>
            </w:tcBorders>
            <w:shd w:val="clear" w:color="000000" w:fill="FFFFFF"/>
            <w:hideMark/>
          </w:tcPr>
          <w:p w14:paraId="4CDEDAF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1C84444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79" w:type="dxa"/>
            <w:tcBorders>
              <w:top w:val="nil"/>
              <w:left w:val="nil"/>
              <w:bottom w:val="nil"/>
              <w:right w:val="nil"/>
            </w:tcBorders>
            <w:shd w:val="clear" w:color="000000" w:fill="FFFFFF"/>
            <w:hideMark/>
          </w:tcPr>
          <w:p w14:paraId="193C10E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59" w:type="dxa"/>
            <w:tcBorders>
              <w:top w:val="nil"/>
              <w:left w:val="nil"/>
              <w:bottom w:val="nil"/>
              <w:right w:val="nil"/>
            </w:tcBorders>
            <w:shd w:val="clear" w:color="000000" w:fill="FFFFFF"/>
            <w:hideMark/>
          </w:tcPr>
          <w:p w14:paraId="3060BE0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78" w:type="dxa"/>
            <w:tcBorders>
              <w:top w:val="nil"/>
              <w:left w:val="nil"/>
              <w:bottom w:val="nil"/>
              <w:right w:val="nil"/>
            </w:tcBorders>
            <w:shd w:val="clear" w:color="000000" w:fill="FFFFFF"/>
            <w:hideMark/>
          </w:tcPr>
          <w:p w14:paraId="0A675CD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10080B11" w14:textId="77777777" w:rsidTr="00103CC2">
        <w:trPr>
          <w:trHeight w:val="102"/>
        </w:trPr>
        <w:tc>
          <w:tcPr>
            <w:tcW w:w="619" w:type="dxa"/>
            <w:tcBorders>
              <w:top w:val="nil"/>
              <w:left w:val="nil"/>
              <w:bottom w:val="nil"/>
              <w:right w:val="nil"/>
            </w:tcBorders>
            <w:shd w:val="clear" w:color="000000" w:fill="FFFFFF"/>
            <w:hideMark/>
          </w:tcPr>
          <w:p w14:paraId="57215DB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0" w:type="dxa"/>
            <w:tcBorders>
              <w:top w:val="nil"/>
              <w:left w:val="nil"/>
              <w:bottom w:val="nil"/>
              <w:right w:val="nil"/>
            </w:tcBorders>
            <w:shd w:val="clear" w:color="000000" w:fill="FFFFFF"/>
            <w:hideMark/>
          </w:tcPr>
          <w:p w14:paraId="3614A9D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51C57D9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206F0E4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77" w:type="dxa"/>
            <w:tcBorders>
              <w:top w:val="nil"/>
              <w:left w:val="nil"/>
              <w:bottom w:val="nil"/>
              <w:right w:val="nil"/>
            </w:tcBorders>
            <w:shd w:val="clear" w:color="000000" w:fill="FFFFFF"/>
            <w:hideMark/>
          </w:tcPr>
          <w:p w14:paraId="5F8465A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753CB50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777" w:type="dxa"/>
            <w:tcBorders>
              <w:top w:val="nil"/>
              <w:left w:val="nil"/>
              <w:bottom w:val="nil"/>
              <w:right w:val="nil"/>
            </w:tcBorders>
            <w:shd w:val="clear" w:color="000000" w:fill="FFFFFF"/>
            <w:hideMark/>
          </w:tcPr>
          <w:p w14:paraId="34F97C99"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622DD61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137C234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00" w:type="dxa"/>
            <w:tcBorders>
              <w:top w:val="nil"/>
              <w:left w:val="nil"/>
              <w:bottom w:val="nil"/>
              <w:right w:val="nil"/>
            </w:tcBorders>
            <w:shd w:val="clear" w:color="000000" w:fill="FFFFFF"/>
            <w:hideMark/>
          </w:tcPr>
          <w:p w14:paraId="1C612CB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0" w:type="dxa"/>
            <w:tcBorders>
              <w:top w:val="nil"/>
              <w:left w:val="nil"/>
              <w:bottom w:val="nil"/>
              <w:right w:val="nil"/>
            </w:tcBorders>
            <w:shd w:val="clear" w:color="000000" w:fill="FFFFFF"/>
            <w:hideMark/>
          </w:tcPr>
          <w:p w14:paraId="56FE0402"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79" w:type="dxa"/>
            <w:tcBorders>
              <w:top w:val="nil"/>
              <w:left w:val="nil"/>
              <w:bottom w:val="nil"/>
              <w:right w:val="nil"/>
            </w:tcBorders>
            <w:shd w:val="clear" w:color="000000" w:fill="FFFFFF"/>
            <w:hideMark/>
          </w:tcPr>
          <w:p w14:paraId="69ECA72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36D5689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79" w:type="dxa"/>
            <w:tcBorders>
              <w:top w:val="nil"/>
              <w:left w:val="nil"/>
              <w:bottom w:val="nil"/>
              <w:right w:val="nil"/>
            </w:tcBorders>
            <w:shd w:val="clear" w:color="000000" w:fill="FFFFFF"/>
            <w:hideMark/>
          </w:tcPr>
          <w:p w14:paraId="341B735B"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0" w:type="dxa"/>
            <w:tcBorders>
              <w:top w:val="nil"/>
              <w:left w:val="nil"/>
              <w:bottom w:val="nil"/>
              <w:right w:val="nil"/>
            </w:tcBorders>
            <w:shd w:val="clear" w:color="000000" w:fill="FFFFFF"/>
            <w:hideMark/>
          </w:tcPr>
          <w:p w14:paraId="1C252A8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58DC2C1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80" w:type="dxa"/>
            <w:tcBorders>
              <w:top w:val="nil"/>
              <w:left w:val="nil"/>
              <w:bottom w:val="nil"/>
              <w:right w:val="nil"/>
            </w:tcBorders>
            <w:shd w:val="clear" w:color="000000" w:fill="FFFFFF"/>
            <w:hideMark/>
          </w:tcPr>
          <w:p w14:paraId="1193718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978" w:type="dxa"/>
            <w:tcBorders>
              <w:top w:val="nil"/>
              <w:left w:val="nil"/>
              <w:bottom w:val="nil"/>
              <w:right w:val="nil"/>
            </w:tcBorders>
            <w:shd w:val="clear" w:color="000000" w:fill="FFFFFF"/>
            <w:hideMark/>
          </w:tcPr>
          <w:p w14:paraId="60770A5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51D51562"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0" w:type="dxa"/>
            <w:tcBorders>
              <w:top w:val="nil"/>
              <w:left w:val="nil"/>
              <w:bottom w:val="nil"/>
              <w:right w:val="nil"/>
            </w:tcBorders>
            <w:shd w:val="clear" w:color="000000" w:fill="FFFFFF"/>
            <w:hideMark/>
          </w:tcPr>
          <w:p w14:paraId="76A21FA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719" w:type="dxa"/>
            <w:tcBorders>
              <w:top w:val="nil"/>
              <w:left w:val="nil"/>
              <w:bottom w:val="nil"/>
              <w:right w:val="nil"/>
            </w:tcBorders>
            <w:shd w:val="clear" w:color="000000" w:fill="FFFFFF"/>
            <w:hideMark/>
          </w:tcPr>
          <w:p w14:paraId="44A5155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79" w:type="dxa"/>
            <w:tcBorders>
              <w:top w:val="nil"/>
              <w:left w:val="nil"/>
              <w:bottom w:val="nil"/>
              <w:right w:val="nil"/>
            </w:tcBorders>
            <w:shd w:val="clear" w:color="000000" w:fill="FFFFFF"/>
            <w:hideMark/>
          </w:tcPr>
          <w:p w14:paraId="0C30BC7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99" w:type="dxa"/>
            <w:tcBorders>
              <w:top w:val="nil"/>
              <w:left w:val="nil"/>
              <w:bottom w:val="nil"/>
              <w:right w:val="nil"/>
            </w:tcBorders>
            <w:shd w:val="clear" w:color="000000" w:fill="FFFFFF"/>
            <w:hideMark/>
          </w:tcPr>
          <w:p w14:paraId="44BBFA5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7A801A9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79" w:type="dxa"/>
            <w:tcBorders>
              <w:top w:val="nil"/>
              <w:left w:val="nil"/>
              <w:bottom w:val="nil"/>
              <w:right w:val="nil"/>
            </w:tcBorders>
            <w:shd w:val="clear" w:color="000000" w:fill="FFFFFF"/>
            <w:hideMark/>
          </w:tcPr>
          <w:p w14:paraId="1F89398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59" w:type="dxa"/>
            <w:tcBorders>
              <w:top w:val="nil"/>
              <w:left w:val="nil"/>
              <w:bottom w:val="nil"/>
              <w:right w:val="nil"/>
            </w:tcBorders>
            <w:shd w:val="clear" w:color="000000" w:fill="FFFFFF"/>
            <w:hideMark/>
          </w:tcPr>
          <w:p w14:paraId="6E6F95C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78" w:type="dxa"/>
            <w:tcBorders>
              <w:top w:val="nil"/>
              <w:left w:val="nil"/>
              <w:bottom w:val="nil"/>
              <w:right w:val="nil"/>
            </w:tcBorders>
            <w:shd w:val="clear" w:color="000000" w:fill="FFFFFF"/>
            <w:hideMark/>
          </w:tcPr>
          <w:p w14:paraId="49D1C89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233B92EE" w14:textId="77777777" w:rsidTr="00103CC2">
        <w:trPr>
          <w:trHeight w:val="199"/>
        </w:trPr>
        <w:tc>
          <w:tcPr>
            <w:tcW w:w="1338" w:type="dxa"/>
            <w:gridSpan w:val="3"/>
            <w:tcBorders>
              <w:top w:val="nil"/>
              <w:left w:val="nil"/>
              <w:bottom w:val="nil"/>
              <w:right w:val="nil"/>
            </w:tcBorders>
            <w:shd w:val="clear" w:color="000000" w:fill="FFFFFF"/>
            <w:vAlign w:val="center"/>
            <w:hideMark/>
          </w:tcPr>
          <w:p w14:paraId="1F9D3AFB"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TITULO</w:t>
            </w:r>
          </w:p>
        </w:tc>
        <w:tc>
          <w:tcPr>
            <w:tcW w:w="40" w:type="dxa"/>
            <w:tcBorders>
              <w:top w:val="nil"/>
              <w:left w:val="nil"/>
              <w:bottom w:val="nil"/>
              <w:right w:val="nil"/>
            </w:tcBorders>
            <w:shd w:val="clear" w:color="000000" w:fill="FFFFFF"/>
            <w:hideMark/>
          </w:tcPr>
          <w:p w14:paraId="6DEC84A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662" w:type="dxa"/>
            <w:gridSpan w:val="23"/>
            <w:tcBorders>
              <w:top w:val="nil"/>
              <w:left w:val="nil"/>
              <w:bottom w:val="nil"/>
              <w:right w:val="nil"/>
            </w:tcBorders>
            <w:shd w:val="clear" w:color="000000" w:fill="FFFFFF"/>
            <w:vAlign w:val="center"/>
            <w:hideMark/>
          </w:tcPr>
          <w:p w14:paraId="25AAC45B"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BALANÇO ORÇAMENTÁRIO - TODOS OS ORÇAMENTOS</w:t>
            </w:r>
          </w:p>
        </w:tc>
      </w:tr>
      <w:tr w:rsidR="00103CC2" w:rsidRPr="00103CC2" w14:paraId="2CABC0E0" w14:textId="77777777" w:rsidTr="00103CC2">
        <w:trPr>
          <w:trHeight w:val="199"/>
        </w:trPr>
        <w:tc>
          <w:tcPr>
            <w:tcW w:w="1338" w:type="dxa"/>
            <w:gridSpan w:val="3"/>
            <w:tcBorders>
              <w:top w:val="nil"/>
              <w:left w:val="nil"/>
              <w:bottom w:val="nil"/>
              <w:right w:val="nil"/>
            </w:tcBorders>
            <w:shd w:val="clear" w:color="000000" w:fill="FFFFFF"/>
            <w:vAlign w:val="center"/>
            <w:hideMark/>
          </w:tcPr>
          <w:p w14:paraId="3F806CF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SUBTITULO</w:t>
            </w:r>
          </w:p>
        </w:tc>
        <w:tc>
          <w:tcPr>
            <w:tcW w:w="40" w:type="dxa"/>
            <w:tcBorders>
              <w:top w:val="nil"/>
              <w:left w:val="nil"/>
              <w:bottom w:val="nil"/>
              <w:right w:val="nil"/>
            </w:tcBorders>
            <w:shd w:val="clear" w:color="000000" w:fill="FFFFFF"/>
            <w:hideMark/>
          </w:tcPr>
          <w:p w14:paraId="3CE0CB32"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662" w:type="dxa"/>
            <w:gridSpan w:val="23"/>
            <w:tcBorders>
              <w:top w:val="nil"/>
              <w:left w:val="nil"/>
              <w:bottom w:val="nil"/>
              <w:right w:val="nil"/>
            </w:tcBorders>
            <w:shd w:val="clear" w:color="000000" w:fill="FFFFFF"/>
            <w:vAlign w:val="center"/>
            <w:hideMark/>
          </w:tcPr>
          <w:p w14:paraId="16E00EF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53000 - MINISTERIO DO DESENVOLVIMENTO REGIONAL (SUPERIOR) - ADMINISTRAÇÃO DIRETA</w:t>
            </w:r>
          </w:p>
        </w:tc>
      </w:tr>
      <w:tr w:rsidR="00103CC2" w:rsidRPr="00103CC2" w14:paraId="3CA605F1" w14:textId="77777777" w:rsidTr="00103CC2">
        <w:trPr>
          <w:trHeight w:val="199"/>
        </w:trPr>
        <w:tc>
          <w:tcPr>
            <w:tcW w:w="1338" w:type="dxa"/>
            <w:gridSpan w:val="3"/>
            <w:tcBorders>
              <w:top w:val="nil"/>
              <w:left w:val="nil"/>
              <w:bottom w:val="nil"/>
              <w:right w:val="nil"/>
            </w:tcBorders>
            <w:shd w:val="clear" w:color="000000" w:fill="FFFFFF"/>
            <w:vAlign w:val="center"/>
            <w:hideMark/>
          </w:tcPr>
          <w:p w14:paraId="5413175B"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ORGÃO SUPERIOR</w:t>
            </w:r>
          </w:p>
        </w:tc>
        <w:tc>
          <w:tcPr>
            <w:tcW w:w="40" w:type="dxa"/>
            <w:tcBorders>
              <w:top w:val="nil"/>
              <w:left w:val="nil"/>
              <w:bottom w:val="nil"/>
              <w:right w:val="nil"/>
            </w:tcBorders>
            <w:shd w:val="clear" w:color="000000" w:fill="FFFFFF"/>
            <w:hideMark/>
          </w:tcPr>
          <w:p w14:paraId="7B73F0E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662" w:type="dxa"/>
            <w:gridSpan w:val="23"/>
            <w:tcBorders>
              <w:top w:val="nil"/>
              <w:left w:val="nil"/>
              <w:bottom w:val="nil"/>
              <w:right w:val="nil"/>
            </w:tcBorders>
            <w:shd w:val="clear" w:color="000000" w:fill="FFFFFF"/>
            <w:vAlign w:val="center"/>
            <w:hideMark/>
          </w:tcPr>
          <w:p w14:paraId="29EE7909"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53000 - MINISTERIO DO DESENVOLVIMENTO REGIONAL</w:t>
            </w:r>
          </w:p>
        </w:tc>
      </w:tr>
      <w:tr w:rsidR="00103CC2" w:rsidRPr="00103CC2" w14:paraId="611EB14B" w14:textId="77777777" w:rsidTr="00103CC2">
        <w:trPr>
          <w:trHeight w:val="199"/>
        </w:trPr>
        <w:tc>
          <w:tcPr>
            <w:tcW w:w="1338" w:type="dxa"/>
            <w:gridSpan w:val="3"/>
            <w:tcBorders>
              <w:top w:val="nil"/>
              <w:left w:val="nil"/>
              <w:bottom w:val="nil"/>
              <w:right w:val="nil"/>
            </w:tcBorders>
            <w:shd w:val="clear" w:color="000000" w:fill="FFFFFF"/>
            <w:vAlign w:val="center"/>
            <w:hideMark/>
          </w:tcPr>
          <w:p w14:paraId="483EC6D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EXERCíCIO</w:t>
            </w:r>
          </w:p>
        </w:tc>
        <w:tc>
          <w:tcPr>
            <w:tcW w:w="40" w:type="dxa"/>
            <w:tcBorders>
              <w:top w:val="nil"/>
              <w:left w:val="nil"/>
              <w:bottom w:val="nil"/>
              <w:right w:val="nil"/>
            </w:tcBorders>
            <w:shd w:val="clear" w:color="000000" w:fill="FFFFFF"/>
            <w:hideMark/>
          </w:tcPr>
          <w:p w14:paraId="2B5E18B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662" w:type="dxa"/>
            <w:gridSpan w:val="23"/>
            <w:tcBorders>
              <w:top w:val="nil"/>
              <w:left w:val="nil"/>
              <w:bottom w:val="nil"/>
              <w:right w:val="nil"/>
            </w:tcBorders>
            <w:shd w:val="clear" w:color="000000" w:fill="FFFFFF"/>
            <w:vAlign w:val="center"/>
            <w:hideMark/>
          </w:tcPr>
          <w:p w14:paraId="53E707A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2020</w:t>
            </w:r>
          </w:p>
        </w:tc>
      </w:tr>
      <w:tr w:rsidR="00103CC2" w:rsidRPr="00103CC2" w14:paraId="34A72A19" w14:textId="77777777" w:rsidTr="00103CC2">
        <w:trPr>
          <w:trHeight w:val="199"/>
        </w:trPr>
        <w:tc>
          <w:tcPr>
            <w:tcW w:w="1338" w:type="dxa"/>
            <w:gridSpan w:val="3"/>
            <w:tcBorders>
              <w:top w:val="nil"/>
              <w:left w:val="nil"/>
              <w:bottom w:val="nil"/>
              <w:right w:val="nil"/>
            </w:tcBorders>
            <w:shd w:val="clear" w:color="000000" w:fill="FFFFFF"/>
            <w:vAlign w:val="center"/>
            <w:hideMark/>
          </w:tcPr>
          <w:p w14:paraId="7184799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PERíODO</w:t>
            </w:r>
          </w:p>
        </w:tc>
        <w:tc>
          <w:tcPr>
            <w:tcW w:w="40" w:type="dxa"/>
            <w:tcBorders>
              <w:top w:val="nil"/>
              <w:left w:val="nil"/>
              <w:bottom w:val="nil"/>
              <w:right w:val="nil"/>
            </w:tcBorders>
            <w:shd w:val="clear" w:color="000000" w:fill="FFFFFF"/>
            <w:hideMark/>
          </w:tcPr>
          <w:p w14:paraId="02396C8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662" w:type="dxa"/>
            <w:gridSpan w:val="23"/>
            <w:tcBorders>
              <w:top w:val="nil"/>
              <w:left w:val="nil"/>
              <w:bottom w:val="nil"/>
              <w:right w:val="nil"/>
            </w:tcBorders>
            <w:shd w:val="clear" w:color="000000" w:fill="FFFFFF"/>
            <w:vAlign w:val="center"/>
            <w:hideMark/>
          </w:tcPr>
          <w:p w14:paraId="700616D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QUARTO TRIMESTRE (Encerrado) (Fechado)</w:t>
            </w:r>
          </w:p>
        </w:tc>
      </w:tr>
      <w:tr w:rsidR="00103CC2" w:rsidRPr="00103CC2" w14:paraId="7C78CB92" w14:textId="77777777" w:rsidTr="00103CC2">
        <w:trPr>
          <w:trHeight w:val="199"/>
        </w:trPr>
        <w:tc>
          <w:tcPr>
            <w:tcW w:w="1338" w:type="dxa"/>
            <w:gridSpan w:val="3"/>
            <w:tcBorders>
              <w:top w:val="nil"/>
              <w:left w:val="nil"/>
              <w:bottom w:val="nil"/>
              <w:right w:val="nil"/>
            </w:tcBorders>
            <w:shd w:val="clear" w:color="000000" w:fill="FFFFFF"/>
            <w:vAlign w:val="center"/>
            <w:hideMark/>
          </w:tcPr>
          <w:p w14:paraId="0C06D28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EMISSÃO</w:t>
            </w:r>
          </w:p>
        </w:tc>
        <w:tc>
          <w:tcPr>
            <w:tcW w:w="40" w:type="dxa"/>
            <w:tcBorders>
              <w:top w:val="nil"/>
              <w:left w:val="nil"/>
              <w:bottom w:val="nil"/>
              <w:right w:val="nil"/>
            </w:tcBorders>
            <w:shd w:val="clear" w:color="000000" w:fill="FFFFFF"/>
            <w:hideMark/>
          </w:tcPr>
          <w:p w14:paraId="7CC76FE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662" w:type="dxa"/>
            <w:gridSpan w:val="23"/>
            <w:tcBorders>
              <w:top w:val="nil"/>
              <w:left w:val="nil"/>
              <w:bottom w:val="nil"/>
              <w:right w:val="nil"/>
            </w:tcBorders>
            <w:shd w:val="clear" w:color="000000" w:fill="FFFFFF"/>
            <w:vAlign w:val="center"/>
            <w:hideMark/>
          </w:tcPr>
          <w:p w14:paraId="0A1C586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20/01/2021</w:t>
            </w:r>
          </w:p>
        </w:tc>
      </w:tr>
      <w:tr w:rsidR="00103CC2" w:rsidRPr="00103CC2" w14:paraId="026B15DD" w14:textId="77777777" w:rsidTr="00103CC2">
        <w:trPr>
          <w:trHeight w:val="199"/>
        </w:trPr>
        <w:tc>
          <w:tcPr>
            <w:tcW w:w="14040" w:type="dxa"/>
            <w:gridSpan w:val="27"/>
            <w:tcBorders>
              <w:top w:val="nil"/>
              <w:left w:val="nil"/>
              <w:bottom w:val="nil"/>
              <w:right w:val="nil"/>
            </w:tcBorders>
            <w:shd w:val="clear" w:color="000000" w:fill="FFFFFF"/>
            <w:vAlign w:val="center"/>
            <w:hideMark/>
          </w:tcPr>
          <w:p w14:paraId="4126A3E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VALORES EM UNIDADES DE REAL</w:t>
            </w:r>
          </w:p>
        </w:tc>
      </w:tr>
      <w:tr w:rsidR="00103CC2" w:rsidRPr="00103CC2" w14:paraId="65D426BF" w14:textId="77777777" w:rsidTr="00103CC2">
        <w:trPr>
          <w:trHeight w:val="199"/>
        </w:trPr>
        <w:tc>
          <w:tcPr>
            <w:tcW w:w="14040" w:type="dxa"/>
            <w:gridSpan w:val="27"/>
            <w:tcBorders>
              <w:top w:val="nil"/>
              <w:left w:val="nil"/>
              <w:bottom w:val="nil"/>
              <w:right w:val="nil"/>
            </w:tcBorders>
            <w:shd w:val="clear" w:color="000000" w:fill="FFFFFF"/>
            <w:hideMark/>
          </w:tcPr>
          <w:p w14:paraId="61326832"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12F51D1E" w14:textId="77777777" w:rsidTr="00103CC2">
        <w:trPr>
          <w:trHeight w:val="276"/>
        </w:trPr>
        <w:tc>
          <w:tcPr>
            <w:tcW w:w="14040" w:type="dxa"/>
            <w:gridSpan w:val="27"/>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6DF6367"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RECEITA</w:t>
            </w:r>
          </w:p>
        </w:tc>
      </w:tr>
      <w:tr w:rsidR="00103CC2" w:rsidRPr="00103CC2" w14:paraId="7D12BBF8" w14:textId="77777777" w:rsidTr="00103CC2">
        <w:trPr>
          <w:trHeight w:val="276"/>
        </w:trPr>
        <w:tc>
          <w:tcPr>
            <w:tcW w:w="14040" w:type="dxa"/>
            <w:gridSpan w:val="27"/>
            <w:vMerge/>
            <w:tcBorders>
              <w:top w:val="single" w:sz="4" w:space="0" w:color="000000"/>
              <w:left w:val="single" w:sz="4" w:space="0" w:color="000000"/>
              <w:bottom w:val="single" w:sz="4" w:space="0" w:color="000000"/>
              <w:right w:val="single" w:sz="4" w:space="0" w:color="000000"/>
            </w:tcBorders>
            <w:vAlign w:val="center"/>
            <w:hideMark/>
          </w:tcPr>
          <w:p w14:paraId="606AD24D"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r>
      <w:tr w:rsidR="00103CC2" w:rsidRPr="00103CC2" w14:paraId="7BFDC298" w14:textId="77777777" w:rsidTr="00103CC2">
        <w:trPr>
          <w:trHeight w:val="276"/>
        </w:trPr>
        <w:tc>
          <w:tcPr>
            <w:tcW w:w="14040" w:type="dxa"/>
            <w:gridSpan w:val="27"/>
            <w:vMerge/>
            <w:tcBorders>
              <w:top w:val="single" w:sz="4" w:space="0" w:color="000000"/>
              <w:left w:val="single" w:sz="4" w:space="0" w:color="000000"/>
              <w:bottom w:val="single" w:sz="4" w:space="0" w:color="000000"/>
              <w:right w:val="single" w:sz="4" w:space="0" w:color="000000"/>
            </w:tcBorders>
            <w:vAlign w:val="center"/>
            <w:hideMark/>
          </w:tcPr>
          <w:p w14:paraId="52C21DCA"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r>
      <w:tr w:rsidR="00103CC2" w:rsidRPr="00103CC2" w14:paraId="5082DBD4" w14:textId="77777777" w:rsidTr="00103CC2">
        <w:trPr>
          <w:trHeight w:val="240"/>
        </w:trPr>
        <w:tc>
          <w:tcPr>
            <w:tcW w:w="4872"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1F36DB"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RECEITAS ORÇAMENTÁRIAS</w:t>
            </w:r>
          </w:p>
        </w:tc>
        <w:tc>
          <w:tcPr>
            <w:tcW w:w="280" w:type="dxa"/>
            <w:tcBorders>
              <w:top w:val="nil"/>
              <w:left w:val="nil"/>
              <w:bottom w:val="single" w:sz="4" w:space="0" w:color="000000"/>
              <w:right w:val="single" w:sz="4" w:space="0" w:color="000000"/>
            </w:tcBorders>
            <w:shd w:val="clear" w:color="000000" w:fill="FFFFFF"/>
            <w:vAlign w:val="center"/>
            <w:hideMark/>
          </w:tcPr>
          <w:p w14:paraId="3588504B"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N.E.</w:t>
            </w:r>
          </w:p>
        </w:tc>
        <w:tc>
          <w:tcPr>
            <w:tcW w:w="2218" w:type="dxa"/>
            <w:gridSpan w:val="5"/>
            <w:tcBorders>
              <w:top w:val="single" w:sz="4" w:space="0" w:color="000000"/>
              <w:left w:val="nil"/>
              <w:bottom w:val="single" w:sz="4" w:space="0" w:color="000000"/>
              <w:right w:val="single" w:sz="4" w:space="0" w:color="000000"/>
            </w:tcBorders>
            <w:shd w:val="clear" w:color="000000" w:fill="FFFFFF"/>
            <w:vAlign w:val="center"/>
            <w:hideMark/>
          </w:tcPr>
          <w:p w14:paraId="497D13D4"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PREVISÃO INICIAL</w:t>
            </w:r>
          </w:p>
        </w:tc>
        <w:tc>
          <w:tcPr>
            <w:tcW w:w="219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5E6E89E6"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PREVISÃO ATUALIZADA</w:t>
            </w:r>
          </w:p>
        </w:tc>
        <w:tc>
          <w:tcPr>
            <w:tcW w:w="2217" w:type="dxa"/>
            <w:gridSpan w:val="5"/>
            <w:tcBorders>
              <w:top w:val="single" w:sz="4" w:space="0" w:color="000000"/>
              <w:left w:val="nil"/>
              <w:bottom w:val="single" w:sz="4" w:space="0" w:color="000000"/>
              <w:right w:val="single" w:sz="4" w:space="0" w:color="000000"/>
            </w:tcBorders>
            <w:shd w:val="clear" w:color="000000" w:fill="FFFFFF"/>
            <w:vAlign w:val="center"/>
            <w:hideMark/>
          </w:tcPr>
          <w:p w14:paraId="51AD2D3F"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RECEITAS REALIZADAS</w:t>
            </w:r>
          </w:p>
        </w:tc>
        <w:tc>
          <w:tcPr>
            <w:tcW w:w="2256"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7BADAAEA"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SALDO</w:t>
            </w:r>
          </w:p>
        </w:tc>
      </w:tr>
      <w:tr w:rsidR="00103CC2" w:rsidRPr="00103CC2" w14:paraId="430D594D"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47382191"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RECEITAS CORRENTES</w:t>
            </w:r>
          </w:p>
        </w:tc>
        <w:tc>
          <w:tcPr>
            <w:tcW w:w="280" w:type="dxa"/>
            <w:tcBorders>
              <w:top w:val="nil"/>
              <w:left w:val="nil"/>
              <w:bottom w:val="nil"/>
              <w:right w:val="single" w:sz="4" w:space="0" w:color="000000"/>
            </w:tcBorders>
            <w:shd w:val="clear" w:color="000000" w:fill="FFFFFF"/>
            <w:hideMark/>
          </w:tcPr>
          <w:p w14:paraId="4F6C9170" w14:textId="77777777" w:rsidR="00103CC2" w:rsidRPr="00103CC2" w:rsidRDefault="00103CC2" w:rsidP="00103CC2">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11</w:t>
            </w:r>
          </w:p>
        </w:tc>
        <w:tc>
          <w:tcPr>
            <w:tcW w:w="2218" w:type="dxa"/>
            <w:gridSpan w:val="5"/>
            <w:tcBorders>
              <w:top w:val="nil"/>
              <w:left w:val="nil"/>
              <w:bottom w:val="nil"/>
              <w:right w:val="single" w:sz="4" w:space="0" w:color="000000"/>
            </w:tcBorders>
            <w:shd w:val="clear" w:color="000000" w:fill="FFFFFF"/>
            <w:hideMark/>
          </w:tcPr>
          <w:p w14:paraId="131466C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15.434.564.782,00</w:t>
            </w:r>
          </w:p>
        </w:tc>
        <w:tc>
          <w:tcPr>
            <w:tcW w:w="2197" w:type="dxa"/>
            <w:gridSpan w:val="4"/>
            <w:tcBorders>
              <w:top w:val="nil"/>
              <w:left w:val="nil"/>
              <w:bottom w:val="nil"/>
              <w:right w:val="single" w:sz="4" w:space="0" w:color="000000"/>
            </w:tcBorders>
            <w:shd w:val="clear" w:color="000000" w:fill="FFFFFF"/>
            <w:hideMark/>
          </w:tcPr>
          <w:p w14:paraId="10B6D7A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15.434.564.782,00</w:t>
            </w:r>
          </w:p>
        </w:tc>
        <w:tc>
          <w:tcPr>
            <w:tcW w:w="2217" w:type="dxa"/>
            <w:gridSpan w:val="5"/>
            <w:tcBorders>
              <w:top w:val="nil"/>
              <w:left w:val="nil"/>
              <w:bottom w:val="nil"/>
              <w:right w:val="single" w:sz="4" w:space="0" w:color="000000"/>
            </w:tcBorders>
            <w:shd w:val="clear" w:color="000000" w:fill="FFFFFF"/>
            <w:hideMark/>
          </w:tcPr>
          <w:p w14:paraId="517AE2F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1.341.150.595,37</w:t>
            </w:r>
          </w:p>
        </w:tc>
        <w:tc>
          <w:tcPr>
            <w:tcW w:w="2256" w:type="dxa"/>
            <w:gridSpan w:val="4"/>
            <w:tcBorders>
              <w:top w:val="nil"/>
              <w:left w:val="nil"/>
              <w:bottom w:val="nil"/>
              <w:right w:val="single" w:sz="4" w:space="0" w:color="000000"/>
            </w:tcBorders>
            <w:shd w:val="clear" w:color="000000" w:fill="FFFFFF"/>
            <w:hideMark/>
          </w:tcPr>
          <w:p w14:paraId="7262601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-14.093.414.186,63</w:t>
            </w:r>
          </w:p>
        </w:tc>
      </w:tr>
      <w:tr w:rsidR="00103CC2" w:rsidRPr="00103CC2" w14:paraId="06E5EF94"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7227BE0E"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Receitas Tributárias</w:t>
            </w:r>
          </w:p>
        </w:tc>
        <w:tc>
          <w:tcPr>
            <w:tcW w:w="280" w:type="dxa"/>
            <w:tcBorders>
              <w:top w:val="nil"/>
              <w:left w:val="nil"/>
              <w:bottom w:val="nil"/>
              <w:right w:val="single" w:sz="4" w:space="0" w:color="000000"/>
            </w:tcBorders>
            <w:shd w:val="clear" w:color="000000" w:fill="FFFFFF"/>
            <w:hideMark/>
          </w:tcPr>
          <w:p w14:paraId="79B30C2E"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64E72C8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14.098.271.396,00</w:t>
            </w:r>
          </w:p>
        </w:tc>
        <w:tc>
          <w:tcPr>
            <w:tcW w:w="2197" w:type="dxa"/>
            <w:gridSpan w:val="4"/>
            <w:tcBorders>
              <w:top w:val="nil"/>
              <w:left w:val="nil"/>
              <w:bottom w:val="nil"/>
              <w:right w:val="single" w:sz="4" w:space="0" w:color="000000"/>
            </w:tcBorders>
            <w:shd w:val="clear" w:color="000000" w:fill="FFFFFF"/>
            <w:hideMark/>
          </w:tcPr>
          <w:p w14:paraId="13A445E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14.098.271.396,00</w:t>
            </w:r>
          </w:p>
        </w:tc>
        <w:tc>
          <w:tcPr>
            <w:tcW w:w="2217" w:type="dxa"/>
            <w:gridSpan w:val="5"/>
            <w:tcBorders>
              <w:top w:val="nil"/>
              <w:left w:val="nil"/>
              <w:bottom w:val="nil"/>
              <w:right w:val="single" w:sz="4" w:space="0" w:color="000000"/>
            </w:tcBorders>
            <w:shd w:val="clear" w:color="000000" w:fill="FFFFFF"/>
            <w:hideMark/>
          </w:tcPr>
          <w:p w14:paraId="201BA43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5F7782E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-14.098.271.396,00</w:t>
            </w:r>
          </w:p>
        </w:tc>
      </w:tr>
      <w:tr w:rsidR="00103CC2" w:rsidRPr="00103CC2" w14:paraId="2526E5E2"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E24A674"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Impostos</w:t>
            </w:r>
          </w:p>
        </w:tc>
        <w:tc>
          <w:tcPr>
            <w:tcW w:w="280" w:type="dxa"/>
            <w:tcBorders>
              <w:top w:val="nil"/>
              <w:left w:val="nil"/>
              <w:bottom w:val="nil"/>
              <w:right w:val="single" w:sz="4" w:space="0" w:color="000000"/>
            </w:tcBorders>
            <w:shd w:val="clear" w:color="000000" w:fill="FFFFFF"/>
            <w:hideMark/>
          </w:tcPr>
          <w:p w14:paraId="1F1297FE"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275DBBAC"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14.098.271.396,00</w:t>
            </w:r>
          </w:p>
        </w:tc>
        <w:tc>
          <w:tcPr>
            <w:tcW w:w="2197" w:type="dxa"/>
            <w:gridSpan w:val="4"/>
            <w:tcBorders>
              <w:top w:val="nil"/>
              <w:left w:val="nil"/>
              <w:bottom w:val="nil"/>
              <w:right w:val="single" w:sz="4" w:space="0" w:color="000000"/>
            </w:tcBorders>
            <w:shd w:val="clear" w:color="000000" w:fill="FFFFFF"/>
            <w:hideMark/>
          </w:tcPr>
          <w:p w14:paraId="51F58B8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14.098.271.396,00</w:t>
            </w:r>
          </w:p>
        </w:tc>
        <w:tc>
          <w:tcPr>
            <w:tcW w:w="2217" w:type="dxa"/>
            <w:gridSpan w:val="5"/>
            <w:tcBorders>
              <w:top w:val="nil"/>
              <w:left w:val="nil"/>
              <w:bottom w:val="nil"/>
              <w:right w:val="single" w:sz="4" w:space="0" w:color="000000"/>
            </w:tcBorders>
            <w:shd w:val="clear" w:color="000000" w:fill="FFFFFF"/>
            <w:hideMark/>
          </w:tcPr>
          <w:p w14:paraId="53F59B6B"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1058439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-14.098.271.396,00</w:t>
            </w:r>
          </w:p>
        </w:tc>
      </w:tr>
      <w:tr w:rsidR="00103CC2" w:rsidRPr="00103CC2" w14:paraId="30742191"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604DCEA4"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Taxas</w:t>
            </w:r>
          </w:p>
        </w:tc>
        <w:tc>
          <w:tcPr>
            <w:tcW w:w="280" w:type="dxa"/>
            <w:tcBorders>
              <w:top w:val="nil"/>
              <w:left w:val="nil"/>
              <w:bottom w:val="nil"/>
              <w:right w:val="single" w:sz="4" w:space="0" w:color="000000"/>
            </w:tcBorders>
            <w:shd w:val="clear" w:color="000000" w:fill="FFFFFF"/>
            <w:hideMark/>
          </w:tcPr>
          <w:p w14:paraId="23FD449E"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463E2F79"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5AB0192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30C127E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7D25DBF4"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726A7A9A"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72389050"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Contribuições de Melhoria</w:t>
            </w:r>
          </w:p>
        </w:tc>
        <w:tc>
          <w:tcPr>
            <w:tcW w:w="280" w:type="dxa"/>
            <w:tcBorders>
              <w:top w:val="nil"/>
              <w:left w:val="nil"/>
              <w:bottom w:val="nil"/>
              <w:right w:val="single" w:sz="4" w:space="0" w:color="000000"/>
            </w:tcBorders>
            <w:shd w:val="clear" w:color="000000" w:fill="FFFFFF"/>
            <w:hideMark/>
          </w:tcPr>
          <w:p w14:paraId="7F0548B1"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08C2A36B"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2E03EFC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6811753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00CA7801"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1B051EDC"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79EE67A5"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Receitas de Contribuições</w:t>
            </w:r>
          </w:p>
        </w:tc>
        <w:tc>
          <w:tcPr>
            <w:tcW w:w="280" w:type="dxa"/>
            <w:tcBorders>
              <w:top w:val="nil"/>
              <w:left w:val="nil"/>
              <w:bottom w:val="nil"/>
              <w:right w:val="single" w:sz="4" w:space="0" w:color="000000"/>
            </w:tcBorders>
            <w:shd w:val="clear" w:color="000000" w:fill="FFFFFF"/>
            <w:hideMark/>
          </w:tcPr>
          <w:p w14:paraId="4A0B1A81"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2704A08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77902B5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70DACA6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14945EC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4FE19987"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E7DAF98"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Contribuições Sociais</w:t>
            </w:r>
          </w:p>
        </w:tc>
        <w:tc>
          <w:tcPr>
            <w:tcW w:w="280" w:type="dxa"/>
            <w:tcBorders>
              <w:top w:val="nil"/>
              <w:left w:val="nil"/>
              <w:bottom w:val="nil"/>
              <w:right w:val="single" w:sz="4" w:space="0" w:color="000000"/>
            </w:tcBorders>
            <w:shd w:val="clear" w:color="000000" w:fill="FFFFFF"/>
            <w:hideMark/>
          </w:tcPr>
          <w:p w14:paraId="26C6339C"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1CB6B5E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286D044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794B16AC"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50B1CBBB"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1A280509"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1CCBACA8"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Contribuições de Intervenção no Domínio Econômico</w:t>
            </w:r>
          </w:p>
        </w:tc>
        <w:tc>
          <w:tcPr>
            <w:tcW w:w="280" w:type="dxa"/>
            <w:tcBorders>
              <w:top w:val="nil"/>
              <w:left w:val="nil"/>
              <w:bottom w:val="nil"/>
              <w:right w:val="single" w:sz="4" w:space="0" w:color="000000"/>
            </w:tcBorders>
            <w:shd w:val="clear" w:color="000000" w:fill="FFFFFF"/>
            <w:hideMark/>
          </w:tcPr>
          <w:p w14:paraId="4CAB6FFD"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67F4174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1A2DB485"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66730EDB"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670DDEC4"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3D955652"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0C55D91A"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Cont. Entidades Privadas de Serviço Social Formação Profis.</w:t>
            </w:r>
          </w:p>
        </w:tc>
        <w:tc>
          <w:tcPr>
            <w:tcW w:w="280" w:type="dxa"/>
            <w:tcBorders>
              <w:top w:val="nil"/>
              <w:left w:val="nil"/>
              <w:bottom w:val="nil"/>
              <w:right w:val="single" w:sz="4" w:space="0" w:color="000000"/>
            </w:tcBorders>
            <w:shd w:val="clear" w:color="000000" w:fill="FFFFFF"/>
            <w:hideMark/>
          </w:tcPr>
          <w:p w14:paraId="54768213"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6169059E"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15095BC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231207C1"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05C04EA2"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0DDFBA26"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51D6DD8"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Receita Patrimonial</w:t>
            </w:r>
          </w:p>
        </w:tc>
        <w:tc>
          <w:tcPr>
            <w:tcW w:w="280" w:type="dxa"/>
            <w:tcBorders>
              <w:top w:val="nil"/>
              <w:left w:val="nil"/>
              <w:bottom w:val="nil"/>
              <w:right w:val="single" w:sz="4" w:space="0" w:color="000000"/>
            </w:tcBorders>
            <w:shd w:val="clear" w:color="000000" w:fill="FFFFFF"/>
            <w:hideMark/>
          </w:tcPr>
          <w:p w14:paraId="750BBA14"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5DEE7D7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805.920.380,00</w:t>
            </w:r>
          </w:p>
        </w:tc>
        <w:tc>
          <w:tcPr>
            <w:tcW w:w="2197" w:type="dxa"/>
            <w:gridSpan w:val="4"/>
            <w:tcBorders>
              <w:top w:val="nil"/>
              <w:left w:val="nil"/>
              <w:bottom w:val="nil"/>
              <w:right w:val="single" w:sz="4" w:space="0" w:color="000000"/>
            </w:tcBorders>
            <w:shd w:val="clear" w:color="000000" w:fill="FFFFFF"/>
            <w:hideMark/>
          </w:tcPr>
          <w:p w14:paraId="214FFCC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805.920.380,00</w:t>
            </w:r>
          </w:p>
        </w:tc>
        <w:tc>
          <w:tcPr>
            <w:tcW w:w="2217" w:type="dxa"/>
            <w:gridSpan w:val="5"/>
            <w:tcBorders>
              <w:top w:val="nil"/>
              <w:left w:val="nil"/>
              <w:bottom w:val="nil"/>
              <w:right w:val="single" w:sz="4" w:space="0" w:color="000000"/>
            </w:tcBorders>
            <w:shd w:val="clear" w:color="000000" w:fill="FFFFFF"/>
            <w:hideMark/>
          </w:tcPr>
          <w:p w14:paraId="14A1EB4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874.813.579,93</w:t>
            </w:r>
          </w:p>
        </w:tc>
        <w:tc>
          <w:tcPr>
            <w:tcW w:w="2256" w:type="dxa"/>
            <w:gridSpan w:val="4"/>
            <w:tcBorders>
              <w:top w:val="nil"/>
              <w:left w:val="nil"/>
              <w:bottom w:val="nil"/>
              <w:right w:val="single" w:sz="4" w:space="0" w:color="000000"/>
            </w:tcBorders>
            <w:shd w:val="clear" w:color="000000" w:fill="FFFFFF"/>
            <w:hideMark/>
          </w:tcPr>
          <w:p w14:paraId="22CC2CC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68.893.199,93</w:t>
            </w:r>
          </w:p>
        </w:tc>
      </w:tr>
      <w:tr w:rsidR="00103CC2" w:rsidRPr="00103CC2" w14:paraId="377A6E29"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5AF4F914"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Exploração do Patrimônio Imobiliário do Estado</w:t>
            </w:r>
          </w:p>
        </w:tc>
        <w:tc>
          <w:tcPr>
            <w:tcW w:w="280" w:type="dxa"/>
            <w:tcBorders>
              <w:top w:val="nil"/>
              <w:left w:val="nil"/>
              <w:bottom w:val="nil"/>
              <w:right w:val="single" w:sz="4" w:space="0" w:color="000000"/>
            </w:tcBorders>
            <w:shd w:val="clear" w:color="000000" w:fill="FFFFFF"/>
            <w:hideMark/>
          </w:tcPr>
          <w:p w14:paraId="030453BA"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580CC9C8"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17.176.049,00</w:t>
            </w:r>
          </w:p>
        </w:tc>
        <w:tc>
          <w:tcPr>
            <w:tcW w:w="2197" w:type="dxa"/>
            <w:gridSpan w:val="4"/>
            <w:tcBorders>
              <w:top w:val="nil"/>
              <w:left w:val="nil"/>
              <w:bottom w:val="nil"/>
              <w:right w:val="single" w:sz="4" w:space="0" w:color="000000"/>
            </w:tcBorders>
            <w:shd w:val="clear" w:color="000000" w:fill="FFFFFF"/>
            <w:hideMark/>
          </w:tcPr>
          <w:p w14:paraId="7DA5D4D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17.176.049,00</w:t>
            </w:r>
          </w:p>
        </w:tc>
        <w:tc>
          <w:tcPr>
            <w:tcW w:w="2217" w:type="dxa"/>
            <w:gridSpan w:val="5"/>
            <w:tcBorders>
              <w:top w:val="nil"/>
              <w:left w:val="nil"/>
              <w:bottom w:val="nil"/>
              <w:right w:val="single" w:sz="4" w:space="0" w:color="000000"/>
            </w:tcBorders>
            <w:shd w:val="clear" w:color="000000" w:fill="FFFFFF"/>
            <w:hideMark/>
          </w:tcPr>
          <w:p w14:paraId="5DE4705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9.336.586,67</w:t>
            </w:r>
          </w:p>
        </w:tc>
        <w:tc>
          <w:tcPr>
            <w:tcW w:w="2256" w:type="dxa"/>
            <w:gridSpan w:val="4"/>
            <w:tcBorders>
              <w:top w:val="nil"/>
              <w:left w:val="nil"/>
              <w:bottom w:val="nil"/>
              <w:right w:val="single" w:sz="4" w:space="0" w:color="000000"/>
            </w:tcBorders>
            <w:shd w:val="clear" w:color="000000" w:fill="FFFFFF"/>
            <w:hideMark/>
          </w:tcPr>
          <w:p w14:paraId="1FB680DD"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-7.839.462,33</w:t>
            </w:r>
          </w:p>
        </w:tc>
      </w:tr>
      <w:tr w:rsidR="00103CC2" w:rsidRPr="00103CC2" w14:paraId="62E91142"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6EE0E67F"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Valores Mobiliários</w:t>
            </w:r>
          </w:p>
        </w:tc>
        <w:tc>
          <w:tcPr>
            <w:tcW w:w="280" w:type="dxa"/>
            <w:tcBorders>
              <w:top w:val="nil"/>
              <w:left w:val="nil"/>
              <w:bottom w:val="nil"/>
              <w:right w:val="single" w:sz="4" w:space="0" w:color="000000"/>
            </w:tcBorders>
            <w:shd w:val="clear" w:color="000000" w:fill="FFFFFF"/>
            <w:hideMark/>
          </w:tcPr>
          <w:p w14:paraId="44F77A8A"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6524E941"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404.080.209,00</w:t>
            </w:r>
          </w:p>
        </w:tc>
        <w:tc>
          <w:tcPr>
            <w:tcW w:w="2197" w:type="dxa"/>
            <w:gridSpan w:val="4"/>
            <w:tcBorders>
              <w:top w:val="nil"/>
              <w:left w:val="nil"/>
              <w:bottom w:val="nil"/>
              <w:right w:val="single" w:sz="4" w:space="0" w:color="000000"/>
            </w:tcBorders>
            <w:shd w:val="clear" w:color="000000" w:fill="FFFFFF"/>
            <w:hideMark/>
          </w:tcPr>
          <w:p w14:paraId="54155CB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404.080.209,00</w:t>
            </w:r>
          </w:p>
        </w:tc>
        <w:tc>
          <w:tcPr>
            <w:tcW w:w="2217" w:type="dxa"/>
            <w:gridSpan w:val="5"/>
            <w:tcBorders>
              <w:top w:val="nil"/>
              <w:left w:val="nil"/>
              <w:bottom w:val="nil"/>
              <w:right w:val="single" w:sz="4" w:space="0" w:color="000000"/>
            </w:tcBorders>
            <w:shd w:val="clear" w:color="000000" w:fill="FFFFFF"/>
            <w:hideMark/>
          </w:tcPr>
          <w:p w14:paraId="5293E812"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578.376.630,59</w:t>
            </w:r>
          </w:p>
        </w:tc>
        <w:tc>
          <w:tcPr>
            <w:tcW w:w="2256" w:type="dxa"/>
            <w:gridSpan w:val="4"/>
            <w:tcBorders>
              <w:top w:val="nil"/>
              <w:left w:val="nil"/>
              <w:bottom w:val="nil"/>
              <w:right w:val="single" w:sz="4" w:space="0" w:color="000000"/>
            </w:tcBorders>
            <w:shd w:val="clear" w:color="000000" w:fill="FFFFFF"/>
            <w:hideMark/>
          </w:tcPr>
          <w:p w14:paraId="0F3AEED5"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174.296.421,59</w:t>
            </w:r>
          </w:p>
        </w:tc>
      </w:tr>
      <w:tr w:rsidR="00103CC2" w:rsidRPr="00103CC2" w14:paraId="5213CBCD"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247ED71"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Delegação de Serviços Públicos</w:t>
            </w:r>
          </w:p>
        </w:tc>
        <w:tc>
          <w:tcPr>
            <w:tcW w:w="280" w:type="dxa"/>
            <w:tcBorders>
              <w:top w:val="nil"/>
              <w:left w:val="nil"/>
              <w:bottom w:val="nil"/>
              <w:right w:val="single" w:sz="4" w:space="0" w:color="000000"/>
            </w:tcBorders>
            <w:shd w:val="clear" w:color="000000" w:fill="FFFFFF"/>
            <w:hideMark/>
          </w:tcPr>
          <w:p w14:paraId="3C6CC112"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3337B225"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7ABA10C7"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4F228C3E"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7B6AFA5D"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1467779A"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5C7E67CA"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Exploração de Recursos Naturais</w:t>
            </w:r>
          </w:p>
        </w:tc>
        <w:tc>
          <w:tcPr>
            <w:tcW w:w="280" w:type="dxa"/>
            <w:tcBorders>
              <w:top w:val="nil"/>
              <w:left w:val="nil"/>
              <w:bottom w:val="nil"/>
              <w:right w:val="single" w:sz="4" w:space="0" w:color="000000"/>
            </w:tcBorders>
            <w:shd w:val="clear" w:color="000000" w:fill="FFFFFF"/>
            <w:hideMark/>
          </w:tcPr>
          <w:p w14:paraId="786094EF"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2C3E8BE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384.664.122,00</w:t>
            </w:r>
          </w:p>
        </w:tc>
        <w:tc>
          <w:tcPr>
            <w:tcW w:w="2197" w:type="dxa"/>
            <w:gridSpan w:val="4"/>
            <w:tcBorders>
              <w:top w:val="nil"/>
              <w:left w:val="nil"/>
              <w:bottom w:val="nil"/>
              <w:right w:val="single" w:sz="4" w:space="0" w:color="000000"/>
            </w:tcBorders>
            <w:shd w:val="clear" w:color="000000" w:fill="FFFFFF"/>
            <w:hideMark/>
          </w:tcPr>
          <w:p w14:paraId="76894F11"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384.664.122,00</w:t>
            </w:r>
          </w:p>
        </w:tc>
        <w:tc>
          <w:tcPr>
            <w:tcW w:w="2217" w:type="dxa"/>
            <w:gridSpan w:val="5"/>
            <w:tcBorders>
              <w:top w:val="nil"/>
              <w:left w:val="nil"/>
              <w:bottom w:val="nil"/>
              <w:right w:val="single" w:sz="4" w:space="0" w:color="000000"/>
            </w:tcBorders>
            <w:shd w:val="clear" w:color="000000" w:fill="FFFFFF"/>
            <w:hideMark/>
          </w:tcPr>
          <w:p w14:paraId="0CAB2395"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287.100.362,67</w:t>
            </w:r>
          </w:p>
        </w:tc>
        <w:tc>
          <w:tcPr>
            <w:tcW w:w="2256" w:type="dxa"/>
            <w:gridSpan w:val="4"/>
            <w:tcBorders>
              <w:top w:val="nil"/>
              <w:left w:val="nil"/>
              <w:bottom w:val="nil"/>
              <w:right w:val="single" w:sz="4" w:space="0" w:color="000000"/>
            </w:tcBorders>
            <w:shd w:val="clear" w:color="000000" w:fill="FFFFFF"/>
            <w:hideMark/>
          </w:tcPr>
          <w:p w14:paraId="1C80CDE4"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-97.563.759,33</w:t>
            </w:r>
          </w:p>
        </w:tc>
      </w:tr>
      <w:tr w:rsidR="00103CC2" w:rsidRPr="00103CC2" w14:paraId="720BDADD"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60640544"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Exploração do Patrimônio Intangível</w:t>
            </w:r>
          </w:p>
        </w:tc>
        <w:tc>
          <w:tcPr>
            <w:tcW w:w="280" w:type="dxa"/>
            <w:tcBorders>
              <w:top w:val="nil"/>
              <w:left w:val="nil"/>
              <w:bottom w:val="nil"/>
              <w:right w:val="single" w:sz="4" w:space="0" w:color="000000"/>
            </w:tcBorders>
            <w:shd w:val="clear" w:color="000000" w:fill="FFFFFF"/>
            <w:hideMark/>
          </w:tcPr>
          <w:p w14:paraId="782AF5FD"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232BE785"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665D8F7D"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2E5694C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4A95DB5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26CD993B"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4BD836B6"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Cessão de Direitos</w:t>
            </w:r>
          </w:p>
        </w:tc>
        <w:tc>
          <w:tcPr>
            <w:tcW w:w="280" w:type="dxa"/>
            <w:tcBorders>
              <w:top w:val="nil"/>
              <w:left w:val="nil"/>
              <w:bottom w:val="nil"/>
              <w:right w:val="single" w:sz="4" w:space="0" w:color="000000"/>
            </w:tcBorders>
            <w:shd w:val="clear" w:color="000000" w:fill="FFFFFF"/>
            <w:hideMark/>
          </w:tcPr>
          <w:p w14:paraId="40B7C9A5"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65BF9D8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030A1A2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359B3905"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1EE73449"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3C5962B7"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87C3590"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Demais Receitas Patrimoniais</w:t>
            </w:r>
          </w:p>
        </w:tc>
        <w:tc>
          <w:tcPr>
            <w:tcW w:w="280" w:type="dxa"/>
            <w:tcBorders>
              <w:top w:val="nil"/>
              <w:left w:val="nil"/>
              <w:bottom w:val="nil"/>
              <w:right w:val="single" w:sz="4" w:space="0" w:color="000000"/>
            </w:tcBorders>
            <w:shd w:val="clear" w:color="000000" w:fill="FFFFFF"/>
            <w:hideMark/>
          </w:tcPr>
          <w:p w14:paraId="101FB9F2"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2C2D2A38"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5BB96DC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73B43C8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648423AC"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6505A086"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4C2CC92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Receita Agropecuária</w:t>
            </w:r>
          </w:p>
        </w:tc>
        <w:tc>
          <w:tcPr>
            <w:tcW w:w="280" w:type="dxa"/>
            <w:tcBorders>
              <w:top w:val="nil"/>
              <w:left w:val="nil"/>
              <w:bottom w:val="nil"/>
              <w:right w:val="single" w:sz="4" w:space="0" w:color="000000"/>
            </w:tcBorders>
            <w:shd w:val="clear" w:color="000000" w:fill="FFFFFF"/>
            <w:hideMark/>
          </w:tcPr>
          <w:p w14:paraId="6D2E436C"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22DD670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58.761,00</w:t>
            </w:r>
          </w:p>
        </w:tc>
        <w:tc>
          <w:tcPr>
            <w:tcW w:w="2197" w:type="dxa"/>
            <w:gridSpan w:val="4"/>
            <w:tcBorders>
              <w:top w:val="nil"/>
              <w:left w:val="nil"/>
              <w:bottom w:val="nil"/>
              <w:right w:val="single" w:sz="4" w:space="0" w:color="000000"/>
            </w:tcBorders>
            <w:shd w:val="clear" w:color="000000" w:fill="FFFFFF"/>
            <w:hideMark/>
          </w:tcPr>
          <w:p w14:paraId="22C6DE8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58.761,00</w:t>
            </w:r>
          </w:p>
        </w:tc>
        <w:tc>
          <w:tcPr>
            <w:tcW w:w="2217" w:type="dxa"/>
            <w:gridSpan w:val="5"/>
            <w:tcBorders>
              <w:top w:val="nil"/>
              <w:left w:val="nil"/>
              <w:bottom w:val="nil"/>
              <w:right w:val="single" w:sz="4" w:space="0" w:color="000000"/>
            </w:tcBorders>
            <w:shd w:val="clear" w:color="000000" w:fill="FFFFFF"/>
            <w:hideMark/>
          </w:tcPr>
          <w:p w14:paraId="42547AA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29.214,50</w:t>
            </w:r>
          </w:p>
        </w:tc>
        <w:tc>
          <w:tcPr>
            <w:tcW w:w="2256" w:type="dxa"/>
            <w:gridSpan w:val="4"/>
            <w:tcBorders>
              <w:top w:val="nil"/>
              <w:left w:val="nil"/>
              <w:bottom w:val="nil"/>
              <w:right w:val="single" w:sz="4" w:space="0" w:color="000000"/>
            </w:tcBorders>
            <w:shd w:val="clear" w:color="000000" w:fill="FFFFFF"/>
            <w:hideMark/>
          </w:tcPr>
          <w:p w14:paraId="3DF116D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-29.546,50</w:t>
            </w:r>
          </w:p>
        </w:tc>
      </w:tr>
      <w:tr w:rsidR="00103CC2" w:rsidRPr="00103CC2" w14:paraId="3D4DB99A"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3EC28E5"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Receita Industrial</w:t>
            </w:r>
          </w:p>
        </w:tc>
        <w:tc>
          <w:tcPr>
            <w:tcW w:w="280" w:type="dxa"/>
            <w:tcBorders>
              <w:top w:val="nil"/>
              <w:left w:val="nil"/>
              <w:bottom w:val="nil"/>
              <w:right w:val="single" w:sz="4" w:space="0" w:color="000000"/>
            </w:tcBorders>
            <w:shd w:val="clear" w:color="000000" w:fill="FFFFFF"/>
            <w:hideMark/>
          </w:tcPr>
          <w:p w14:paraId="35E9A877"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5FF0BDD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3.258,00</w:t>
            </w:r>
          </w:p>
        </w:tc>
        <w:tc>
          <w:tcPr>
            <w:tcW w:w="2197" w:type="dxa"/>
            <w:gridSpan w:val="4"/>
            <w:tcBorders>
              <w:top w:val="nil"/>
              <w:left w:val="nil"/>
              <w:bottom w:val="nil"/>
              <w:right w:val="single" w:sz="4" w:space="0" w:color="000000"/>
            </w:tcBorders>
            <w:shd w:val="clear" w:color="000000" w:fill="FFFFFF"/>
            <w:hideMark/>
          </w:tcPr>
          <w:p w14:paraId="31AEB39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3.258,00</w:t>
            </w:r>
          </w:p>
        </w:tc>
        <w:tc>
          <w:tcPr>
            <w:tcW w:w="2217" w:type="dxa"/>
            <w:gridSpan w:val="5"/>
            <w:tcBorders>
              <w:top w:val="nil"/>
              <w:left w:val="nil"/>
              <w:bottom w:val="nil"/>
              <w:right w:val="single" w:sz="4" w:space="0" w:color="000000"/>
            </w:tcBorders>
            <w:shd w:val="clear" w:color="000000" w:fill="FFFFFF"/>
            <w:hideMark/>
          </w:tcPr>
          <w:p w14:paraId="162BCE2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2991113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-3.258,00</w:t>
            </w:r>
          </w:p>
        </w:tc>
      </w:tr>
      <w:tr w:rsidR="00103CC2" w:rsidRPr="00103CC2" w14:paraId="4BD39582"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69D62E3F"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Receitas de Serviços</w:t>
            </w:r>
          </w:p>
        </w:tc>
        <w:tc>
          <w:tcPr>
            <w:tcW w:w="280" w:type="dxa"/>
            <w:tcBorders>
              <w:top w:val="nil"/>
              <w:left w:val="nil"/>
              <w:bottom w:val="nil"/>
              <w:right w:val="single" w:sz="4" w:space="0" w:color="000000"/>
            </w:tcBorders>
            <w:shd w:val="clear" w:color="000000" w:fill="FFFFFF"/>
            <w:hideMark/>
          </w:tcPr>
          <w:p w14:paraId="58B916E7"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4FB08AF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525.456.523,00</w:t>
            </w:r>
          </w:p>
        </w:tc>
        <w:tc>
          <w:tcPr>
            <w:tcW w:w="2197" w:type="dxa"/>
            <w:gridSpan w:val="4"/>
            <w:tcBorders>
              <w:top w:val="nil"/>
              <w:left w:val="nil"/>
              <w:bottom w:val="nil"/>
              <w:right w:val="single" w:sz="4" w:space="0" w:color="000000"/>
            </w:tcBorders>
            <w:shd w:val="clear" w:color="000000" w:fill="FFFFFF"/>
            <w:hideMark/>
          </w:tcPr>
          <w:p w14:paraId="42CFE08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525.456.523,00</w:t>
            </w:r>
          </w:p>
        </w:tc>
        <w:tc>
          <w:tcPr>
            <w:tcW w:w="2217" w:type="dxa"/>
            <w:gridSpan w:val="5"/>
            <w:tcBorders>
              <w:top w:val="nil"/>
              <w:left w:val="nil"/>
              <w:bottom w:val="nil"/>
              <w:right w:val="single" w:sz="4" w:space="0" w:color="000000"/>
            </w:tcBorders>
            <w:shd w:val="clear" w:color="000000" w:fill="FFFFFF"/>
            <w:hideMark/>
          </w:tcPr>
          <w:p w14:paraId="3BE64B4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423.742.857,04</w:t>
            </w:r>
          </w:p>
        </w:tc>
        <w:tc>
          <w:tcPr>
            <w:tcW w:w="2256" w:type="dxa"/>
            <w:gridSpan w:val="4"/>
            <w:tcBorders>
              <w:top w:val="nil"/>
              <w:left w:val="nil"/>
              <w:bottom w:val="nil"/>
              <w:right w:val="single" w:sz="4" w:space="0" w:color="000000"/>
            </w:tcBorders>
            <w:shd w:val="clear" w:color="000000" w:fill="FFFFFF"/>
            <w:hideMark/>
          </w:tcPr>
          <w:p w14:paraId="0CE1C1C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-101.713.665,96</w:t>
            </w:r>
          </w:p>
        </w:tc>
      </w:tr>
      <w:tr w:rsidR="00103CC2" w:rsidRPr="00103CC2" w14:paraId="6B30C32D"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0F1B6822"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Serviços Administrativos e Comerciais Gerais</w:t>
            </w:r>
          </w:p>
        </w:tc>
        <w:tc>
          <w:tcPr>
            <w:tcW w:w="280" w:type="dxa"/>
            <w:tcBorders>
              <w:top w:val="nil"/>
              <w:left w:val="nil"/>
              <w:bottom w:val="nil"/>
              <w:right w:val="single" w:sz="4" w:space="0" w:color="000000"/>
            </w:tcBorders>
            <w:shd w:val="clear" w:color="000000" w:fill="FFFFFF"/>
            <w:hideMark/>
          </w:tcPr>
          <w:p w14:paraId="297693E7"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4514DD8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18.170.408,00</w:t>
            </w:r>
          </w:p>
        </w:tc>
        <w:tc>
          <w:tcPr>
            <w:tcW w:w="2197" w:type="dxa"/>
            <w:gridSpan w:val="4"/>
            <w:tcBorders>
              <w:top w:val="nil"/>
              <w:left w:val="nil"/>
              <w:bottom w:val="nil"/>
              <w:right w:val="single" w:sz="4" w:space="0" w:color="000000"/>
            </w:tcBorders>
            <w:shd w:val="clear" w:color="000000" w:fill="FFFFFF"/>
            <w:hideMark/>
          </w:tcPr>
          <w:p w14:paraId="4C848C38"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18.170.408,00</w:t>
            </w:r>
          </w:p>
        </w:tc>
        <w:tc>
          <w:tcPr>
            <w:tcW w:w="2217" w:type="dxa"/>
            <w:gridSpan w:val="5"/>
            <w:tcBorders>
              <w:top w:val="nil"/>
              <w:left w:val="nil"/>
              <w:bottom w:val="nil"/>
              <w:right w:val="single" w:sz="4" w:space="0" w:color="000000"/>
            </w:tcBorders>
            <w:shd w:val="clear" w:color="000000" w:fill="FFFFFF"/>
            <w:hideMark/>
          </w:tcPr>
          <w:p w14:paraId="14040EF2"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15.792.913,69</w:t>
            </w:r>
          </w:p>
        </w:tc>
        <w:tc>
          <w:tcPr>
            <w:tcW w:w="2256" w:type="dxa"/>
            <w:gridSpan w:val="4"/>
            <w:tcBorders>
              <w:top w:val="nil"/>
              <w:left w:val="nil"/>
              <w:bottom w:val="nil"/>
              <w:right w:val="single" w:sz="4" w:space="0" w:color="000000"/>
            </w:tcBorders>
            <w:shd w:val="clear" w:color="000000" w:fill="FFFFFF"/>
            <w:hideMark/>
          </w:tcPr>
          <w:p w14:paraId="7ABE2224"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-2.377.494,31</w:t>
            </w:r>
          </w:p>
        </w:tc>
      </w:tr>
      <w:tr w:rsidR="00103CC2" w:rsidRPr="00103CC2" w14:paraId="7DD847CD"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48BC782E"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Serviços e Atividades Referentes à Navegação e ao Transporte</w:t>
            </w:r>
          </w:p>
        </w:tc>
        <w:tc>
          <w:tcPr>
            <w:tcW w:w="280" w:type="dxa"/>
            <w:tcBorders>
              <w:top w:val="nil"/>
              <w:left w:val="nil"/>
              <w:bottom w:val="nil"/>
              <w:right w:val="single" w:sz="4" w:space="0" w:color="000000"/>
            </w:tcBorders>
            <w:shd w:val="clear" w:color="000000" w:fill="FFFFFF"/>
            <w:hideMark/>
          </w:tcPr>
          <w:p w14:paraId="015B46AB"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25B2CC5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372.852.877,00</w:t>
            </w:r>
          </w:p>
        </w:tc>
        <w:tc>
          <w:tcPr>
            <w:tcW w:w="2197" w:type="dxa"/>
            <w:gridSpan w:val="4"/>
            <w:tcBorders>
              <w:top w:val="nil"/>
              <w:left w:val="nil"/>
              <w:bottom w:val="nil"/>
              <w:right w:val="single" w:sz="4" w:space="0" w:color="000000"/>
            </w:tcBorders>
            <w:shd w:val="clear" w:color="000000" w:fill="FFFFFF"/>
            <w:hideMark/>
          </w:tcPr>
          <w:p w14:paraId="5754E9C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372.852.877,00</w:t>
            </w:r>
          </w:p>
        </w:tc>
        <w:tc>
          <w:tcPr>
            <w:tcW w:w="2217" w:type="dxa"/>
            <w:gridSpan w:val="5"/>
            <w:tcBorders>
              <w:top w:val="nil"/>
              <w:left w:val="nil"/>
              <w:bottom w:val="nil"/>
              <w:right w:val="single" w:sz="4" w:space="0" w:color="000000"/>
            </w:tcBorders>
            <w:shd w:val="clear" w:color="000000" w:fill="FFFFFF"/>
            <w:hideMark/>
          </w:tcPr>
          <w:p w14:paraId="6F98B4DE"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222.611.596,80</w:t>
            </w:r>
          </w:p>
        </w:tc>
        <w:tc>
          <w:tcPr>
            <w:tcW w:w="2256" w:type="dxa"/>
            <w:gridSpan w:val="4"/>
            <w:tcBorders>
              <w:top w:val="nil"/>
              <w:left w:val="nil"/>
              <w:bottom w:val="nil"/>
              <w:right w:val="single" w:sz="4" w:space="0" w:color="000000"/>
            </w:tcBorders>
            <w:shd w:val="clear" w:color="000000" w:fill="FFFFFF"/>
            <w:hideMark/>
          </w:tcPr>
          <w:p w14:paraId="505F94B2"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-150.241.280,20</w:t>
            </w:r>
          </w:p>
        </w:tc>
      </w:tr>
      <w:tr w:rsidR="00103CC2" w:rsidRPr="00103CC2" w14:paraId="61B734E1"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6D478D30"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Serviços e Atividades Referentes à Saúde</w:t>
            </w:r>
          </w:p>
        </w:tc>
        <w:tc>
          <w:tcPr>
            <w:tcW w:w="280" w:type="dxa"/>
            <w:tcBorders>
              <w:top w:val="nil"/>
              <w:left w:val="nil"/>
              <w:bottom w:val="nil"/>
              <w:right w:val="single" w:sz="4" w:space="0" w:color="000000"/>
            </w:tcBorders>
            <w:shd w:val="clear" w:color="000000" w:fill="FFFFFF"/>
            <w:hideMark/>
          </w:tcPr>
          <w:p w14:paraId="6D00653E"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4338F0A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7A747374"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607E2BF7"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6369824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2CD384E2"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4C749532"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Serviços e Atividades Financeiras</w:t>
            </w:r>
          </w:p>
        </w:tc>
        <w:tc>
          <w:tcPr>
            <w:tcW w:w="280" w:type="dxa"/>
            <w:tcBorders>
              <w:top w:val="nil"/>
              <w:left w:val="nil"/>
              <w:bottom w:val="nil"/>
              <w:right w:val="single" w:sz="4" w:space="0" w:color="000000"/>
            </w:tcBorders>
            <w:shd w:val="clear" w:color="000000" w:fill="FFFFFF"/>
            <w:hideMark/>
          </w:tcPr>
          <w:p w14:paraId="2F8C89DD"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3D91AFF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134.433.238,00</w:t>
            </w:r>
          </w:p>
        </w:tc>
        <w:tc>
          <w:tcPr>
            <w:tcW w:w="2197" w:type="dxa"/>
            <w:gridSpan w:val="4"/>
            <w:tcBorders>
              <w:top w:val="nil"/>
              <w:left w:val="nil"/>
              <w:bottom w:val="nil"/>
              <w:right w:val="single" w:sz="4" w:space="0" w:color="000000"/>
            </w:tcBorders>
            <w:shd w:val="clear" w:color="000000" w:fill="FFFFFF"/>
            <w:hideMark/>
          </w:tcPr>
          <w:p w14:paraId="19175D1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134.433.238,00</w:t>
            </w:r>
          </w:p>
        </w:tc>
        <w:tc>
          <w:tcPr>
            <w:tcW w:w="2217" w:type="dxa"/>
            <w:gridSpan w:val="5"/>
            <w:tcBorders>
              <w:top w:val="nil"/>
              <w:left w:val="nil"/>
              <w:bottom w:val="nil"/>
              <w:right w:val="single" w:sz="4" w:space="0" w:color="000000"/>
            </w:tcBorders>
            <w:shd w:val="clear" w:color="000000" w:fill="FFFFFF"/>
            <w:hideMark/>
          </w:tcPr>
          <w:p w14:paraId="3059DE3E"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185.334.868,05</w:t>
            </w:r>
          </w:p>
        </w:tc>
        <w:tc>
          <w:tcPr>
            <w:tcW w:w="2256" w:type="dxa"/>
            <w:gridSpan w:val="4"/>
            <w:tcBorders>
              <w:top w:val="nil"/>
              <w:left w:val="nil"/>
              <w:bottom w:val="nil"/>
              <w:right w:val="single" w:sz="4" w:space="0" w:color="000000"/>
            </w:tcBorders>
            <w:shd w:val="clear" w:color="000000" w:fill="FFFFFF"/>
            <w:hideMark/>
          </w:tcPr>
          <w:p w14:paraId="02AFC98B"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50.901.630,05</w:t>
            </w:r>
          </w:p>
        </w:tc>
      </w:tr>
      <w:tr w:rsidR="00103CC2" w:rsidRPr="00103CC2" w14:paraId="31DDB132"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499D8C19"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lastRenderedPageBreak/>
              <w:t xml:space="preserve">        Outros Serviços</w:t>
            </w:r>
          </w:p>
        </w:tc>
        <w:tc>
          <w:tcPr>
            <w:tcW w:w="280" w:type="dxa"/>
            <w:tcBorders>
              <w:top w:val="nil"/>
              <w:left w:val="nil"/>
              <w:bottom w:val="nil"/>
              <w:right w:val="single" w:sz="4" w:space="0" w:color="000000"/>
            </w:tcBorders>
            <w:shd w:val="clear" w:color="000000" w:fill="FFFFFF"/>
            <w:hideMark/>
          </w:tcPr>
          <w:p w14:paraId="3C147C31"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78ED26DC"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3CF8B591"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2C5A4807"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3.478,50</w:t>
            </w:r>
          </w:p>
        </w:tc>
        <w:tc>
          <w:tcPr>
            <w:tcW w:w="2256" w:type="dxa"/>
            <w:gridSpan w:val="4"/>
            <w:tcBorders>
              <w:top w:val="nil"/>
              <w:left w:val="nil"/>
              <w:bottom w:val="nil"/>
              <w:right w:val="single" w:sz="4" w:space="0" w:color="000000"/>
            </w:tcBorders>
            <w:shd w:val="clear" w:color="000000" w:fill="FFFFFF"/>
            <w:hideMark/>
          </w:tcPr>
          <w:p w14:paraId="1E8A11E8"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3.478,50</w:t>
            </w:r>
          </w:p>
        </w:tc>
      </w:tr>
      <w:tr w:rsidR="00103CC2" w:rsidRPr="00103CC2" w14:paraId="6469FA64"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0E3A2AF"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Transferências Correntes</w:t>
            </w:r>
          </w:p>
        </w:tc>
        <w:tc>
          <w:tcPr>
            <w:tcW w:w="280" w:type="dxa"/>
            <w:tcBorders>
              <w:top w:val="nil"/>
              <w:left w:val="nil"/>
              <w:bottom w:val="nil"/>
              <w:right w:val="single" w:sz="4" w:space="0" w:color="000000"/>
            </w:tcBorders>
            <w:shd w:val="clear" w:color="000000" w:fill="FFFFFF"/>
            <w:hideMark/>
          </w:tcPr>
          <w:p w14:paraId="57E4CD0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7F9B050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288.000,00</w:t>
            </w:r>
          </w:p>
        </w:tc>
        <w:tc>
          <w:tcPr>
            <w:tcW w:w="2197" w:type="dxa"/>
            <w:gridSpan w:val="4"/>
            <w:tcBorders>
              <w:top w:val="nil"/>
              <w:left w:val="nil"/>
              <w:bottom w:val="nil"/>
              <w:right w:val="single" w:sz="4" w:space="0" w:color="000000"/>
            </w:tcBorders>
            <w:shd w:val="clear" w:color="000000" w:fill="FFFFFF"/>
            <w:hideMark/>
          </w:tcPr>
          <w:p w14:paraId="791D865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288.000,00</w:t>
            </w:r>
          </w:p>
        </w:tc>
        <w:tc>
          <w:tcPr>
            <w:tcW w:w="2217" w:type="dxa"/>
            <w:gridSpan w:val="5"/>
            <w:tcBorders>
              <w:top w:val="nil"/>
              <w:left w:val="nil"/>
              <w:bottom w:val="nil"/>
              <w:right w:val="single" w:sz="4" w:space="0" w:color="000000"/>
            </w:tcBorders>
            <w:shd w:val="clear" w:color="000000" w:fill="FFFFFF"/>
            <w:hideMark/>
          </w:tcPr>
          <w:p w14:paraId="7CB7572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269.857,20</w:t>
            </w:r>
          </w:p>
        </w:tc>
        <w:tc>
          <w:tcPr>
            <w:tcW w:w="2256" w:type="dxa"/>
            <w:gridSpan w:val="4"/>
            <w:tcBorders>
              <w:top w:val="nil"/>
              <w:left w:val="nil"/>
              <w:bottom w:val="nil"/>
              <w:right w:val="single" w:sz="4" w:space="0" w:color="000000"/>
            </w:tcBorders>
            <w:shd w:val="clear" w:color="000000" w:fill="FFFFFF"/>
            <w:hideMark/>
          </w:tcPr>
          <w:p w14:paraId="209738C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-18.142,80</w:t>
            </w:r>
          </w:p>
        </w:tc>
      </w:tr>
      <w:tr w:rsidR="00103CC2" w:rsidRPr="00103CC2" w14:paraId="21399C16"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50B7AED6"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Outras Receitas Correntes</w:t>
            </w:r>
          </w:p>
        </w:tc>
        <w:tc>
          <w:tcPr>
            <w:tcW w:w="280" w:type="dxa"/>
            <w:tcBorders>
              <w:top w:val="nil"/>
              <w:left w:val="nil"/>
              <w:bottom w:val="nil"/>
              <w:right w:val="single" w:sz="4" w:space="0" w:color="000000"/>
            </w:tcBorders>
            <w:shd w:val="clear" w:color="000000" w:fill="FFFFFF"/>
            <w:hideMark/>
          </w:tcPr>
          <w:p w14:paraId="31BB1FC9"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72BF25E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4.566.464,00</w:t>
            </w:r>
          </w:p>
        </w:tc>
        <w:tc>
          <w:tcPr>
            <w:tcW w:w="2197" w:type="dxa"/>
            <w:gridSpan w:val="4"/>
            <w:tcBorders>
              <w:top w:val="nil"/>
              <w:left w:val="nil"/>
              <w:bottom w:val="nil"/>
              <w:right w:val="single" w:sz="4" w:space="0" w:color="000000"/>
            </w:tcBorders>
            <w:shd w:val="clear" w:color="000000" w:fill="FFFFFF"/>
            <w:hideMark/>
          </w:tcPr>
          <w:p w14:paraId="2A1DFE7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4.566.464,00</w:t>
            </w:r>
          </w:p>
        </w:tc>
        <w:tc>
          <w:tcPr>
            <w:tcW w:w="2217" w:type="dxa"/>
            <w:gridSpan w:val="5"/>
            <w:tcBorders>
              <w:top w:val="nil"/>
              <w:left w:val="nil"/>
              <w:bottom w:val="nil"/>
              <w:right w:val="single" w:sz="4" w:space="0" w:color="000000"/>
            </w:tcBorders>
            <w:shd w:val="clear" w:color="000000" w:fill="FFFFFF"/>
            <w:hideMark/>
          </w:tcPr>
          <w:p w14:paraId="5BB8C6B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42.295.086,70</w:t>
            </w:r>
          </w:p>
        </w:tc>
        <w:tc>
          <w:tcPr>
            <w:tcW w:w="2256" w:type="dxa"/>
            <w:gridSpan w:val="4"/>
            <w:tcBorders>
              <w:top w:val="nil"/>
              <w:left w:val="nil"/>
              <w:bottom w:val="nil"/>
              <w:right w:val="single" w:sz="4" w:space="0" w:color="000000"/>
            </w:tcBorders>
            <w:shd w:val="clear" w:color="000000" w:fill="FFFFFF"/>
            <w:hideMark/>
          </w:tcPr>
          <w:p w14:paraId="5AAC5B5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37.728.622,70</w:t>
            </w:r>
          </w:p>
        </w:tc>
      </w:tr>
      <w:tr w:rsidR="00103CC2" w:rsidRPr="00103CC2" w14:paraId="7414487A"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A25AC4B"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Multas Administrativas, Contratuais e Judiciais</w:t>
            </w:r>
          </w:p>
        </w:tc>
        <w:tc>
          <w:tcPr>
            <w:tcW w:w="280" w:type="dxa"/>
            <w:tcBorders>
              <w:top w:val="nil"/>
              <w:left w:val="nil"/>
              <w:bottom w:val="nil"/>
              <w:right w:val="single" w:sz="4" w:space="0" w:color="000000"/>
            </w:tcBorders>
            <w:shd w:val="clear" w:color="000000" w:fill="FFFFFF"/>
            <w:hideMark/>
          </w:tcPr>
          <w:p w14:paraId="524F8AD8"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508E52E4"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1.999.612,00</w:t>
            </w:r>
          </w:p>
        </w:tc>
        <w:tc>
          <w:tcPr>
            <w:tcW w:w="2197" w:type="dxa"/>
            <w:gridSpan w:val="4"/>
            <w:tcBorders>
              <w:top w:val="nil"/>
              <w:left w:val="nil"/>
              <w:bottom w:val="nil"/>
              <w:right w:val="single" w:sz="4" w:space="0" w:color="000000"/>
            </w:tcBorders>
            <w:shd w:val="clear" w:color="000000" w:fill="FFFFFF"/>
            <w:hideMark/>
          </w:tcPr>
          <w:p w14:paraId="7F0EC72C"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1.999.612,00</w:t>
            </w:r>
          </w:p>
        </w:tc>
        <w:tc>
          <w:tcPr>
            <w:tcW w:w="2217" w:type="dxa"/>
            <w:gridSpan w:val="5"/>
            <w:tcBorders>
              <w:top w:val="nil"/>
              <w:left w:val="nil"/>
              <w:bottom w:val="nil"/>
              <w:right w:val="single" w:sz="4" w:space="0" w:color="000000"/>
            </w:tcBorders>
            <w:shd w:val="clear" w:color="000000" w:fill="FFFFFF"/>
            <w:hideMark/>
          </w:tcPr>
          <w:p w14:paraId="74FBD4B9"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934.106,12</w:t>
            </w:r>
          </w:p>
        </w:tc>
        <w:tc>
          <w:tcPr>
            <w:tcW w:w="2256" w:type="dxa"/>
            <w:gridSpan w:val="4"/>
            <w:tcBorders>
              <w:top w:val="nil"/>
              <w:left w:val="nil"/>
              <w:bottom w:val="nil"/>
              <w:right w:val="single" w:sz="4" w:space="0" w:color="000000"/>
            </w:tcBorders>
            <w:shd w:val="clear" w:color="000000" w:fill="FFFFFF"/>
            <w:hideMark/>
          </w:tcPr>
          <w:p w14:paraId="7C1CB337"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-1.065.505,88</w:t>
            </w:r>
          </w:p>
        </w:tc>
      </w:tr>
      <w:tr w:rsidR="00103CC2" w:rsidRPr="00103CC2" w14:paraId="7038B757"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492D6821"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Indenizações, Restituições e Ressarcimentos</w:t>
            </w:r>
          </w:p>
        </w:tc>
        <w:tc>
          <w:tcPr>
            <w:tcW w:w="280" w:type="dxa"/>
            <w:tcBorders>
              <w:top w:val="nil"/>
              <w:left w:val="nil"/>
              <w:bottom w:val="nil"/>
              <w:right w:val="single" w:sz="4" w:space="0" w:color="000000"/>
            </w:tcBorders>
            <w:shd w:val="clear" w:color="000000" w:fill="FFFFFF"/>
            <w:hideMark/>
          </w:tcPr>
          <w:p w14:paraId="6E00A4E9"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29C36034"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211.355,00</w:t>
            </w:r>
          </w:p>
        </w:tc>
        <w:tc>
          <w:tcPr>
            <w:tcW w:w="2197" w:type="dxa"/>
            <w:gridSpan w:val="4"/>
            <w:tcBorders>
              <w:top w:val="nil"/>
              <w:left w:val="nil"/>
              <w:bottom w:val="nil"/>
              <w:right w:val="single" w:sz="4" w:space="0" w:color="000000"/>
            </w:tcBorders>
            <w:shd w:val="clear" w:color="000000" w:fill="FFFFFF"/>
            <w:hideMark/>
          </w:tcPr>
          <w:p w14:paraId="474E718C"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211.355,00</w:t>
            </w:r>
          </w:p>
        </w:tc>
        <w:tc>
          <w:tcPr>
            <w:tcW w:w="2217" w:type="dxa"/>
            <w:gridSpan w:val="5"/>
            <w:tcBorders>
              <w:top w:val="nil"/>
              <w:left w:val="nil"/>
              <w:bottom w:val="nil"/>
              <w:right w:val="single" w:sz="4" w:space="0" w:color="000000"/>
            </w:tcBorders>
            <w:shd w:val="clear" w:color="000000" w:fill="FFFFFF"/>
            <w:hideMark/>
          </w:tcPr>
          <w:p w14:paraId="2766ECB7"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31.249.715,16</w:t>
            </w:r>
          </w:p>
        </w:tc>
        <w:tc>
          <w:tcPr>
            <w:tcW w:w="2256" w:type="dxa"/>
            <w:gridSpan w:val="4"/>
            <w:tcBorders>
              <w:top w:val="nil"/>
              <w:left w:val="nil"/>
              <w:bottom w:val="nil"/>
              <w:right w:val="single" w:sz="4" w:space="0" w:color="000000"/>
            </w:tcBorders>
            <w:shd w:val="clear" w:color="000000" w:fill="FFFFFF"/>
            <w:hideMark/>
          </w:tcPr>
          <w:p w14:paraId="3293EEB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31.038.360,16</w:t>
            </w:r>
          </w:p>
        </w:tc>
      </w:tr>
      <w:tr w:rsidR="00103CC2" w:rsidRPr="00103CC2" w14:paraId="34EA7DF2"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4ADE89E7"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Bens, Direitos e Valores Incorporados ao Patrimônio Público</w:t>
            </w:r>
          </w:p>
        </w:tc>
        <w:tc>
          <w:tcPr>
            <w:tcW w:w="280" w:type="dxa"/>
            <w:tcBorders>
              <w:top w:val="nil"/>
              <w:left w:val="nil"/>
              <w:bottom w:val="nil"/>
              <w:right w:val="single" w:sz="4" w:space="0" w:color="000000"/>
            </w:tcBorders>
            <w:shd w:val="clear" w:color="000000" w:fill="FFFFFF"/>
            <w:hideMark/>
          </w:tcPr>
          <w:p w14:paraId="565D4227"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52BFA6D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1D70435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76D389FC"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2C6189A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5CEE37AB"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2EE822F"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Demais Receitas Correntes</w:t>
            </w:r>
          </w:p>
        </w:tc>
        <w:tc>
          <w:tcPr>
            <w:tcW w:w="280" w:type="dxa"/>
            <w:tcBorders>
              <w:top w:val="nil"/>
              <w:left w:val="nil"/>
              <w:bottom w:val="nil"/>
              <w:right w:val="single" w:sz="4" w:space="0" w:color="000000"/>
            </w:tcBorders>
            <w:shd w:val="clear" w:color="000000" w:fill="FFFFFF"/>
            <w:hideMark/>
          </w:tcPr>
          <w:p w14:paraId="330513AD"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64D09C14"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2.355.497,00</w:t>
            </w:r>
          </w:p>
        </w:tc>
        <w:tc>
          <w:tcPr>
            <w:tcW w:w="2197" w:type="dxa"/>
            <w:gridSpan w:val="4"/>
            <w:tcBorders>
              <w:top w:val="nil"/>
              <w:left w:val="nil"/>
              <w:bottom w:val="nil"/>
              <w:right w:val="single" w:sz="4" w:space="0" w:color="000000"/>
            </w:tcBorders>
            <w:shd w:val="clear" w:color="000000" w:fill="FFFFFF"/>
            <w:hideMark/>
          </w:tcPr>
          <w:p w14:paraId="32008901"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2.355.497,00</w:t>
            </w:r>
          </w:p>
        </w:tc>
        <w:tc>
          <w:tcPr>
            <w:tcW w:w="2217" w:type="dxa"/>
            <w:gridSpan w:val="5"/>
            <w:tcBorders>
              <w:top w:val="nil"/>
              <w:left w:val="nil"/>
              <w:bottom w:val="nil"/>
              <w:right w:val="single" w:sz="4" w:space="0" w:color="000000"/>
            </w:tcBorders>
            <w:shd w:val="clear" w:color="000000" w:fill="FFFFFF"/>
            <w:hideMark/>
          </w:tcPr>
          <w:p w14:paraId="5994A7C1"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10.111.265,42</w:t>
            </w:r>
          </w:p>
        </w:tc>
        <w:tc>
          <w:tcPr>
            <w:tcW w:w="2256" w:type="dxa"/>
            <w:gridSpan w:val="4"/>
            <w:tcBorders>
              <w:top w:val="nil"/>
              <w:left w:val="nil"/>
              <w:bottom w:val="nil"/>
              <w:right w:val="single" w:sz="4" w:space="0" w:color="000000"/>
            </w:tcBorders>
            <w:shd w:val="clear" w:color="000000" w:fill="FFFFFF"/>
            <w:hideMark/>
          </w:tcPr>
          <w:p w14:paraId="36F4806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7.755.768,42</w:t>
            </w:r>
          </w:p>
        </w:tc>
      </w:tr>
      <w:tr w:rsidR="00103CC2" w:rsidRPr="00103CC2" w14:paraId="28A8983B"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9DA95EE"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RECEITAS DE CAPITAL</w:t>
            </w:r>
          </w:p>
        </w:tc>
        <w:tc>
          <w:tcPr>
            <w:tcW w:w="280" w:type="dxa"/>
            <w:tcBorders>
              <w:top w:val="nil"/>
              <w:left w:val="nil"/>
              <w:bottom w:val="nil"/>
              <w:right w:val="single" w:sz="4" w:space="0" w:color="000000"/>
            </w:tcBorders>
            <w:shd w:val="clear" w:color="000000" w:fill="FFFFFF"/>
            <w:hideMark/>
          </w:tcPr>
          <w:p w14:paraId="11B69A24" w14:textId="77777777" w:rsidR="00103CC2" w:rsidRPr="00103CC2" w:rsidRDefault="00103CC2" w:rsidP="00103CC2">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12</w:t>
            </w:r>
          </w:p>
        </w:tc>
        <w:tc>
          <w:tcPr>
            <w:tcW w:w="2218" w:type="dxa"/>
            <w:gridSpan w:val="5"/>
            <w:tcBorders>
              <w:top w:val="nil"/>
              <w:left w:val="nil"/>
              <w:bottom w:val="nil"/>
              <w:right w:val="single" w:sz="4" w:space="0" w:color="000000"/>
            </w:tcBorders>
            <w:shd w:val="clear" w:color="000000" w:fill="FFFFFF"/>
            <w:hideMark/>
          </w:tcPr>
          <w:p w14:paraId="2543FFE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1.525.198.926,00</w:t>
            </w:r>
          </w:p>
        </w:tc>
        <w:tc>
          <w:tcPr>
            <w:tcW w:w="2197" w:type="dxa"/>
            <w:gridSpan w:val="4"/>
            <w:tcBorders>
              <w:top w:val="nil"/>
              <w:left w:val="nil"/>
              <w:bottom w:val="nil"/>
              <w:right w:val="single" w:sz="4" w:space="0" w:color="000000"/>
            </w:tcBorders>
            <w:shd w:val="clear" w:color="000000" w:fill="FFFFFF"/>
            <w:hideMark/>
          </w:tcPr>
          <w:p w14:paraId="3CBD8D9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1.525.198.926,00</w:t>
            </w:r>
          </w:p>
        </w:tc>
        <w:tc>
          <w:tcPr>
            <w:tcW w:w="2217" w:type="dxa"/>
            <w:gridSpan w:val="5"/>
            <w:tcBorders>
              <w:top w:val="nil"/>
              <w:left w:val="nil"/>
              <w:bottom w:val="nil"/>
              <w:right w:val="single" w:sz="4" w:space="0" w:color="000000"/>
            </w:tcBorders>
            <w:shd w:val="clear" w:color="000000" w:fill="FFFFFF"/>
            <w:hideMark/>
          </w:tcPr>
          <w:p w14:paraId="4EEEEFE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2.199.602.687,88</w:t>
            </w:r>
          </w:p>
        </w:tc>
        <w:tc>
          <w:tcPr>
            <w:tcW w:w="2256" w:type="dxa"/>
            <w:gridSpan w:val="4"/>
            <w:tcBorders>
              <w:top w:val="nil"/>
              <w:left w:val="nil"/>
              <w:bottom w:val="nil"/>
              <w:right w:val="single" w:sz="4" w:space="0" w:color="000000"/>
            </w:tcBorders>
            <w:shd w:val="clear" w:color="000000" w:fill="FFFFFF"/>
            <w:hideMark/>
          </w:tcPr>
          <w:p w14:paraId="3F75E39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674.403.761,88</w:t>
            </w:r>
          </w:p>
        </w:tc>
      </w:tr>
      <w:tr w:rsidR="00103CC2" w:rsidRPr="00103CC2" w14:paraId="1CDE093B"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66E4E5C0"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Operações de Crédito</w:t>
            </w:r>
          </w:p>
        </w:tc>
        <w:tc>
          <w:tcPr>
            <w:tcW w:w="280" w:type="dxa"/>
            <w:tcBorders>
              <w:top w:val="nil"/>
              <w:left w:val="nil"/>
              <w:bottom w:val="nil"/>
              <w:right w:val="single" w:sz="4" w:space="0" w:color="000000"/>
            </w:tcBorders>
            <w:shd w:val="clear" w:color="000000" w:fill="FFFFFF"/>
            <w:hideMark/>
          </w:tcPr>
          <w:p w14:paraId="764EDA2D"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4A14F1F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658.414.407,00</w:t>
            </w:r>
          </w:p>
        </w:tc>
        <w:tc>
          <w:tcPr>
            <w:tcW w:w="2197" w:type="dxa"/>
            <w:gridSpan w:val="4"/>
            <w:tcBorders>
              <w:top w:val="nil"/>
              <w:left w:val="nil"/>
              <w:bottom w:val="nil"/>
              <w:right w:val="single" w:sz="4" w:space="0" w:color="000000"/>
            </w:tcBorders>
            <w:shd w:val="clear" w:color="000000" w:fill="FFFFFF"/>
            <w:hideMark/>
          </w:tcPr>
          <w:p w14:paraId="2093C09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658.414.407,00</w:t>
            </w:r>
          </w:p>
        </w:tc>
        <w:tc>
          <w:tcPr>
            <w:tcW w:w="2217" w:type="dxa"/>
            <w:gridSpan w:val="5"/>
            <w:tcBorders>
              <w:top w:val="nil"/>
              <w:left w:val="nil"/>
              <w:bottom w:val="nil"/>
              <w:right w:val="single" w:sz="4" w:space="0" w:color="000000"/>
            </w:tcBorders>
            <w:shd w:val="clear" w:color="000000" w:fill="FFFFFF"/>
            <w:hideMark/>
          </w:tcPr>
          <w:p w14:paraId="5F50203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1FF1DDF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-658.414.407,00</w:t>
            </w:r>
          </w:p>
        </w:tc>
      </w:tr>
      <w:tr w:rsidR="00103CC2" w:rsidRPr="00103CC2" w14:paraId="198209FA"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0D14D981"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Operações de Crédito Internas</w:t>
            </w:r>
          </w:p>
        </w:tc>
        <w:tc>
          <w:tcPr>
            <w:tcW w:w="280" w:type="dxa"/>
            <w:tcBorders>
              <w:top w:val="nil"/>
              <w:left w:val="nil"/>
              <w:bottom w:val="nil"/>
              <w:right w:val="single" w:sz="4" w:space="0" w:color="000000"/>
            </w:tcBorders>
            <w:shd w:val="clear" w:color="000000" w:fill="FFFFFF"/>
            <w:hideMark/>
          </w:tcPr>
          <w:p w14:paraId="73E8DEC3"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47B6C1D2"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658.414.407,00</w:t>
            </w:r>
          </w:p>
        </w:tc>
        <w:tc>
          <w:tcPr>
            <w:tcW w:w="2197" w:type="dxa"/>
            <w:gridSpan w:val="4"/>
            <w:tcBorders>
              <w:top w:val="nil"/>
              <w:left w:val="nil"/>
              <w:bottom w:val="nil"/>
              <w:right w:val="single" w:sz="4" w:space="0" w:color="000000"/>
            </w:tcBorders>
            <w:shd w:val="clear" w:color="000000" w:fill="FFFFFF"/>
            <w:hideMark/>
          </w:tcPr>
          <w:p w14:paraId="49366D2E"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658.414.407,00</w:t>
            </w:r>
          </w:p>
        </w:tc>
        <w:tc>
          <w:tcPr>
            <w:tcW w:w="2217" w:type="dxa"/>
            <w:gridSpan w:val="5"/>
            <w:tcBorders>
              <w:top w:val="nil"/>
              <w:left w:val="nil"/>
              <w:bottom w:val="nil"/>
              <w:right w:val="single" w:sz="4" w:space="0" w:color="000000"/>
            </w:tcBorders>
            <w:shd w:val="clear" w:color="000000" w:fill="FFFFFF"/>
            <w:hideMark/>
          </w:tcPr>
          <w:p w14:paraId="48075A0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5D1569A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-658.414.407,00</w:t>
            </w:r>
          </w:p>
        </w:tc>
      </w:tr>
      <w:tr w:rsidR="00103CC2" w:rsidRPr="00103CC2" w14:paraId="26D42837"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CC5700C"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Operações de Crédito Externas</w:t>
            </w:r>
          </w:p>
        </w:tc>
        <w:tc>
          <w:tcPr>
            <w:tcW w:w="280" w:type="dxa"/>
            <w:tcBorders>
              <w:top w:val="nil"/>
              <w:left w:val="nil"/>
              <w:bottom w:val="nil"/>
              <w:right w:val="single" w:sz="4" w:space="0" w:color="000000"/>
            </w:tcBorders>
            <w:shd w:val="clear" w:color="000000" w:fill="FFFFFF"/>
            <w:hideMark/>
          </w:tcPr>
          <w:p w14:paraId="2D6846FD"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14782E75"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619AEA1C"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0F14297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13866B6E"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7EDA4A23"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41783DF"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Alienação de Bens</w:t>
            </w:r>
          </w:p>
        </w:tc>
        <w:tc>
          <w:tcPr>
            <w:tcW w:w="280" w:type="dxa"/>
            <w:tcBorders>
              <w:top w:val="nil"/>
              <w:left w:val="nil"/>
              <w:bottom w:val="nil"/>
              <w:right w:val="single" w:sz="4" w:space="0" w:color="000000"/>
            </w:tcBorders>
            <w:shd w:val="clear" w:color="000000" w:fill="FFFFFF"/>
            <w:hideMark/>
          </w:tcPr>
          <w:p w14:paraId="052ADD34"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5874C98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3.692.990,00</w:t>
            </w:r>
          </w:p>
        </w:tc>
        <w:tc>
          <w:tcPr>
            <w:tcW w:w="2197" w:type="dxa"/>
            <w:gridSpan w:val="4"/>
            <w:tcBorders>
              <w:top w:val="nil"/>
              <w:left w:val="nil"/>
              <w:bottom w:val="nil"/>
              <w:right w:val="single" w:sz="4" w:space="0" w:color="000000"/>
            </w:tcBorders>
            <w:shd w:val="clear" w:color="000000" w:fill="FFFFFF"/>
            <w:hideMark/>
          </w:tcPr>
          <w:p w14:paraId="13648F1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3.692.990,00</w:t>
            </w:r>
          </w:p>
        </w:tc>
        <w:tc>
          <w:tcPr>
            <w:tcW w:w="2217" w:type="dxa"/>
            <w:gridSpan w:val="5"/>
            <w:tcBorders>
              <w:top w:val="nil"/>
              <w:left w:val="nil"/>
              <w:bottom w:val="nil"/>
              <w:right w:val="single" w:sz="4" w:space="0" w:color="000000"/>
            </w:tcBorders>
            <w:shd w:val="clear" w:color="000000" w:fill="FFFFFF"/>
            <w:hideMark/>
          </w:tcPr>
          <w:p w14:paraId="13D17A8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5.740.142,17</w:t>
            </w:r>
          </w:p>
        </w:tc>
        <w:tc>
          <w:tcPr>
            <w:tcW w:w="2256" w:type="dxa"/>
            <w:gridSpan w:val="4"/>
            <w:tcBorders>
              <w:top w:val="nil"/>
              <w:left w:val="nil"/>
              <w:bottom w:val="nil"/>
              <w:right w:val="single" w:sz="4" w:space="0" w:color="000000"/>
            </w:tcBorders>
            <w:shd w:val="clear" w:color="000000" w:fill="FFFFFF"/>
            <w:hideMark/>
          </w:tcPr>
          <w:p w14:paraId="6655A65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2.047.152,17</w:t>
            </w:r>
          </w:p>
        </w:tc>
      </w:tr>
      <w:tr w:rsidR="00103CC2" w:rsidRPr="00103CC2" w14:paraId="078D770C"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175B2351"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Alienação de Bens Móveis</w:t>
            </w:r>
          </w:p>
        </w:tc>
        <w:tc>
          <w:tcPr>
            <w:tcW w:w="280" w:type="dxa"/>
            <w:tcBorders>
              <w:top w:val="nil"/>
              <w:left w:val="nil"/>
              <w:bottom w:val="nil"/>
              <w:right w:val="single" w:sz="4" w:space="0" w:color="000000"/>
            </w:tcBorders>
            <w:shd w:val="clear" w:color="000000" w:fill="FFFFFF"/>
            <w:hideMark/>
          </w:tcPr>
          <w:p w14:paraId="1E66A4FB"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62D400C1"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7A2DE891"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4E3FF79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070936F1"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1FDAB8C1"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591CC360"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Alienação de Bens Imóveis</w:t>
            </w:r>
          </w:p>
        </w:tc>
        <w:tc>
          <w:tcPr>
            <w:tcW w:w="280" w:type="dxa"/>
            <w:tcBorders>
              <w:top w:val="nil"/>
              <w:left w:val="nil"/>
              <w:bottom w:val="nil"/>
              <w:right w:val="single" w:sz="4" w:space="0" w:color="000000"/>
            </w:tcBorders>
            <w:shd w:val="clear" w:color="000000" w:fill="FFFFFF"/>
            <w:hideMark/>
          </w:tcPr>
          <w:p w14:paraId="3F8026AC"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3258646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3.692.990,00</w:t>
            </w:r>
          </w:p>
        </w:tc>
        <w:tc>
          <w:tcPr>
            <w:tcW w:w="2197" w:type="dxa"/>
            <w:gridSpan w:val="4"/>
            <w:tcBorders>
              <w:top w:val="nil"/>
              <w:left w:val="nil"/>
              <w:bottom w:val="nil"/>
              <w:right w:val="single" w:sz="4" w:space="0" w:color="000000"/>
            </w:tcBorders>
            <w:shd w:val="clear" w:color="000000" w:fill="FFFFFF"/>
            <w:hideMark/>
          </w:tcPr>
          <w:p w14:paraId="0411C8E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3.692.990,00</w:t>
            </w:r>
          </w:p>
        </w:tc>
        <w:tc>
          <w:tcPr>
            <w:tcW w:w="2217" w:type="dxa"/>
            <w:gridSpan w:val="5"/>
            <w:tcBorders>
              <w:top w:val="nil"/>
              <w:left w:val="nil"/>
              <w:bottom w:val="nil"/>
              <w:right w:val="single" w:sz="4" w:space="0" w:color="000000"/>
            </w:tcBorders>
            <w:shd w:val="clear" w:color="000000" w:fill="FFFFFF"/>
            <w:hideMark/>
          </w:tcPr>
          <w:p w14:paraId="3954D97A"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5.740.142,17</w:t>
            </w:r>
          </w:p>
        </w:tc>
        <w:tc>
          <w:tcPr>
            <w:tcW w:w="2256" w:type="dxa"/>
            <w:gridSpan w:val="4"/>
            <w:tcBorders>
              <w:top w:val="nil"/>
              <w:left w:val="nil"/>
              <w:bottom w:val="nil"/>
              <w:right w:val="single" w:sz="4" w:space="0" w:color="000000"/>
            </w:tcBorders>
            <w:shd w:val="clear" w:color="000000" w:fill="FFFFFF"/>
            <w:hideMark/>
          </w:tcPr>
          <w:p w14:paraId="0727E07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2.047.152,17</w:t>
            </w:r>
          </w:p>
        </w:tc>
      </w:tr>
      <w:tr w:rsidR="00103CC2" w:rsidRPr="00103CC2" w14:paraId="3504D078"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4EE8C32"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Alienação de Bens Intangíveis</w:t>
            </w:r>
          </w:p>
        </w:tc>
        <w:tc>
          <w:tcPr>
            <w:tcW w:w="280" w:type="dxa"/>
            <w:tcBorders>
              <w:top w:val="nil"/>
              <w:left w:val="nil"/>
              <w:bottom w:val="nil"/>
              <w:right w:val="single" w:sz="4" w:space="0" w:color="000000"/>
            </w:tcBorders>
            <w:shd w:val="clear" w:color="000000" w:fill="FFFFFF"/>
            <w:hideMark/>
          </w:tcPr>
          <w:p w14:paraId="6E8529F6"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05A7AD5E"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0CB2B15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3E490C7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136F6F12"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1498E38A"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14BE57A6"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Amortização de Empréstimos</w:t>
            </w:r>
          </w:p>
        </w:tc>
        <w:tc>
          <w:tcPr>
            <w:tcW w:w="280" w:type="dxa"/>
            <w:tcBorders>
              <w:top w:val="nil"/>
              <w:left w:val="nil"/>
              <w:bottom w:val="nil"/>
              <w:right w:val="single" w:sz="4" w:space="0" w:color="000000"/>
            </w:tcBorders>
            <w:shd w:val="clear" w:color="000000" w:fill="FFFFFF"/>
            <w:hideMark/>
          </w:tcPr>
          <w:p w14:paraId="65353CCA"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466A082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862.876.245,00</w:t>
            </w:r>
          </w:p>
        </w:tc>
        <w:tc>
          <w:tcPr>
            <w:tcW w:w="2197" w:type="dxa"/>
            <w:gridSpan w:val="4"/>
            <w:tcBorders>
              <w:top w:val="nil"/>
              <w:left w:val="nil"/>
              <w:bottom w:val="nil"/>
              <w:right w:val="single" w:sz="4" w:space="0" w:color="000000"/>
            </w:tcBorders>
            <w:shd w:val="clear" w:color="000000" w:fill="FFFFFF"/>
            <w:hideMark/>
          </w:tcPr>
          <w:p w14:paraId="6CC7497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862.876.245,00</w:t>
            </w:r>
          </w:p>
        </w:tc>
        <w:tc>
          <w:tcPr>
            <w:tcW w:w="2217" w:type="dxa"/>
            <w:gridSpan w:val="5"/>
            <w:tcBorders>
              <w:top w:val="nil"/>
              <w:left w:val="nil"/>
              <w:bottom w:val="nil"/>
              <w:right w:val="single" w:sz="4" w:space="0" w:color="000000"/>
            </w:tcBorders>
            <w:shd w:val="clear" w:color="000000" w:fill="FFFFFF"/>
            <w:hideMark/>
          </w:tcPr>
          <w:p w14:paraId="3459FB6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2.193.672.799,71</w:t>
            </w:r>
          </w:p>
        </w:tc>
        <w:tc>
          <w:tcPr>
            <w:tcW w:w="2256" w:type="dxa"/>
            <w:gridSpan w:val="4"/>
            <w:tcBorders>
              <w:top w:val="nil"/>
              <w:left w:val="nil"/>
              <w:bottom w:val="nil"/>
              <w:right w:val="single" w:sz="4" w:space="0" w:color="000000"/>
            </w:tcBorders>
            <w:shd w:val="clear" w:color="000000" w:fill="FFFFFF"/>
            <w:hideMark/>
          </w:tcPr>
          <w:p w14:paraId="7B0F4A0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1.330.796.554,71</w:t>
            </w:r>
          </w:p>
        </w:tc>
      </w:tr>
      <w:tr w:rsidR="00103CC2" w:rsidRPr="00103CC2" w14:paraId="42C90029"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485DE0B3"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Transferências de Capital</w:t>
            </w:r>
          </w:p>
        </w:tc>
        <w:tc>
          <w:tcPr>
            <w:tcW w:w="280" w:type="dxa"/>
            <w:tcBorders>
              <w:top w:val="nil"/>
              <w:left w:val="nil"/>
              <w:bottom w:val="nil"/>
              <w:right w:val="single" w:sz="4" w:space="0" w:color="000000"/>
            </w:tcBorders>
            <w:shd w:val="clear" w:color="000000" w:fill="FFFFFF"/>
            <w:hideMark/>
          </w:tcPr>
          <w:p w14:paraId="54821C60"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1E87778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4E022C8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4473C5E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287C475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0BE37FA0"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41809E6"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Outras Receitas de Capital</w:t>
            </w:r>
          </w:p>
        </w:tc>
        <w:tc>
          <w:tcPr>
            <w:tcW w:w="280" w:type="dxa"/>
            <w:tcBorders>
              <w:top w:val="nil"/>
              <w:left w:val="nil"/>
              <w:bottom w:val="nil"/>
              <w:right w:val="single" w:sz="4" w:space="0" w:color="000000"/>
            </w:tcBorders>
            <w:shd w:val="clear" w:color="000000" w:fill="FFFFFF"/>
            <w:hideMark/>
          </w:tcPr>
          <w:p w14:paraId="194090B4"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5CFBFC3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215.284,00</w:t>
            </w:r>
          </w:p>
        </w:tc>
        <w:tc>
          <w:tcPr>
            <w:tcW w:w="2197" w:type="dxa"/>
            <w:gridSpan w:val="4"/>
            <w:tcBorders>
              <w:top w:val="nil"/>
              <w:left w:val="nil"/>
              <w:bottom w:val="nil"/>
              <w:right w:val="single" w:sz="4" w:space="0" w:color="000000"/>
            </w:tcBorders>
            <w:shd w:val="clear" w:color="000000" w:fill="FFFFFF"/>
            <w:hideMark/>
          </w:tcPr>
          <w:p w14:paraId="4A06C37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215.284,00</w:t>
            </w:r>
          </w:p>
        </w:tc>
        <w:tc>
          <w:tcPr>
            <w:tcW w:w="2217" w:type="dxa"/>
            <w:gridSpan w:val="5"/>
            <w:tcBorders>
              <w:top w:val="nil"/>
              <w:left w:val="nil"/>
              <w:bottom w:val="nil"/>
              <w:right w:val="single" w:sz="4" w:space="0" w:color="000000"/>
            </w:tcBorders>
            <w:shd w:val="clear" w:color="000000" w:fill="FFFFFF"/>
            <w:hideMark/>
          </w:tcPr>
          <w:p w14:paraId="0086442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189.746,00</w:t>
            </w:r>
          </w:p>
        </w:tc>
        <w:tc>
          <w:tcPr>
            <w:tcW w:w="2256" w:type="dxa"/>
            <w:gridSpan w:val="4"/>
            <w:tcBorders>
              <w:top w:val="nil"/>
              <w:left w:val="nil"/>
              <w:bottom w:val="nil"/>
              <w:right w:val="single" w:sz="4" w:space="0" w:color="000000"/>
            </w:tcBorders>
            <w:shd w:val="clear" w:color="000000" w:fill="FFFFFF"/>
            <w:hideMark/>
          </w:tcPr>
          <w:p w14:paraId="39F1CA1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-25.538,00</w:t>
            </w:r>
          </w:p>
        </w:tc>
      </w:tr>
      <w:tr w:rsidR="00103CC2" w:rsidRPr="00103CC2" w14:paraId="641EFEF9"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1A3C7D6"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Integralização do Capital Social</w:t>
            </w:r>
          </w:p>
        </w:tc>
        <w:tc>
          <w:tcPr>
            <w:tcW w:w="280" w:type="dxa"/>
            <w:tcBorders>
              <w:top w:val="nil"/>
              <w:left w:val="nil"/>
              <w:bottom w:val="nil"/>
              <w:right w:val="single" w:sz="4" w:space="0" w:color="000000"/>
            </w:tcBorders>
            <w:shd w:val="clear" w:color="000000" w:fill="FFFFFF"/>
            <w:hideMark/>
          </w:tcPr>
          <w:p w14:paraId="733624BF"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7F2CA294"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6E65F6E2"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58BD245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6B277777"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4D4034F0"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14288248"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Resultado do Banco Central do Brasil</w:t>
            </w:r>
          </w:p>
        </w:tc>
        <w:tc>
          <w:tcPr>
            <w:tcW w:w="280" w:type="dxa"/>
            <w:tcBorders>
              <w:top w:val="nil"/>
              <w:left w:val="nil"/>
              <w:bottom w:val="nil"/>
              <w:right w:val="single" w:sz="4" w:space="0" w:color="000000"/>
            </w:tcBorders>
            <w:shd w:val="clear" w:color="000000" w:fill="FFFFFF"/>
            <w:hideMark/>
          </w:tcPr>
          <w:p w14:paraId="711AC63E"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2B341A4E"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08E1FDD4"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60D3592C"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2710DECD"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47D4166E"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33BCC8E"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Remuneração das Disponibilidades do Tesouro Nacional</w:t>
            </w:r>
          </w:p>
        </w:tc>
        <w:tc>
          <w:tcPr>
            <w:tcW w:w="280" w:type="dxa"/>
            <w:tcBorders>
              <w:top w:val="nil"/>
              <w:left w:val="nil"/>
              <w:bottom w:val="nil"/>
              <w:right w:val="single" w:sz="4" w:space="0" w:color="000000"/>
            </w:tcBorders>
            <w:shd w:val="clear" w:color="000000" w:fill="FFFFFF"/>
            <w:hideMark/>
          </w:tcPr>
          <w:p w14:paraId="1823369C"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19F2BC0A"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10249C69"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6791144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43C3C11C"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7C4FF2B8"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E6D49D6"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Resgate de Títulos do Tesouro Nacional</w:t>
            </w:r>
          </w:p>
        </w:tc>
        <w:tc>
          <w:tcPr>
            <w:tcW w:w="280" w:type="dxa"/>
            <w:tcBorders>
              <w:top w:val="nil"/>
              <w:left w:val="nil"/>
              <w:bottom w:val="nil"/>
              <w:right w:val="single" w:sz="4" w:space="0" w:color="000000"/>
            </w:tcBorders>
            <w:shd w:val="clear" w:color="000000" w:fill="FFFFFF"/>
            <w:hideMark/>
          </w:tcPr>
          <w:p w14:paraId="31B66259"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3CE7AE6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215.284,00</w:t>
            </w:r>
          </w:p>
        </w:tc>
        <w:tc>
          <w:tcPr>
            <w:tcW w:w="2197" w:type="dxa"/>
            <w:gridSpan w:val="4"/>
            <w:tcBorders>
              <w:top w:val="nil"/>
              <w:left w:val="nil"/>
              <w:bottom w:val="nil"/>
              <w:right w:val="single" w:sz="4" w:space="0" w:color="000000"/>
            </w:tcBorders>
            <w:shd w:val="clear" w:color="000000" w:fill="FFFFFF"/>
            <w:hideMark/>
          </w:tcPr>
          <w:p w14:paraId="1F195BA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215.284,00</w:t>
            </w:r>
          </w:p>
        </w:tc>
        <w:tc>
          <w:tcPr>
            <w:tcW w:w="2217" w:type="dxa"/>
            <w:gridSpan w:val="5"/>
            <w:tcBorders>
              <w:top w:val="nil"/>
              <w:left w:val="nil"/>
              <w:bottom w:val="nil"/>
              <w:right w:val="single" w:sz="4" w:space="0" w:color="000000"/>
            </w:tcBorders>
            <w:shd w:val="clear" w:color="000000" w:fill="FFFFFF"/>
            <w:hideMark/>
          </w:tcPr>
          <w:p w14:paraId="2ADD4FFC"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189.746,00</w:t>
            </w:r>
          </w:p>
        </w:tc>
        <w:tc>
          <w:tcPr>
            <w:tcW w:w="2256" w:type="dxa"/>
            <w:gridSpan w:val="4"/>
            <w:tcBorders>
              <w:top w:val="nil"/>
              <w:left w:val="nil"/>
              <w:bottom w:val="nil"/>
              <w:right w:val="single" w:sz="4" w:space="0" w:color="000000"/>
            </w:tcBorders>
            <w:shd w:val="clear" w:color="000000" w:fill="FFFFFF"/>
            <w:hideMark/>
          </w:tcPr>
          <w:p w14:paraId="0752533D"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-25.538,00</w:t>
            </w:r>
          </w:p>
        </w:tc>
      </w:tr>
      <w:tr w:rsidR="00103CC2" w:rsidRPr="00103CC2" w14:paraId="523E39E9"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21F7974"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Demais Receitas de Capital</w:t>
            </w:r>
          </w:p>
        </w:tc>
        <w:tc>
          <w:tcPr>
            <w:tcW w:w="280" w:type="dxa"/>
            <w:tcBorders>
              <w:top w:val="nil"/>
              <w:left w:val="nil"/>
              <w:bottom w:val="nil"/>
              <w:right w:val="single" w:sz="4" w:space="0" w:color="000000"/>
            </w:tcBorders>
            <w:shd w:val="clear" w:color="000000" w:fill="FFFFFF"/>
            <w:hideMark/>
          </w:tcPr>
          <w:p w14:paraId="2C830D51"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3AA29C6A"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0B576CF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33FD27FD"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11F3D4FA"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0DD120BA" w14:textId="77777777" w:rsidTr="00103CC2">
        <w:trPr>
          <w:trHeight w:val="199"/>
        </w:trPr>
        <w:tc>
          <w:tcPr>
            <w:tcW w:w="4872" w:type="dxa"/>
            <w:gridSpan w:val="8"/>
            <w:tcBorders>
              <w:top w:val="single" w:sz="4" w:space="0" w:color="000000"/>
              <w:left w:val="single" w:sz="4" w:space="0" w:color="000000"/>
              <w:bottom w:val="single" w:sz="4" w:space="0" w:color="000000"/>
              <w:right w:val="single" w:sz="4" w:space="0" w:color="000000"/>
            </w:tcBorders>
            <w:shd w:val="clear" w:color="000000" w:fill="FFFFFF"/>
            <w:hideMark/>
          </w:tcPr>
          <w:p w14:paraId="3840773D"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SUBTOTAL DE RECEITAS</w:t>
            </w:r>
          </w:p>
        </w:tc>
        <w:tc>
          <w:tcPr>
            <w:tcW w:w="280" w:type="dxa"/>
            <w:tcBorders>
              <w:top w:val="single" w:sz="4" w:space="0" w:color="000000"/>
              <w:left w:val="nil"/>
              <w:bottom w:val="single" w:sz="4" w:space="0" w:color="000000"/>
              <w:right w:val="single" w:sz="4" w:space="0" w:color="000000"/>
            </w:tcBorders>
            <w:shd w:val="clear" w:color="000000" w:fill="FFFFFF"/>
            <w:hideMark/>
          </w:tcPr>
          <w:p w14:paraId="1C2B1F9A"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single" w:sz="4" w:space="0" w:color="000000"/>
              <w:left w:val="nil"/>
              <w:bottom w:val="single" w:sz="4" w:space="0" w:color="000000"/>
              <w:right w:val="single" w:sz="4" w:space="0" w:color="000000"/>
            </w:tcBorders>
            <w:shd w:val="clear" w:color="000000" w:fill="FFFFFF"/>
            <w:hideMark/>
          </w:tcPr>
          <w:p w14:paraId="3D68128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16.959.763.708,00</w:t>
            </w:r>
          </w:p>
        </w:tc>
        <w:tc>
          <w:tcPr>
            <w:tcW w:w="2197" w:type="dxa"/>
            <w:gridSpan w:val="4"/>
            <w:tcBorders>
              <w:top w:val="single" w:sz="4" w:space="0" w:color="000000"/>
              <w:left w:val="nil"/>
              <w:bottom w:val="single" w:sz="4" w:space="0" w:color="000000"/>
              <w:right w:val="single" w:sz="4" w:space="0" w:color="000000"/>
            </w:tcBorders>
            <w:shd w:val="clear" w:color="000000" w:fill="FFFFFF"/>
            <w:hideMark/>
          </w:tcPr>
          <w:p w14:paraId="5C9B14F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16.959.763.708,00</w:t>
            </w:r>
          </w:p>
        </w:tc>
        <w:tc>
          <w:tcPr>
            <w:tcW w:w="2217" w:type="dxa"/>
            <w:gridSpan w:val="5"/>
            <w:tcBorders>
              <w:top w:val="single" w:sz="4" w:space="0" w:color="000000"/>
              <w:left w:val="nil"/>
              <w:bottom w:val="single" w:sz="4" w:space="0" w:color="000000"/>
              <w:right w:val="single" w:sz="4" w:space="0" w:color="000000"/>
            </w:tcBorders>
            <w:shd w:val="clear" w:color="000000" w:fill="FFFFFF"/>
            <w:hideMark/>
          </w:tcPr>
          <w:p w14:paraId="447F23D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3.540.753.283,25</w:t>
            </w:r>
          </w:p>
        </w:tc>
        <w:tc>
          <w:tcPr>
            <w:tcW w:w="2256" w:type="dxa"/>
            <w:gridSpan w:val="4"/>
            <w:tcBorders>
              <w:top w:val="single" w:sz="4" w:space="0" w:color="000000"/>
              <w:left w:val="nil"/>
              <w:bottom w:val="single" w:sz="4" w:space="0" w:color="000000"/>
              <w:right w:val="single" w:sz="4" w:space="0" w:color="000000"/>
            </w:tcBorders>
            <w:shd w:val="clear" w:color="000000" w:fill="FFFFFF"/>
            <w:hideMark/>
          </w:tcPr>
          <w:p w14:paraId="5C8FA59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-13.419.010.424,75</w:t>
            </w:r>
          </w:p>
        </w:tc>
      </w:tr>
      <w:tr w:rsidR="00103CC2" w:rsidRPr="00103CC2" w14:paraId="0C34E73B" w14:textId="77777777" w:rsidTr="00103CC2">
        <w:trPr>
          <w:trHeight w:val="199"/>
        </w:trPr>
        <w:tc>
          <w:tcPr>
            <w:tcW w:w="4872" w:type="dxa"/>
            <w:gridSpan w:val="8"/>
            <w:tcBorders>
              <w:top w:val="single" w:sz="4" w:space="0" w:color="000000"/>
              <w:left w:val="single" w:sz="4" w:space="0" w:color="000000"/>
              <w:bottom w:val="nil"/>
              <w:right w:val="single" w:sz="4" w:space="0" w:color="000000"/>
            </w:tcBorders>
            <w:shd w:val="clear" w:color="000000" w:fill="FFFFFF"/>
            <w:hideMark/>
          </w:tcPr>
          <w:p w14:paraId="2AE124E3"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REFINANCIAMENTO</w:t>
            </w:r>
          </w:p>
        </w:tc>
        <w:tc>
          <w:tcPr>
            <w:tcW w:w="280" w:type="dxa"/>
            <w:tcBorders>
              <w:top w:val="nil"/>
              <w:left w:val="nil"/>
              <w:bottom w:val="nil"/>
              <w:right w:val="single" w:sz="4" w:space="0" w:color="000000"/>
            </w:tcBorders>
            <w:shd w:val="clear" w:color="000000" w:fill="FFFFFF"/>
            <w:hideMark/>
          </w:tcPr>
          <w:p w14:paraId="1A50DD7A"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single" w:sz="4" w:space="0" w:color="000000"/>
              <w:left w:val="nil"/>
              <w:bottom w:val="nil"/>
              <w:right w:val="single" w:sz="4" w:space="0" w:color="000000"/>
            </w:tcBorders>
            <w:shd w:val="clear" w:color="000000" w:fill="FFFFFF"/>
            <w:hideMark/>
          </w:tcPr>
          <w:p w14:paraId="2B4D4FF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97" w:type="dxa"/>
            <w:gridSpan w:val="4"/>
            <w:tcBorders>
              <w:top w:val="single" w:sz="4" w:space="0" w:color="000000"/>
              <w:left w:val="nil"/>
              <w:bottom w:val="nil"/>
              <w:right w:val="single" w:sz="4" w:space="0" w:color="000000"/>
            </w:tcBorders>
            <w:shd w:val="clear" w:color="000000" w:fill="FFFFFF"/>
            <w:hideMark/>
          </w:tcPr>
          <w:p w14:paraId="5001648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17" w:type="dxa"/>
            <w:gridSpan w:val="5"/>
            <w:tcBorders>
              <w:top w:val="single" w:sz="4" w:space="0" w:color="000000"/>
              <w:left w:val="nil"/>
              <w:bottom w:val="nil"/>
              <w:right w:val="single" w:sz="4" w:space="0" w:color="000000"/>
            </w:tcBorders>
            <w:shd w:val="clear" w:color="000000" w:fill="FFFFFF"/>
            <w:hideMark/>
          </w:tcPr>
          <w:p w14:paraId="6079CEC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single" w:sz="4" w:space="0" w:color="000000"/>
              <w:left w:val="nil"/>
              <w:bottom w:val="nil"/>
              <w:right w:val="single" w:sz="4" w:space="0" w:color="000000"/>
            </w:tcBorders>
            <w:shd w:val="clear" w:color="000000" w:fill="FFFFFF"/>
            <w:hideMark/>
          </w:tcPr>
          <w:p w14:paraId="3BFDA1C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55FAF941"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649766EC"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Operações de Crédito Internas</w:t>
            </w:r>
          </w:p>
        </w:tc>
        <w:tc>
          <w:tcPr>
            <w:tcW w:w="280" w:type="dxa"/>
            <w:tcBorders>
              <w:top w:val="nil"/>
              <w:left w:val="nil"/>
              <w:bottom w:val="nil"/>
              <w:right w:val="single" w:sz="4" w:space="0" w:color="000000"/>
            </w:tcBorders>
            <w:shd w:val="clear" w:color="000000" w:fill="FFFFFF"/>
            <w:hideMark/>
          </w:tcPr>
          <w:p w14:paraId="1F54572F"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01A16BB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28ACE89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0C640F2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75A4FFE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2FA9CBC9"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1839263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Mobiliária</w:t>
            </w:r>
          </w:p>
        </w:tc>
        <w:tc>
          <w:tcPr>
            <w:tcW w:w="280" w:type="dxa"/>
            <w:tcBorders>
              <w:top w:val="nil"/>
              <w:left w:val="nil"/>
              <w:bottom w:val="nil"/>
              <w:right w:val="single" w:sz="4" w:space="0" w:color="000000"/>
            </w:tcBorders>
            <w:shd w:val="clear" w:color="000000" w:fill="FFFFFF"/>
            <w:hideMark/>
          </w:tcPr>
          <w:p w14:paraId="637C6353"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35FB425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032CDF9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6B8B8C5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6393943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799A7629"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1FFBB4A4"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Contratual</w:t>
            </w:r>
          </w:p>
        </w:tc>
        <w:tc>
          <w:tcPr>
            <w:tcW w:w="280" w:type="dxa"/>
            <w:tcBorders>
              <w:top w:val="nil"/>
              <w:left w:val="nil"/>
              <w:bottom w:val="nil"/>
              <w:right w:val="single" w:sz="4" w:space="0" w:color="000000"/>
            </w:tcBorders>
            <w:shd w:val="clear" w:color="000000" w:fill="FFFFFF"/>
            <w:hideMark/>
          </w:tcPr>
          <w:p w14:paraId="164DAA28"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3C858B4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6A3E3A2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704AC07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7EC57EB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12814130"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5B3FAB5"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Operações de Crédito Externas</w:t>
            </w:r>
          </w:p>
        </w:tc>
        <w:tc>
          <w:tcPr>
            <w:tcW w:w="280" w:type="dxa"/>
            <w:tcBorders>
              <w:top w:val="nil"/>
              <w:left w:val="nil"/>
              <w:bottom w:val="nil"/>
              <w:right w:val="single" w:sz="4" w:space="0" w:color="000000"/>
            </w:tcBorders>
            <w:shd w:val="clear" w:color="000000" w:fill="FFFFFF"/>
            <w:hideMark/>
          </w:tcPr>
          <w:p w14:paraId="54A5B650"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744FFC9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3B9B264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4A17FC0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152DA0D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00D07BA8"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03AE8E6E"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Mobiliária</w:t>
            </w:r>
          </w:p>
        </w:tc>
        <w:tc>
          <w:tcPr>
            <w:tcW w:w="280" w:type="dxa"/>
            <w:tcBorders>
              <w:top w:val="nil"/>
              <w:left w:val="nil"/>
              <w:bottom w:val="nil"/>
              <w:right w:val="single" w:sz="4" w:space="0" w:color="000000"/>
            </w:tcBorders>
            <w:shd w:val="clear" w:color="000000" w:fill="FFFFFF"/>
            <w:hideMark/>
          </w:tcPr>
          <w:p w14:paraId="5A9ACA15"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7F47635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70BAE70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4D3E036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5F1697F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145CEC5C"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592493DA"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Contratual</w:t>
            </w:r>
          </w:p>
        </w:tc>
        <w:tc>
          <w:tcPr>
            <w:tcW w:w="280" w:type="dxa"/>
            <w:tcBorders>
              <w:top w:val="nil"/>
              <w:left w:val="nil"/>
              <w:bottom w:val="nil"/>
              <w:right w:val="single" w:sz="4" w:space="0" w:color="000000"/>
            </w:tcBorders>
            <w:shd w:val="clear" w:color="000000" w:fill="FFFFFF"/>
            <w:hideMark/>
          </w:tcPr>
          <w:p w14:paraId="6B48F865"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696E3D1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4529911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17" w:type="dxa"/>
            <w:gridSpan w:val="5"/>
            <w:tcBorders>
              <w:top w:val="nil"/>
              <w:left w:val="nil"/>
              <w:bottom w:val="nil"/>
              <w:right w:val="single" w:sz="4" w:space="0" w:color="000000"/>
            </w:tcBorders>
            <w:shd w:val="clear" w:color="000000" w:fill="FFFFFF"/>
            <w:hideMark/>
          </w:tcPr>
          <w:p w14:paraId="66B0DA8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56" w:type="dxa"/>
            <w:gridSpan w:val="4"/>
            <w:tcBorders>
              <w:top w:val="nil"/>
              <w:left w:val="nil"/>
              <w:bottom w:val="nil"/>
              <w:right w:val="single" w:sz="4" w:space="0" w:color="000000"/>
            </w:tcBorders>
            <w:shd w:val="clear" w:color="000000" w:fill="FFFFFF"/>
            <w:hideMark/>
          </w:tcPr>
          <w:p w14:paraId="29BB5FF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3D6D7BA6" w14:textId="77777777" w:rsidTr="00103CC2">
        <w:trPr>
          <w:trHeight w:val="199"/>
        </w:trPr>
        <w:tc>
          <w:tcPr>
            <w:tcW w:w="4872" w:type="dxa"/>
            <w:gridSpan w:val="8"/>
            <w:tcBorders>
              <w:top w:val="single" w:sz="4" w:space="0" w:color="000000"/>
              <w:left w:val="single" w:sz="4" w:space="0" w:color="000000"/>
              <w:bottom w:val="single" w:sz="4" w:space="0" w:color="000000"/>
              <w:right w:val="single" w:sz="4" w:space="0" w:color="000000"/>
            </w:tcBorders>
            <w:shd w:val="clear" w:color="000000" w:fill="FFFFFF"/>
            <w:hideMark/>
          </w:tcPr>
          <w:p w14:paraId="4BE43B4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SUBTOTAL COM REFINANCIAMENTO</w:t>
            </w:r>
          </w:p>
        </w:tc>
        <w:tc>
          <w:tcPr>
            <w:tcW w:w="280" w:type="dxa"/>
            <w:tcBorders>
              <w:top w:val="single" w:sz="4" w:space="0" w:color="000000"/>
              <w:left w:val="nil"/>
              <w:bottom w:val="single" w:sz="4" w:space="0" w:color="000000"/>
              <w:right w:val="single" w:sz="4" w:space="0" w:color="000000"/>
            </w:tcBorders>
            <w:shd w:val="clear" w:color="000000" w:fill="FFFFFF"/>
            <w:hideMark/>
          </w:tcPr>
          <w:p w14:paraId="0DC39D17"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single" w:sz="4" w:space="0" w:color="000000"/>
              <w:left w:val="nil"/>
              <w:bottom w:val="single" w:sz="4" w:space="0" w:color="000000"/>
              <w:right w:val="single" w:sz="4" w:space="0" w:color="000000"/>
            </w:tcBorders>
            <w:shd w:val="clear" w:color="000000" w:fill="FFFFFF"/>
            <w:hideMark/>
          </w:tcPr>
          <w:p w14:paraId="246E43F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16.959.763.708,00</w:t>
            </w:r>
          </w:p>
        </w:tc>
        <w:tc>
          <w:tcPr>
            <w:tcW w:w="2197" w:type="dxa"/>
            <w:gridSpan w:val="4"/>
            <w:tcBorders>
              <w:top w:val="single" w:sz="4" w:space="0" w:color="000000"/>
              <w:left w:val="nil"/>
              <w:bottom w:val="single" w:sz="4" w:space="0" w:color="000000"/>
              <w:right w:val="single" w:sz="4" w:space="0" w:color="000000"/>
            </w:tcBorders>
            <w:shd w:val="clear" w:color="000000" w:fill="FFFFFF"/>
            <w:hideMark/>
          </w:tcPr>
          <w:p w14:paraId="35320E9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16.959.763.708,00</w:t>
            </w:r>
          </w:p>
        </w:tc>
        <w:tc>
          <w:tcPr>
            <w:tcW w:w="2217" w:type="dxa"/>
            <w:gridSpan w:val="5"/>
            <w:tcBorders>
              <w:top w:val="single" w:sz="4" w:space="0" w:color="000000"/>
              <w:left w:val="nil"/>
              <w:bottom w:val="single" w:sz="4" w:space="0" w:color="000000"/>
              <w:right w:val="single" w:sz="4" w:space="0" w:color="000000"/>
            </w:tcBorders>
            <w:shd w:val="clear" w:color="000000" w:fill="FFFFFF"/>
            <w:hideMark/>
          </w:tcPr>
          <w:p w14:paraId="5C66384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3.540.753.283,25</w:t>
            </w:r>
          </w:p>
        </w:tc>
        <w:tc>
          <w:tcPr>
            <w:tcW w:w="2256" w:type="dxa"/>
            <w:gridSpan w:val="4"/>
            <w:tcBorders>
              <w:top w:val="single" w:sz="4" w:space="0" w:color="000000"/>
              <w:left w:val="nil"/>
              <w:bottom w:val="single" w:sz="4" w:space="0" w:color="000000"/>
              <w:right w:val="single" w:sz="4" w:space="0" w:color="000000"/>
            </w:tcBorders>
            <w:shd w:val="clear" w:color="000000" w:fill="FFFFFF"/>
            <w:hideMark/>
          </w:tcPr>
          <w:p w14:paraId="5889E6F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-13.419.010.424,75</w:t>
            </w:r>
          </w:p>
        </w:tc>
      </w:tr>
      <w:tr w:rsidR="00103CC2" w:rsidRPr="00103CC2" w14:paraId="48202AAE"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C2D6FD0"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DEFICIT</w:t>
            </w:r>
          </w:p>
        </w:tc>
        <w:tc>
          <w:tcPr>
            <w:tcW w:w="280" w:type="dxa"/>
            <w:tcBorders>
              <w:top w:val="nil"/>
              <w:left w:val="nil"/>
              <w:bottom w:val="nil"/>
              <w:right w:val="single" w:sz="4" w:space="0" w:color="000000"/>
            </w:tcBorders>
            <w:shd w:val="clear" w:color="000000" w:fill="FFFFFF"/>
            <w:hideMark/>
          </w:tcPr>
          <w:p w14:paraId="6627569A"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0E323C32"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197" w:type="dxa"/>
            <w:gridSpan w:val="4"/>
            <w:tcBorders>
              <w:top w:val="nil"/>
              <w:left w:val="nil"/>
              <w:bottom w:val="nil"/>
              <w:right w:val="single" w:sz="4" w:space="0" w:color="000000"/>
            </w:tcBorders>
            <w:shd w:val="clear" w:color="000000" w:fill="FFFFFF"/>
            <w:hideMark/>
          </w:tcPr>
          <w:p w14:paraId="383C135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2217" w:type="dxa"/>
            <w:gridSpan w:val="5"/>
            <w:tcBorders>
              <w:top w:val="nil"/>
              <w:left w:val="nil"/>
              <w:bottom w:val="nil"/>
              <w:right w:val="single" w:sz="4" w:space="0" w:color="000000"/>
            </w:tcBorders>
            <w:shd w:val="clear" w:color="000000" w:fill="FFFFFF"/>
            <w:hideMark/>
          </w:tcPr>
          <w:p w14:paraId="73BFE8B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29.542.300.016,15</w:t>
            </w:r>
          </w:p>
        </w:tc>
        <w:tc>
          <w:tcPr>
            <w:tcW w:w="2256" w:type="dxa"/>
            <w:gridSpan w:val="4"/>
            <w:tcBorders>
              <w:top w:val="nil"/>
              <w:left w:val="nil"/>
              <w:bottom w:val="nil"/>
              <w:right w:val="single" w:sz="4" w:space="0" w:color="000000"/>
            </w:tcBorders>
            <w:shd w:val="clear" w:color="000000" w:fill="FFFFFF"/>
            <w:hideMark/>
          </w:tcPr>
          <w:p w14:paraId="2450BAE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29.542.300.016,15</w:t>
            </w:r>
          </w:p>
        </w:tc>
      </w:tr>
      <w:tr w:rsidR="00103CC2" w:rsidRPr="00103CC2" w14:paraId="679B7FCE" w14:textId="77777777" w:rsidTr="00103CC2">
        <w:trPr>
          <w:trHeight w:val="199"/>
        </w:trPr>
        <w:tc>
          <w:tcPr>
            <w:tcW w:w="4872" w:type="dxa"/>
            <w:gridSpan w:val="8"/>
            <w:tcBorders>
              <w:top w:val="single" w:sz="4" w:space="0" w:color="000000"/>
              <w:left w:val="single" w:sz="4" w:space="0" w:color="000000"/>
              <w:bottom w:val="single" w:sz="4" w:space="0" w:color="000000"/>
              <w:right w:val="single" w:sz="4" w:space="0" w:color="000000"/>
            </w:tcBorders>
            <w:shd w:val="clear" w:color="000000" w:fill="FFFFFF"/>
            <w:hideMark/>
          </w:tcPr>
          <w:p w14:paraId="15123679"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TOTAL</w:t>
            </w:r>
          </w:p>
        </w:tc>
        <w:tc>
          <w:tcPr>
            <w:tcW w:w="280" w:type="dxa"/>
            <w:tcBorders>
              <w:top w:val="single" w:sz="4" w:space="0" w:color="000000"/>
              <w:left w:val="nil"/>
              <w:bottom w:val="single" w:sz="4" w:space="0" w:color="000000"/>
              <w:right w:val="single" w:sz="4" w:space="0" w:color="000000"/>
            </w:tcBorders>
            <w:shd w:val="clear" w:color="000000" w:fill="FFFFFF"/>
            <w:hideMark/>
          </w:tcPr>
          <w:p w14:paraId="76C06A97"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single" w:sz="4" w:space="0" w:color="000000"/>
              <w:left w:val="nil"/>
              <w:bottom w:val="single" w:sz="4" w:space="0" w:color="000000"/>
              <w:right w:val="single" w:sz="4" w:space="0" w:color="000000"/>
            </w:tcBorders>
            <w:shd w:val="clear" w:color="000000" w:fill="FFFFFF"/>
            <w:hideMark/>
          </w:tcPr>
          <w:p w14:paraId="4EC60A4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16.959.763.708,00</w:t>
            </w:r>
          </w:p>
        </w:tc>
        <w:tc>
          <w:tcPr>
            <w:tcW w:w="2197" w:type="dxa"/>
            <w:gridSpan w:val="4"/>
            <w:tcBorders>
              <w:top w:val="single" w:sz="4" w:space="0" w:color="000000"/>
              <w:left w:val="nil"/>
              <w:bottom w:val="single" w:sz="4" w:space="0" w:color="000000"/>
              <w:right w:val="single" w:sz="4" w:space="0" w:color="000000"/>
            </w:tcBorders>
            <w:shd w:val="clear" w:color="000000" w:fill="FFFFFF"/>
            <w:hideMark/>
          </w:tcPr>
          <w:p w14:paraId="1E8452E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16.959.763.708,00</w:t>
            </w:r>
          </w:p>
        </w:tc>
        <w:tc>
          <w:tcPr>
            <w:tcW w:w="2217" w:type="dxa"/>
            <w:gridSpan w:val="5"/>
            <w:tcBorders>
              <w:top w:val="single" w:sz="4" w:space="0" w:color="000000"/>
              <w:left w:val="nil"/>
              <w:bottom w:val="single" w:sz="4" w:space="0" w:color="000000"/>
              <w:right w:val="single" w:sz="4" w:space="0" w:color="000000"/>
            </w:tcBorders>
            <w:shd w:val="clear" w:color="000000" w:fill="FFFFFF"/>
            <w:hideMark/>
          </w:tcPr>
          <w:p w14:paraId="556E3CD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33.083.053.299,40</w:t>
            </w:r>
          </w:p>
        </w:tc>
        <w:tc>
          <w:tcPr>
            <w:tcW w:w="2256" w:type="dxa"/>
            <w:gridSpan w:val="4"/>
            <w:tcBorders>
              <w:top w:val="single" w:sz="4" w:space="0" w:color="000000"/>
              <w:left w:val="nil"/>
              <w:bottom w:val="single" w:sz="4" w:space="0" w:color="000000"/>
              <w:right w:val="single" w:sz="4" w:space="0" w:color="000000"/>
            </w:tcBorders>
            <w:shd w:val="clear" w:color="000000" w:fill="FFFFFF"/>
            <w:hideMark/>
          </w:tcPr>
          <w:p w14:paraId="0120EFC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16.123.289.591,40</w:t>
            </w:r>
          </w:p>
        </w:tc>
      </w:tr>
      <w:tr w:rsidR="00103CC2" w:rsidRPr="00103CC2" w14:paraId="41982A30"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5382EBDC"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CRÉDITOS ADICIONAIS ABERTOS COM SUPERAVIT FINANCEIRO</w:t>
            </w:r>
          </w:p>
        </w:tc>
        <w:tc>
          <w:tcPr>
            <w:tcW w:w="280" w:type="dxa"/>
            <w:tcBorders>
              <w:top w:val="nil"/>
              <w:left w:val="nil"/>
              <w:bottom w:val="nil"/>
              <w:right w:val="single" w:sz="4" w:space="0" w:color="000000"/>
            </w:tcBorders>
            <w:shd w:val="clear" w:color="000000" w:fill="FFFFFF"/>
            <w:hideMark/>
          </w:tcPr>
          <w:p w14:paraId="609F3D0C"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57F5E54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0F6AA30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1.973.036.663,00</w:t>
            </w:r>
          </w:p>
        </w:tc>
        <w:tc>
          <w:tcPr>
            <w:tcW w:w="2217" w:type="dxa"/>
            <w:gridSpan w:val="5"/>
            <w:tcBorders>
              <w:top w:val="nil"/>
              <w:left w:val="nil"/>
              <w:bottom w:val="nil"/>
              <w:right w:val="single" w:sz="4" w:space="0" w:color="000000"/>
            </w:tcBorders>
            <w:shd w:val="clear" w:color="000000" w:fill="FFFFFF"/>
            <w:hideMark/>
          </w:tcPr>
          <w:p w14:paraId="08FDE8A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1.973.036.663,00</w:t>
            </w:r>
          </w:p>
        </w:tc>
        <w:tc>
          <w:tcPr>
            <w:tcW w:w="2256" w:type="dxa"/>
            <w:gridSpan w:val="4"/>
            <w:tcBorders>
              <w:top w:val="nil"/>
              <w:left w:val="nil"/>
              <w:bottom w:val="nil"/>
              <w:right w:val="single" w:sz="4" w:space="0" w:color="000000"/>
            </w:tcBorders>
            <w:shd w:val="clear" w:color="000000" w:fill="FFFFFF"/>
            <w:hideMark/>
          </w:tcPr>
          <w:p w14:paraId="0FD38B6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7E3AB32F"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059754A0"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CRÉDITOS ADICIONAIS ABERTOS COM EXCESSO DE ARRECAD</w:t>
            </w:r>
            <w:r w:rsidRPr="00103CC2">
              <w:rPr>
                <w:rFonts w:ascii="Arial" w:eastAsia="Times New Roman" w:hAnsi="Arial" w:cs="Arial"/>
                <w:b/>
                <w:bCs/>
                <w:color w:val="000000"/>
                <w:kern w:val="0"/>
                <w:sz w:val="14"/>
                <w:szCs w:val="14"/>
                <w:lang w:eastAsia="pt-BR" w:bidi="ar-SA"/>
              </w:rPr>
              <w:t>A</w:t>
            </w:r>
            <w:r w:rsidRPr="00103CC2">
              <w:rPr>
                <w:rFonts w:ascii="Arial" w:eastAsia="Times New Roman" w:hAnsi="Arial" w:cs="Arial"/>
                <w:b/>
                <w:bCs/>
                <w:color w:val="000000"/>
                <w:kern w:val="0"/>
                <w:sz w:val="14"/>
                <w:szCs w:val="14"/>
                <w:lang w:eastAsia="pt-BR" w:bidi="ar-SA"/>
              </w:rPr>
              <w:t>ÇÃO</w:t>
            </w:r>
          </w:p>
        </w:tc>
        <w:tc>
          <w:tcPr>
            <w:tcW w:w="280" w:type="dxa"/>
            <w:tcBorders>
              <w:top w:val="nil"/>
              <w:left w:val="nil"/>
              <w:bottom w:val="nil"/>
              <w:right w:val="single" w:sz="4" w:space="0" w:color="000000"/>
            </w:tcBorders>
            <w:shd w:val="clear" w:color="000000" w:fill="FFFFFF"/>
            <w:hideMark/>
          </w:tcPr>
          <w:p w14:paraId="199621C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218" w:type="dxa"/>
            <w:gridSpan w:val="5"/>
            <w:tcBorders>
              <w:top w:val="nil"/>
              <w:left w:val="nil"/>
              <w:bottom w:val="nil"/>
              <w:right w:val="single" w:sz="4" w:space="0" w:color="000000"/>
            </w:tcBorders>
            <w:shd w:val="clear" w:color="000000" w:fill="FFFFFF"/>
            <w:hideMark/>
          </w:tcPr>
          <w:p w14:paraId="2F9B2DE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97" w:type="dxa"/>
            <w:gridSpan w:val="4"/>
            <w:tcBorders>
              <w:top w:val="nil"/>
              <w:left w:val="nil"/>
              <w:bottom w:val="nil"/>
              <w:right w:val="single" w:sz="4" w:space="0" w:color="000000"/>
            </w:tcBorders>
            <w:shd w:val="clear" w:color="000000" w:fill="FFFFFF"/>
            <w:hideMark/>
          </w:tcPr>
          <w:p w14:paraId="6F3CE9D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376.070.213,00</w:t>
            </w:r>
          </w:p>
        </w:tc>
        <w:tc>
          <w:tcPr>
            <w:tcW w:w="2217" w:type="dxa"/>
            <w:gridSpan w:val="5"/>
            <w:tcBorders>
              <w:top w:val="nil"/>
              <w:left w:val="nil"/>
              <w:bottom w:val="nil"/>
              <w:right w:val="single" w:sz="4" w:space="0" w:color="000000"/>
            </w:tcBorders>
            <w:shd w:val="clear" w:color="000000" w:fill="FFFFFF"/>
            <w:hideMark/>
          </w:tcPr>
          <w:p w14:paraId="0EE468D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376.070.213,00</w:t>
            </w:r>
          </w:p>
        </w:tc>
        <w:tc>
          <w:tcPr>
            <w:tcW w:w="2256" w:type="dxa"/>
            <w:gridSpan w:val="4"/>
            <w:tcBorders>
              <w:top w:val="nil"/>
              <w:left w:val="nil"/>
              <w:bottom w:val="nil"/>
              <w:right w:val="single" w:sz="4" w:space="0" w:color="000000"/>
            </w:tcBorders>
            <w:shd w:val="clear" w:color="000000" w:fill="FFFFFF"/>
            <w:hideMark/>
          </w:tcPr>
          <w:p w14:paraId="6B9640A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68F18E8A" w14:textId="77777777" w:rsidTr="00103CC2">
        <w:trPr>
          <w:trHeight w:val="19"/>
        </w:trPr>
        <w:tc>
          <w:tcPr>
            <w:tcW w:w="14040" w:type="dxa"/>
            <w:gridSpan w:val="27"/>
            <w:tcBorders>
              <w:top w:val="single" w:sz="4" w:space="0" w:color="000000"/>
              <w:left w:val="nil"/>
              <w:bottom w:val="nil"/>
              <w:right w:val="nil"/>
            </w:tcBorders>
            <w:shd w:val="clear" w:color="000000" w:fill="FFFFFF"/>
            <w:hideMark/>
          </w:tcPr>
          <w:p w14:paraId="2CF9099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4DD9C81C" w14:textId="77777777" w:rsidTr="00103CC2">
        <w:trPr>
          <w:trHeight w:val="199"/>
        </w:trPr>
        <w:tc>
          <w:tcPr>
            <w:tcW w:w="619" w:type="dxa"/>
            <w:tcBorders>
              <w:top w:val="nil"/>
              <w:left w:val="nil"/>
              <w:bottom w:val="nil"/>
              <w:right w:val="nil"/>
            </w:tcBorders>
            <w:shd w:val="clear" w:color="000000" w:fill="FFFFFF"/>
            <w:hideMark/>
          </w:tcPr>
          <w:p w14:paraId="15F6362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0" w:type="dxa"/>
            <w:tcBorders>
              <w:top w:val="nil"/>
              <w:left w:val="nil"/>
              <w:bottom w:val="nil"/>
              <w:right w:val="nil"/>
            </w:tcBorders>
            <w:shd w:val="clear" w:color="000000" w:fill="FFFFFF"/>
            <w:hideMark/>
          </w:tcPr>
          <w:p w14:paraId="2189215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24D1851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14EA8AF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77" w:type="dxa"/>
            <w:tcBorders>
              <w:top w:val="nil"/>
              <w:left w:val="nil"/>
              <w:bottom w:val="nil"/>
              <w:right w:val="nil"/>
            </w:tcBorders>
            <w:shd w:val="clear" w:color="000000" w:fill="FFFFFF"/>
            <w:hideMark/>
          </w:tcPr>
          <w:p w14:paraId="04E1B22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617CFB4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777" w:type="dxa"/>
            <w:tcBorders>
              <w:top w:val="nil"/>
              <w:left w:val="nil"/>
              <w:bottom w:val="nil"/>
              <w:right w:val="nil"/>
            </w:tcBorders>
            <w:shd w:val="clear" w:color="000000" w:fill="FFFFFF"/>
            <w:hideMark/>
          </w:tcPr>
          <w:p w14:paraId="12C1B77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2CA7A7F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36E4A6B9"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00" w:type="dxa"/>
            <w:tcBorders>
              <w:top w:val="nil"/>
              <w:left w:val="nil"/>
              <w:bottom w:val="nil"/>
              <w:right w:val="nil"/>
            </w:tcBorders>
            <w:shd w:val="clear" w:color="000000" w:fill="FFFFFF"/>
            <w:hideMark/>
          </w:tcPr>
          <w:p w14:paraId="7CDCCCD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0" w:type="dxa"/>
            <w:tcBorders>
              <w:top w:val="nil"/>
              <w:left w:val="nil"/>
              <w:bottom w:val="nil"/>
              <w:right w:val="nil"/>
            </w:tcBorders>
            <w:shd w:val="clear" w:color="000000" w:fill="FFFFFF"/>
            <w:hideMark/>
          </w:tcPr>
          <w:p w14:paraId="3DAA3DF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79" w:type="dxa"/>
            <w:tcBorders>
              <w:top w:val="nil"/>
              <w:left w:val="nil"/>
              <w:bottom w:val="nil"/>
              <w:right w:val="nil"/>
            </w:tcBorders>
            <w:shd w:val="clear" w:color="000000" w:fill="FFFFFF"/>
            <w:hideMark/>
          </w:tcPr>
          <w:p w14:paraId="47176CD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68B66A1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79" w:type="dxa"/>
            <w:tcBorders>
              <w:top w:val="nil"/>
              <w:left w:val="nil"/>
              <w:bottom w:val="nil"/>
              <w:right w:val="nil"/>
            </w:tcBorders>
            <w:shd w:val="clear" w:color="000000" w:fill="FFFFFF"/>
            <w:hideMark/>
          </w:tcPr>
          <w:p w14:paraId="3910B7D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0" w:type="dxa"/>
            <w:tcBorders>
              <w:top w:val="nil"/>
              <w:left w:val="nil"/>
              <w:bottom w:val="nil"/>
              <w:right w:val="nil"/>
            </w:tcBorders>
            <w:shd w:val="clear" w:color="000000" w:fill="FFFFFF"/>
            <w:hideMark/>
          </w:tcPr>
          <w:p w14:paraId="516A8C6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7F9818B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80" w:type="dxa"/>
            <w:tcBorders>
              <w:top w:val="nil"/>
              <w:left w:val="nil"/>
              <w:bottom w:val="nil"/>
              <w:right w:val="nil"/>
            </w:tcBorders>
            <w:shd w:val="clear" w:color="000000" w:fill="FFFFFF"/>
            <w:hideMark/>
          </w:tcPr>
          <w:p w14:paraId="08F8F62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978" w:type="dxa"/>
            <w:tcBorders>
              <w:top w:val="nil"/>
              <w:left w:val="nil"/>
              <w:bottom w:val="nil"/>
              <w:right w:val="nil"/>
            </w:tcBorders>
            <w:shd w:val="clear" w:color="000000" w:fill="FFFFFF"/>
            <w:hideMark/>
          </w:tcPr>
          <w:p w14:paraId="52080FB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1A4F6EEB"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0" w:type="dxa"/>
            <w:tcBorders>
              <w:top w:val="nil"/>
              <w:left w:val="nil"/>
              <w:bottom w:val="nil"/>
              <w:right w:val="nil"/>
            </w:tcBorders>
            <w:shd w:val="clear" w:color="000000" w:fill="FFFFFF"/>
            <w:hideMark/>
          </w:tcPr>
          <w:p w14:paraId="745EF0E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719" w:type="dxa"/>
            <w:tcBorders>
              <w:top w:val="nil"/>
              <w:left w:val="nil"/>
              <w:bottom w:val="nil"/>
              <w:right w:val="nil"/>
            </w:tcBorders>
            <w:shd w:val="clear" w:color="000000" w:fill="FFFFFF"/>
            <w:hideMark/>
          </w:tcPr>
          <w:p w14:paraId="794BDAD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79" w:type="dxa"/>
            <w:tcBorders>
              <w:top w:val="nil"/>
              <w:left w:val="nil"/>
              <w:bottom w:val="nil"/>
              <w:right w:val="nil"/>
            </w:tcBorders>
            <w:shd w:val="clear" w:color="000000" w:fill="FFFFFF"/>
            <w:hideMark/>
          </w:tcPr>
          <w:p w14:paraId="6E16D0D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99" w:type="dxa"/>
            <w:tcBorders>
              <w:top w:val="nil"/>
              <w:left w:val="nil"/>
              <w:bottom w:val="nil"/>
              <w:right w:val="nil"/>
            </w:tcBorders>
            <w:shd w:val="clear" w:color="000000" w:fill="FFFFFF"/>
            <w:hideMark/>
          </w:tcPr>
          <w:p w14:paraId="7C57334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385817C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79" w:type="dxa"/>
            <w:tcBorders>
              <w:top w:val="nil"/>
              <w:left w:val="nil"/>
              <w:bottom w:val="nil"/>
              <w:right w:val="nil"/>
            </w:tcBorders>
            <w:shd w:val="clear" w:color="000000" w:fill="FFFFFF"/>
            <w:hideMark/>
          </w:tcPr>
          <w:p w14:paraId="2694B1B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59" w:type="dxa"/>
            <w:tcBorders>
              <w:top w:val="nil"/>
              <w:left w:val="nil"/>
              <w:bottom w:val="nil"/>
              <w:right w:val="nil"/>
            </w:tcBorders>
            <w:shd w:val="clear" w:color="000000" w:fill="FFFFFF"/>
            <w:hideMark/>
          </w:tcPr>
          <w:p w14:paraId="3172887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78" w:type="dxa"/>
            <w:tcBorders>
              <w:top w:val="nil"/>
              <w:left w:val="nil"/>
              <w:bottom w:val="nil"/>
              <w:right w:val="nil"/>
            </w:tcBorders>
            <w:shd w:val="clear" w:color="000000" w:fill="FFFFFF"/>
            <w:hideMark/>
          </w:tcPr>
          <w:p w14:paraId="11E9B53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1A4A9624" w14:textId="77777777" w:rsidTr="00103CC2">
        <w:trPr>
          <w:trHeight w:val="276"/>
        </w:trPr>
        <w:tc>
          <w:tcPr>
            <w:tcW w:w="14040" w:type="dxa"/>
            <w:gridSpan w:val="27"/>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6DEBECD"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DESPESA</w:t>
            </w:r>
          </w:p>
        </w:tc>
      </w:tr>
      <w:tr w:rsidR="00103CC2" w:rsidRPr="00103CC2" w14:paraId="428F34DB" w14:textId="77777777" w:rsidTr="00103CC2">
        <w:trPr>
          <w:trHeight w:val="276"/>
        </w:trPr>
        <w:tc>
          <w:tcPr>
            <w:tcW w:w="14040" w:type="dxa"/>
            <w:gridSpan w:val="27"/>
            <w:vMerge/>
            <w:tcBorders>
              <w:top w:val="single" w:sz="4" w:space="0" w:color="000000"/>
              <w:left w:val="single" w:sz="4" w:space="0" w:color="000000"/>
              <w:bottom w:val="single" w:sz="4" w:space="0" w:color="000000"/>
              <w:right w:val="single" w:sz="4" w:space="0" w:color="000000"/>
            </w:tcBorders>
            <w:vAlign w:val="center"/>
            <w:hideMark/>
          </w:tcPr>
          <w:p w14:paraId="3A6EAA7C"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r>
      <w:tr w:rsidR="00103CC2" w:rsidRPr="00103CC2" w14:paraId="0C4A7250" w14:textId="77777777" w:rsidTr="00103CC2">
        <w:trPr>
          <w:trHeight w:val="276"/>
        </w:trPr>
        <w:tc>
          <w:tcPr>
            <w:tcW w:w="14040" w:type="dxa"/>
            <w:gridSpan w:val="27"/>
            <w:vMerge/>
            <w:tcBorders>
              <w:top w:val="single" w:sz="4" w:space="0" w:color="000000"/>
              <w:left w:val="single" w:sz="4" w:space="0" w:color="000000"/>
              <w:bottom w:val="single" w:sz="4" w:space="0" w:color="000000"/>
              <w:right w:val="single" w:sz="4" w:space="0" w:color="000000"/>
            </w:tcBorders>
            <w:vAlign w:val="center"/>
            <w:hideMark/>
          </w:tcPr>
          <w:p w14:paraId="0AEB9F49"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r>
      <w:tr w:rsidR="00103CC2" w:rsidRPr="00103CC2" w14:paraId="02B651B7" w14:textId="77777777" w:rsidTr="00103CC2">
        <w:trPr>
          <w:trHeight w:val="240"/>
        </w:trPr>
        <w:tc>
          <w:tcPr>
            <w:tcW w:w="4872"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F1022C8"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DESPESAS ORÇAMENTÁRIAS</w:t>
            </w:r>
          </w:p>
        </w:tc>
        <w:tc>
          <w:tcPr>
            <w:tcW w:w="280" w:type="dxa"/>
            <w:tcBorders>
              <w:top w:val="nil"/>
              <w:left w:val="nil"/>
              <w:bottom w:val="single" w:sz="4" w:space="0" w:color="000000"/>
              <w:right w:val="single" w:sz="4" w:space="0" w:color="000000"/>
            </w:tcBorders>
            <w:shd w:val="clear" w:color="000000" w:fill="FFFFFF"/>
            <w:vAlign w:val="center"/>
            <w:hideMark/>
          </w:tcPr>
          <w:p w14:paraId="49132394"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N.E.</w:t>
            </w:r>
          </w:p>
        </w:tc>
        <w:tc>
          <w:tcPr>
            <w:tcW w:w="1479"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7E48C532"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DOTAÇÃO INICIAL</w:t>
            </w:r>
          </w:p>
        </w:tc>
        <w:tc>
          <w:tcPr>
            <w:tcW w:w="1478"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8C20699"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DOTAÇÃO ATUAL</w:t>
            </w:r>
            <w:r w:rsidRPr="00103CC2">
              <w:rPr>
                <w:rFonts w:ascii="Arial" w:eastAsia="Times New Roman" w:hAnsi="Arial" w:cs="Arial"/>
                <w:color w:val="000000"/>
                <w:kern w:val="0"/>
                <w:sz w:val="14"/>
                <w:szCs w:val="14"/>
                <w:lang w:eastAsia="pt-BR" w:bidi="ar-SA"/>
              </w:rPr>
              <w:t>I</w:t>
            </w:r>
            <w:r w:rsidRPr="00103CC2">
              <w:rPr>
                <w:rFonts w:ascii="Arial" w:eastAsia="Times New Roman" w:hAnsi="Arial" w:cs="Arial"/>
                <w:color w:val="000000"/>
                <w:kern w:val="0"/>
                <w:sz w:val="14"/>
                <w:szCs w:val="14"/>
                <w:lang w:eastAsia="pt-BR" w:bidi="ar-SA"/>
              </w:rPr>
              <w:t>ZADA</w:t>
            </w:r>
          </w:p>
        </w:tc>
        <w:tc>
          <w:tcPr>
            <w:tcW w:w="1498"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56840A1A"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DESPESAS EMP</w:t>
            </w:r>
            <w:r w:rsidRPr="00103CC2">
              <w:rPr>
                <w:rFonts w:ascii="Arial" w:eastAsia="Times New Roman" w:hAnsi="Arial" w:cs="Arial"/>
                <w:color w:val="000000"/>
                <w:kern w:val="0"/>
                <w:sz w:val="14"/>
                <w:szCs w:val="14"/>
                <w:lang w:eastAsia="pt-BR" w:bidi="ar-SA"/>
              </w:rPr>
              <w:t>E</w:t>
            </w:r>
            <w:r w:rsidRPr="00103CC2">
              <w:rPr>
                <w:rFonts w:ascii="Arial" w:eastAsia="Times New Roman" w:hAnsi="Arial" w:cs="Arial"/>
                <w:color w:val="000000"/>
                <w:kern w:val="0"/>
                <w:sz w:val="14"/>
                <w:szCs w:val="14"/>
                <w:lang w:eastAsia="pt-BR" w:bidi="ar-SA"/>
              </w:rPr>
              <w:t>NHADAS</w:t>
            </w:r>
          </w:p>
        </w:tc>
        <w:tc>
          <w:tcPr>
            <w:tcW w:w="1478"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22845E37"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DESPESAS LIQU</w:t>
            </w:r>
            <w:r w:rsidRPr="00103CC2">
              <w:rPr>
                <w:rFonts w:ascii="Arial" w:eastAsia="Times New Roman" w:hAnsi="Arial" w:cs="Arial"/>
                <w:color w:val="000000"/>
                <w:kern w:val="0"/>
                <w:sz w:val="14"/>
                <w:szCs w:val="14"/>
                <w:lang w:eastAsia="pt-BR" w:bidi="ar-SA"/>
              </w:rPr>
              <w:t>I</w:t>
            </w:r>
            <w:r w:rsidRPr="00103CC2">
              <w:rPr>
                <w:rFonts w:ascii="Arial" w:eastAsia="Times New Roman" w:hAnsi="Arial" w:cs="Arial"/>
                <w:color w:val="000000"/>
                <w:kern w:val="0"/>
                <w:sz w:val="14"/>
                <w:szCs w:val="14"/>
                <w:lang w:eastAsia="pt-BR" w:bidi="ar-SA"/>
              </w:rPr>
              <w:t>DADAS</w:t>
            </w:r>
          </w:p>
        </w:tc>
        <w:tc>
          <w:tcPr>
            <w:tcW w:w="14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B1F247E"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DESPESAS PAGAS</w:t>
            </w:r>
          </w:p>
        </w:tc>
        <w:tc>
          <w:tcPr>
            <w:tcW w:w="1478" w:type="dxa"/>
            <w:tcBorders>
              <w:top w:val="nil"/>
              <w:left w:val="nil"/>
              <w:bottom w:val="single" w:sz="4" w:space="0" w:color="000000"/>
              <w:right w:val="single" w:sz="4" w:space="0" w:color="000000"/>
            </w:tcBorders>
            <w:shd w:val="clear" w:color="000000" w:fill="FFFFFF"/>
            <w:vAlign w:val="center"/>
            <w:hideMark/>
          </w:tcPr>
          <w:p w14:paraId="04C7DEAD"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SALDO DA DOT</w:t>
            </w:r>
            <w:r w:rsidRPr="00103CC2">
              <w:rPr>
                <w:rFonts w:ascii="Arial" w:eastAsia="Times New Roman" w:hAnsi="Arial" w:cs="Arial"/>
                <w:color w:val="000000"/>
                <w:kern w:val="0"/>
                <w:sz w:val="14"/>
                <w:szCs w:val="14"/>
                <w:lang w:eastAsia="pt-BR" w:bidi="ar-SA"/>
              </w:rPr>
              <w:t>A</w:t>
            </w:r>
            <w:r w:rsidRPr="00103CC2">
              <w:rPr>
                <w:rFonts w:ascii="Arial" w:eastAsia="Times New Roman" w:hAnsi="Arial" w:cs="Arial"/>
                <w:color w:val="000000"/>
                <w:kern w:val="0"/>
                <w:sz w:val="14"/>
                <w:szCs w:val="14"/>
                <w:lang w:eastAsia="pt-BR" w:bidi="ar-SA"/>
              </w:rPr>
              <w:t>ÇÃO</w:t>
            </w:r>
          </w:p>
        </w:tc>
      </w:tr>
      <w:tr w:rsidR="00103CC2" w:rsidRPr="00103CC2" w14:paraId="5E14CAE2"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7699C2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DESPESAS CORRENTES</w:t>
            </w:r>
          </w:p>
        </w:tc>
        <w:tc>
          <w:tcPr>
            <w:tcW w:w="280" w:type="dxa"/>
            <w:tcBorders>
              <w:top w:val="nil"/>
              <w:left w:val="nil"/>
              <w:bottom w:val="nil"/>
              <w:right w:val="single" w:sz="4" w:space="0" w:color="000000"/>
            </w:tcBorders>
            <w:shd w:val="clear" w:color="000000" w:fill="FFFFFF"/>
            <w:hideMark/>
          </w:tcPr>
          <w:p w14:paraId="1998EA6D" w14:textId="77777777" w:rsidR="00103CC2" w:rsidRPr="00103CC2" w:rsidRDefault="00103CC2" w:rsidP="00103CC2">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13</w:t>
            </w:r>
          </w:p>
        </w:tc>
        <w:tc>
          <w:tcPr>
            <w:tcW w:w="1479" w:type="dxa"/>
            <w:gridSpan w:val="3"/>
            <w:tcBorders>
              <w:top w:val="nil"/>
              <w:left w:val="nil"/>
              <w:bottom w:val="nil"/>
              <w:right w:val="single" w:sz="4" w:space="0" w:color="000000"/>
            </w:tcBorders>
            <w:shd w:val="clear" w:color="000000" w:fill="FFFFFF"/>
            <w:hideMark/>
          </w:tcPr>
          <w:p w14:paraId="1A66290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6.617.452.532,00</w:t>
            </w:r>
          </w:p>
        </w:tc>
        <w:tc>
          <w:tcPr>
            <w:tcW w:w="1478" w:type="dxa"/>
            <w:gridSpan w:val="4"/>
            <w:tcBorders>
              <w:top w:val="nil"/>
              <w:left w:val="nil"/>
              <w:bottom w:val="nil"/>
              <w:right w:val="single" w:sz="4" w:space="0" w:color="000000"/>
            </w:tcBorders>
            <w:shd w:val="clear" w:color="000000" w:fill="FFFFFF"/>
            <w:hideMark/>
          </w:tcPr>
          <w:p w14:paraId="5C4175D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5.798.009.751,00</w:t>
            </w:r>
          </w:p>
        </w:tc>
        <w:tc>
          <w:tcPr>
            <w:tcW w:w="1498" w:type="dxa"/>
            <w:gridSpan w:val="3"/>
            <w:tcBorders>
              <w:top w:val="nil"/>
              <w:left w:val="nil"/>
              <w:bottom w:val="nil"/>
              <w:right w:val="single" w:sz="4" w:space="0" w:color="000000"/>
            </w:tcBorders>
            <w:shd w:val="clear" w:color="000000" w:fill="FFFFFF"/>
            <w:hideMark/>
          </w:tcPr>
          <w:p w14:paraId="5652BA0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4.769.131.378,06</w:t>
            </w:r>
          </w:p>
        </w:tc>
        <w:tc>
          <w:tcPr>
            <w:tcW w:w="1478" w:type="dxa"/>
            <w:gridSpan w:val="3"/>
            <w:tcBorders>
              <w:top w:val="nil"/>
              <w:left w:val="nil"/>
              <w:bottom w:val="nil"/>
              <w:right w:val="single" w:sz="4" w:space="0" w:color="000000"/>
            </w:tcBorders>
            <w:shd w:val="clear" w:color="000000" w:fill="FFFFFF"/>
            <w:hideMark/>
          </w:tcPr>
          <w:p w14:paraId="3EB89C1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4.295.017.703,31</w:t>
            </w:r>
          </w:p>
        </w:tc>
        <w:tc>
          <w:tcPr>
            <w:tcW w:w="1477" w:type="dxa"/>
            <w:gridSpan w:val="4"/>
            <w:tcBorders>
              <w:top w:val="nil"/>
              <w:left w:val="nil"/>
              <w:bottom w:val="nil"/>
              <w:right w:val="single" w:sz="4" w:space="0" w:color="000000"/>
            </w:tcBorders>
            <w:shd w:val="clear" w:color="000000" w:fill="FFFFFF"/>
            <w:hideMark/>
          </w:tcPr>
          <w:p w14:paraId="4B4881C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4.131.643.800,37</w:t>
            </w:r>
          </w:p>
        </w:tc>
        <w:tc>
          <w:tcPr>
            <w:tcW w:w="1478" w:type="dxa"/>
            <w:tcBorders>
              <w:top w:val="nil"/>
              <w:left w:val="nil"/>
              <w:bottom w:val="nil"/>
              <w:right w:val="single" w:sz="4" w:space="0" w:color="000000"/>
            </w:tcBorders>
            <w:shd w:val="clear" w:color="000000" w:fill="FFFFFF"/>
            <w:hideMark/>
          </w:tcPr>
          <w:p w14:paraId="37A8B42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1.028.878.372,94</w:t>
            </w:r>
          </w:p>
        </w:tc>
      </w:tr>
      <w:tr w:rsidR="00103CC2" w:rsidRPr="00103CC2" w14:paraId="1336674C"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5EB82434"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Pessoal e Encargos Sociais</w:t>
            </w:r>
          </w:p>
        </w:tc>
        <w:tc>
          <w:tcPr>
            <w:tcW w:w="280" w:type="dxa"/>
            <w:tcBorders>
              <w:top w:val="nil"/>
              <w:left w:val="nil"/>
              <w:bottom w:val="nil"/>
              <w:right w:val="single" w:sz="4" w:space="0" w:color="000000"/>
            </w:tcBorders>
            <w:shd w:val="clear" w:color="000000" w:fill="FFFFFF"/>
            <w:hideMark/>
          </w:tcPr>
          <w:p w14:paraId="5951D281"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3305831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2.335.166.565,00</w:t>
            </w:r>
          </w:p>
        </w:tc>
        <w:tc>
          <w:tcPr>
            <w:tcW w:w="1478" w:type="dxa"/>
            <w:gridSpan w:val="4"/>
            <w:tcBorders>
              <w:top w:val="nil"/>
              <w:left w:val="nil"/>
              <w:bottom w:val="nil"/>
              <w:right w:val="single" w:sz="4" w:space="0" w:color="000000"/>
            </w:tcBorders>
            <w:shd w:val="clear" w:color="000000" w:fill="FFFFFF"/>
            <w:hideMark/>
          </w:tcPr>
          <w:p w14:paraId="7583F11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2.408.686.209,00</w:t>
            </w:r>
          </w:p>
        </w:tc>
        <w:tc>
          <w:tcPr>
            <w:tcW w:w="1498" w:type="dxa"/>
            <w:gridSpan w:val="3"/>
            <w:tcBorders>
              <w:top w:val="nil"/>
              <w:left w:val="nil"/>
              <w:bottom w:val="nil"/>
              <w:right w:val="single" w:sz="4" w:space="0" w:color="000000"/>
            </w:tcBorders>
            <w:shd w:val="clear" w:color="000000" w:fill="FFFFFF"/>
            <w:hideMark/>
          </w:tcPr>
          <w:p w14:paraId="61C4B50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2.350.305.100,53</w:t>
            </w:r>
          </w:p>
        </w:tc>
        <w:tc>
          <w:tcPr>
            <w:tcW w:w="1478" w:type="dxa"/>
            <w:gridSpan w:val="3"/>
            <w:tcBorders>
              <w:top w:val="nil"/>
              <w:left w:val="nil"/>
              <w:bottom w:val="nil"/>
              <w:right w:val="single" w:sz="4" w:space="0" w:color="000000"/>
            </w:tcBorders>
            <w:shd w:val="clear" w:color="000000" w:fill="FFFFFF"/>
            <w:hideMark/>
          </w:tcPr>
          <w:p w14:paraId="5260C34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2.312.309.998,06</w:t>
            </w:r>
          </w:p>
        </w:tc>
        <w:tc>
          <w:tcPr>
            <w:tcW w:w="1477" w:type="dxa"/>
            <w:gridSpan w:val="4"/>
            <w:tcBorders>
              <w:top w:val="nil"/>
              <w:left w:val="nil"/>
              <w:bottom w:val="nil"/>
              <w:right w:val="single" w:sz="4" w:space="0" w:color="000000"/>
            </w:tcBorders>
            <w:shd w:val="clear" w:color="000000" w:fill="FFFFFF"/>
            <w:hideMark/>
          </w:tcPr>
          <w:p w14:paraId="653135F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2.170.563.929,81</w:t>
            </w:r>
          </w:p>
        </w:tc>
        <w:tc>
          <w:tcPr>
            <w:tcW w:w="1478" w:type="dxa"/>
            <w:tcBorders>
              <w:top w:val="nil"/>
              <w:left w:val="nil"/>
              <w:bottom w:val="nil"/>
              <w:right w:val="single" w:sz="4" w:space="0" w:color="000000"/>
            </w:tcBorders>
            <w:shd w:val="clear" w:color="000000" w:fill="FFFFFF"/>
            <w:hideMark/>
          </w:tcPr>
          <w:p w14:paraId="2BEF37A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58.381.108,47</w:t>
            </w:r>
          </w:p>
        </w:tc>
      </w:tr>
      <w:tr w:rsidR="00103CC2" w:rsidRPr="00103CC2" w14:paraId="656019F0"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925847C"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Juros e Encargos da Dívida</w:t>
            </w:r>
          </w:p>
        </w:tc>
        <w:tc>
          <w:tcPr>
            <w:tcW w:w="280" w:type="dxa"/>
            <w:tcBorders>
              <w:top w:val="nil"/>
              <w:left w:val="nil"/>
              <w:bottom w:val="nil"/>
              <w:right w:val="single" w:sz="4" w:space="0" w:color="000000"/>
            </w:tcBorders>
            <w:shd w:val="clear" w:color="000000" w:fill="FFFFFF"/>
            <w:hideMark/>
          </w:tcPr>
          <w:p w14:paraId="1F585387"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1A892AA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14.002.664,00</w:t>
            </w:r>
          </w:p>
        </w:tc>
        <w:tc>
          <w:tcPr>
            <w:tcW w:w="1478" w:type="dxa"/>
            <w:gridSpan w:val="4"/>
            <w:tcBorders>
              <w:top w:val="nil"/>
              <w:left w:val="nil"/>
              <w:bottom w:val="nil"/>
              <w:right w:val="single" w:sz="4" w:space="0" w:color="000000"/>
            </w:tcBorders>
            <w:shd w:val="clear" w:color="000000" w:fill="FFFFFF"/>
            <w:hideMark/>
          </w:tcPr>
          <w:p w14:paraId="1B35FC8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14.829.934,00</w:t>
            </w:r>
          </w:p>
        </w:tc>
        <w:tc>
          <w:tcPr>
            <w:tcW w:w="1498" w:type="dxa"/>
            <w:gridSpan w:val="3"/>
            <w:tcBorders>
              <w:top w:val="nil"/>
              <w:left w:val="nil"/>
              <w:bottom w:val="nil"/>
              <w:right w:val="single" w:sz="4" w:space="0" w:color="000000"/>
            </w:tcBorders>
            <w:shd w:val="clear" w:color="000000" w:fill="FFFFFF"/>
            <w:hideMark/>
          </w:tcPr>
          <w:p w14:paraId="0125487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14.147.332,40</w:t>
            </w:r>
          </w:p>
        </w:tc>
        <w:tc>
          <w:tcPr>
            <w:tcW w:w="1478" w:type="dxa"/>
            <w:gridSpan w:val="3"/>
            <w:tcBorders>
              <w:top w:val="nil"/>
              <w:left w:val="nil"/>
              <w:bottom w:val="nil"/>
              <w:right w:val="single" w:sz="4" w:space="0" w:color="000000"/>
            </w:tcBorders>
            <w:shd w:val="clear" w:color="000000" w:fill="FFFFFF"/>
            <w:hideMark/>
          </w:tcPr>
          <w:p w14:paraId="0E59E86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14.147.332,40</w:t>
            </w:r>
          </w:p>
        </w:tc>
        <w:tc>
          <w:tcPr>
            <w:tcW w:w="1477" w:type="dxa"/>
            <w:gridSpan w:val="4"/>
            <w:tcBorders>
              <w:top w:val="nil"/>
              <w:left w:val="nil"/>
              <w:bottom w:val="nil"/>
              <w:right w:val="single" w:sz="4" w:space="0" w:color="000000"/>
            </w:tcBorders>
            <w:shd w:val="clear" w:color="000000" w:fill="FFFFFF"/>
            <w:hideMark/>
          </w:tcPr>
          <w:p w14:paraId="2A34A15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14.147.332,40</w:t>
            </w:r>
          </w:p>
        </w:tc>
        <w:tc>
          <w:tcPr>
            <w:tcW w:w="1478" w:type="dxa"/>
            <w:tcBorders>
              <w:top w:val="nil"/>
              <w:left w:val="nil"/>
              <w:bottom w:val="nil"/>
              <w:right w:val="single" w:sz="4" w:space="0" w:color="000000"/>
            </w:tcBorders>
            <w:shd w:val="clear" w:color="000000" w:fill="FFFFFF"/>
            <w:hideMark/>
          </w:tcPr>
          <w:p w14:paraId="401E4C4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682.601,60</w:t>
            </w:r>
          </w:p>
        </w:tc>
      </w:tr>
      <w:tr w:rsidR="00103CC2" w:rsidRPr="00103CC2" w14:paraId="1A7B1157"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2CFF6E3"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Outras Despesas Correntes</w:t>
            </w:r>
          </w:p>
        </w:tc>
        <w:tc>
          <w:tcPr>
            <w:tcW w:w="280" w:type="dxa"/>
            <w:tcBorders>
              <w:top w:val="nil"/>
              <w:left w:val="nil"/>
              <w:bottom w:val="nil"/>
              <w:right w:val="single" w:sz="4" w:space="0" w:color="000000"/>
            </w:tcBorders>
            <w:shd w:val="clear" w:color="000000" w:fill="FFFFFF"/>
            <w:hideMark/>
          </w:tcPr>
          <w:p w14:paraId="6F3F2F1D"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65FF64C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4.268.283.303,00</w:t>
            </w:r>
          </w:p>
        </w:tc>
        <w:tc>
          <w:tcPr>
            <w:tcW w:w="1478" w:type="dxa"/>
            <w:gridSpan w:val="4"/>
            <w:tcBorders>
              <w:top w:val="nil"/>
              <w:left w:val="nil"/>
              <w:bottom w:val="nil"/>
              <w:right w:val="single" w:sz="4" w:space="0" w:color="000000"/>
            </w:tcBorders>
            <w:shd w:val="clear" w:color="000000" w:fill="FFFFFF"/>
            <w:hideMark/>
          </w:tcPr>
          <w:p w14:paraId="11C9AF8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3.374.493.608,00</w:t>
            </w:r>
          </w:p>
        </w:tc>
        <w:tc>
          <w:tcPr>
            <w:tcW w:w="1498" w:type="dxa"/>
            <w:gridSpan w:val="3"/>
            <w:tcBorders>
              <w:top w:val="nil"/>
              <w:left w:val="nil"/>
              <w:bottom w:val="nil"/>
              <w:right w:val="single" w:sz="4" w:space="0" w:color="000000"/>
            </w:tcBorders>
            <w:shd w:val="clear" w:color="000000" w:fill="FFFFFF"/>
            <w:hideMark/>
          </w:tcPr>
          <w:p w14:paraId="015EF52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2.404.678.945,13</w:t>
            </w:r>
          </w:p>
        </w:tc>
        <w:tc>
          <w:tcPr>
            <w:tcW w:w="1478" w:type="dxa"/>
            <w:gridSpan w:val="3"/>
            <w:tcBorders>
              <w:top w:val="nil"/>
              <w:left w:val="nil"/>
              <w:bottom w:val="nil"/>
              <w:right w:val="single" w:sz="4" w:space="0" w:color="000000"/>
            </w:tcBorders>
            <w:shd w:val="clear" w:color="000000" w:fill="FFFFFF"/>
            <w:hideMark/>
          </w:tcPr>
          <w:p w14:paraId="32F0AF3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1.968.560.372,85</w:t>
            </w:r>
          </w:p>
        </w:tc>
        <w:tc>
          <w:tcPr>
            <w:tcW w:w="1477" w:type="dxa"/>
            <w:gridSpan w:val="4"/>
            <w:tcBorders>
              <w:top w:val="nil"/>
              <w:left w:val="nil"/>
              <w:bottom w:val="nil"/>
              <w:right w:val="single" w:sz="4" w:space="0" w:color="000000"/>
            </w:tcBorders>
            <w:shd w:val="clear" w:color="000000" w:fill="FFFFFF"/>
            <w:hideMark/>
          </w:tcPr>
          <w:p w14:paraId="567EB21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1.946.932.538,16</w:t>
            </w:r>
          </w:p>
        </w:tc>
        <w:tc>
          <w:tcPr>
            <w:tcW w:w="1478" w:type="dxa"/>
            <w:tcBorders>
              <w:top w:val="nil"/>
              <w:left w:val="nil"/>
              <w:bottom w:val="nil"/>
              <w:right w:val="single" w:sz="4" w:space="0" w:color="000000"/>
            </w:tcBorders>
            <w:shd w:val="clear" w:color="000000" w:fill="FFFFFF"/>
            <w:hideMark/>
          </w:tcPr>
          <w:p w14:paraId="5582EAE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969.814.662,87</w:t>
            </w:r>
          </w:p>
        </w:tc>
      </w:tr>
      <w:tr w:rsidR="00103CC2" w:rsidRPr="00103CC2" w14:paraId="70F9CE4E"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7E54F385"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DESPESAS DE CAPITAL</w:t>
            </w:r>
          </w:p>
        </w:tc>
        <w:tc>
          <w:tcPr>
            <w:tcW w:w="280" w:type="dxa"/>
            <w:tcBorders>
              <w:top w:val="nil"/>
              <w:left w:val="nil"/>
              <w:bottom w:val="nil"/>
              <w:right w:val="single" w:sz="4" w:space="0" w:color="000000"/>
            </w:tcBorders>
            <w:shd w:val="clear" w:color="000000" w:fill="FFFFFF"/>
            <w:hideMark/>
          </w:tcPr>
          <w:p w14:paraId="1C0F2902" w14:textId="77777777" w:rsidR="00103CC2" w:rsidRPr="00103CC2" w:rsidRDefault="00103CC2" w:rsidP="00103CC2">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w:t>
            </w:r>
          </w:p>
        </w:tc>
        <w:tc>
          <w:tcPr>
            <w:tcW w:w="1479" w:type="dxa"/>
            <w:gridSpan w:val="3"/>
            <w:tcBorders>
              <w:top w:val="nil"/>
              <w:left w:val="nil"/>
              <w:bottom w:val="nil"/>
              <w:right w:val="single" w:sz="4" w:space="0" w:color="000000"/>
            </w:tcBorders>
            <w:shd w:val="clear" w:color="000000" w:fill="FFFFFF"/>
            <w:hideMark/>
          </w:tcPr>
          <w:p w14:paraId="0CA4F69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26.446.727.482,00</w:t>
            </w:r>
          </w:p>
        </w:tc>
        <w:tc>
          <w:tcPr>
            <w:tcW w:w="1478" w:type="dxa"/>
            <w:gridSpan w:val="4"/>
            <w:tcBorders>
              <w:top w:val="nil"/>
              <w:left w:val="nil"/>
              <w:bottom w:val="nil"/>
              <w:right w:val="single" w:sz="4" w:space="0" w:color="000000"/>
            </w:tcBorders>
            <w:shd w:val="clear" w:color="000000" w:fill="FFFFFF"/>
            <w:hideMark/>
          </w:tcPr>
          <w:p w14:paraId="2F94AF8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31.260.326.028,00</w:t>
            </w:r>
          </w:p>
        </w:tc>
        <w:tc>
          <w:tcPr>
            <w:tcW w:w="1498" w:type="dxa"/>
            <w:gridSpan w:val="3"/>
            <w:tcBorders>
              <w:top w:val="nil"/>
              <w:left w:val="nil"/>
              <w:bottom w:val="nil"/>
              <w:right w:val="single" w:sz="4" w:space="0" w:color="000000"/>
            </w:tcBorders>
            <w:shd w:val="clear" w:color="000000" w:fill="FFFFFF"/>
            <w:hideMark/>
          </w:tcPr>
          <w:p w14:paraId="761FDD5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28.313.921.921,34</w:t>
            </w:r>
          </w:p>
        </w:tc>
        <w:tc>
          <w:tcPr>
            <w:tcW w:w="1478" w:type="dxa"/>
            <w:gridSpan w:val="3"/>
            <w:tcBorders>
              <w:top w:val="nil"/>
              <w:left w:val="nil"/>
              <w:bottom w:val="nil"/>
              <w:right w:val="single" w:sz="4" w:space="0" w:color="000000"/>
            </w:tcBorders>
            <w:shd w:val="clear" w:color="000000" w:fill="FFFFFF"/>
            <w:hideMark/>
          </w:tcPr>
          <w:p w14:paraId="3F7B04A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17.056.302.288,37</w:t>
            </w:r>
          </w:p>
        </w:tc>
        <w:tc>
          <w:tcPr>
            <w:tcW w:w="1477" w:type="dxa"/>
            <w:gridSpan w:val="4"/>
            <w:tcBorders>
              <w:top w:val="nil"/>
              <w:left w:val="nil"/>
              <w:bottom w:val="nil"/>
              <w:right w:val="single" w:sz="4" w:space="0" w:color="000000"/>
            </w:tcBorders>
            <w:shd w:val="clear" w:color="000000" w:fill="FFFFFF"/>
            <w:hideMark/>
          </w:tcPr>
          <w:p w14:paraId="6D6E87C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16.946.626.820,79</w:t>
            </w:r>
          </w:p>
        </w:tc>
        <w:tc>
          <w:tcPr>
            <w:tcW w:w="1478" w:type="dxa"/>
            <w:tcBorders>
              <w:top w:val="nil"/>
              <w:left w:val="nil"/>
              <w:bottom w:val="nil"/>
              <w:right w:val="single" w:sz="4" w:space="0" w:color="000000"/>
            </w:tcBorders>
            <w:shd w:val="clear" w:color="000000" w:fill="FFFFFF"/>
            <w:hideMark/>
          </w:tcPr>
          <w:p w14:paraId="445AF87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2.946.404.106,66</w:t>
            </w:r>
          </w:p>
        </w:tc>
      </w:tr>
      <w:tr w:rsidR="00103CC2" w:rsidRPr="00103CC2" w14:paraId="38724DC3"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A6C7C93"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lastRenderedPageBreak/>
              <w:t xml:space="preserve">    Investimentos</w:t>
            </w:r>
          </w:p>
        </w:tc>
        <w:tc>
          <w:tcPr>
            <w:tcW w:w="280" w:type="dxa"/>
            <w:tcBorders>
              <w:top w:val="nil"/>
              <w:left w:val="nil"/>
              <w:bottom w:val="nil"/>
              <w:right w:val="single" w:sz="4" w:space="0" w:color="000000"/>
            </w:tcBorders>
            <w:shd w:val="clear" w:color="000000" w:fill="FFFFFF"/>
            <w:hideMark/>
          </w:tcPr>
          <w:p w14:paraId="6EF3DF27"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1CC4CD8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9.500.998.502,00</w:t>
            </w:r>
          </w:p>
        </w:tc>
        <w:tc>
          <w:tcPr>
            <w:tcW w:w="1478" w:type="dxa"/>
            <w:gridSpan w:val="4"/>
            <w:tcBorders>
              <w:top w:val="nil"/>
              <w:left w:val="nil"/>
              <w:bottom w:val="nil"/>
              <w:right w:val="single" w:sz="4" w:space="0" w:color="000000"/>
            </w:tcBorders>
            <w:shd w:val="clear" w:color="000000" w:fill="FFFFFF"/>
            <w:hideMark/>
          </w:tcPr>
          <w:p w14:paraId="450CD54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11.886.431.604,00</w:t>
            </w:r>
          </w:p>
        </w:tc>
        <w:tc>
          <w:tcPr>
            <w:tcW w:w="1498" w:type="dxa"/>
            <w:gridSpan w:val="3"/>
            <w:tcBorders>
              <w:top w:val="nil"/>
              <w:left w:val="nil"/>
              <w:bottom w:val="nil"/>
              <w:right w:val="single" w:sz="4" w:space="0" w:color="000000"/>
            </w:tcBorders>
            <w:shd w:val="clear" w:color="000000" w:fill="FFFFFF"/>
            <w:hideMark/>
          </w:tcPr>
          <w:p w14:paraId="185E276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11.196.516.413,39</w:t>
            </w:r>
          </w:p>
        </w:tc>
        <w:tc>
          <w:tcPr>
            <w:tcW w:w="1478" w:type="dxa"/>
            <w:gridSpan w:val="3"/>
            <w:tcBorders>
              <w:top w:val="nil"/>
              <w:left w:val="nil"/>
              <w:bottom w:val="nil"/>
              <w:right w:val="single" w:sz="4" w:space="0" w:color="000000"/>
            </w:tcBorders>
            <w:shd w:val="clear" w:color="000000" w:fill="FFFFFF"/>
            <w:hideMark/>
          </w:tcPr>
          <w:p w14:paraId="6F1B9AB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2.829.897.709,47</w:t>
            </w:r>
          </w:p>
        </w:tc>
        <w:tc>
          <w:tcPr>
            <w:tcW w:w="1477" w:type="dxa"/>
            <w:gridSpan w:val="4"/>
            <w:tcBorders>
              <w:top w:val="nil"/>
              <w:left w:val="nil"/>
              <w:bottom w:val="nil"/>
              <w:right w:val="single" w:sz="4" w:space="0" w:color="000000"/>
            </w:tcBorders>
            <w:shd w:val="clear" w:color="000000" w:fill="FFFFFF"/>
            <w:hideMark/>
          </w:tcPr>
          <w:p w14:paraId="110B9D6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2.720.222.241,89</w:t>
            </w:r>
          </w:p>
        </w:tc>
        <w:tc>
          <w:tcPr>
            <w:tcW w:w="1478" w:type="dxa"/>
            <w:tcBorders>
              <w:top w:val="nil"/>
              <w:left w:val="nil"/>
              <w:bottom w:val="nil"/>
              <w:right w:val="single" w:sz="4" w:space="0" w:color="000000"/>
            </w:tcBorders>
            <w:shd w:val="clear" w:color="000000" w:fill="FFFFFF"/>
            <w:hideMark/>
          </w:tcPr>
          <w:p w14:paraId="05A2250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689.915.190,61</w:t>
            </w:r>
          </w:p>
        </w:tc>
      </w:tr>
      <w:tr w:rsidR="00103CC2" w:rsidRPr="00103CC2" w14:paraId="559773F0"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141E06BD"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Inversões Financeiras</w:t>
            </w:r>
          </w:p>
        </w:tc>
        <w:tc>
          <w:tcPr>
            <w:tcW w:w="280" w:type="dxa"/>
            <w:tcBorders>
              <w:top w:val="nil"/>
              <w:left w:val="nil"/>
              <w:bottom w:val="nil"/>
              <w:right w:val="single" w:sz="4" w:space="0" w:color="000000"/>
            </w:tcBorders>
            <w:shd w:val="clear" w:color="000000" w:fill="FFFFFF"/>
            <w:hideMark/>
          </w:tcPr>
          <w:p w14:paraId="5EF52C6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7EB5E1B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16.945.728.980,00</w:t>
            </w:r>
          </w:p>
        </w:tc>
        <w:tc>
          <w:tcPr>
            <w:tcW w:w="1478" w:type="dxa"/>
            <w:gridSpan w:val="4"/>
            <w:tcBorders>
              <w:top w:val="nil"/>
              <w:left w:val="nil"/>
              <w:bottom w:val="nil"/>
              <w:right w:val="single" w:sz="4" w:space="0" w:color="000000"/>
            </w:tcBorders>
            <w:shd w:val="clear" w:color="000000" w:fill="FFFFFF"/>
            <w:hideMark/>
          </w:tcPr>
          <w:p w14:paraId="22A0B89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19.373.894.424,00</w:t>
            </w:r>
          </w:p>
        </w:tc>
        <w:tc>
          <w:tcPr>
            <w:tcW w:w="1498" w:type="dxa"/>
            <w:gridSpan w:val="3"/>
            <w:tcBorders>
              <w:top w:val="nil"/>
              <w:left w:val="nil"/>
              <w:bottom w:val="nil"/>
              <w:right w:val="single" w:sz="4" w:space="0" w:color="000000"/>
            </w:tcBorders>
            <w:shd w:val="clear" w:color="000000" w:fill="FFFFFF"/>
            <w:hideMark/>
          </w:tcPr>
          <w:p w14:paraId="0AD7538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17.117.405.507,95</w:t>
            </w:r>
          </w:p>
        </w:tc>
        <w:tc>
          <w:tcPr>
            <w:tcW w:w="1478" w:type="dxa"/>
            <w:gridSpan w:val="3"/>
            <w:tcBorders>
              <w:top w:val="nil"/>
              <w:left w:val="nil"/>
              <w:bottom w:val="nil"/>
              <w:right w:val="single" w:sz="4" w:space="0" w:color="000000"/>
            </w:tcBorders>
            <w:shd w:val="clear" w:color="000000" w:fill="FFFFFF"/>
            <w:hideMark/>
          </w:tcPr>
          <w:p w14:paraId="01AD0D0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14.226.404.578,90</w:t>
            </w:r>
          </w:p>
        </w:tc>
        <w:tc>
          <w:tcPr>
            <w:tcW w:w="1477" w:type="dxa"/>
            <w:gridSpan w:val="4"/>
            <w:tcBorders>
              <w:top w:val="nil"/>
              <w:left w:val="nil"/>
              <w:bottom w:val="nil"/>
              <w:right w:val="single" w:sz="4" w:space="0" w:color="000000"/>
            </w:tcBorders>
            <w:shd w:val="clear" w:color="000000" w:fill="FFFFFF"/>
            <w:hideMark/>
          </w:tcPr>
          <w:p w14:paraId="66D8D5D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14.226.404.578,90</w:t>
            </w:r>
          </w:p>
        </w:tc>
        <w:tc>
          <w:tcPr>
            <w:tcW w:w="1478" w:type="dxa"/>
            <w:tcBorders>
              <w:top w:val="nil"/>
              <w:left w:val="nil"/>
              <w:bottom w:val="nil"/>
              <w:right w:val="single" w:sz="4" w:space="0" w:color="000000"/>
            </w:tcBorders>
            <w:shd w:val="clear" w:color="000000" w:fill="FFFFFF"/>
            <w:hideMark/>
          </w:tcPr>
          <w:p w14:paraId="278FE02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2.256.488.916,05</w:t>
            </w:r>
          </w:p>
        </w:tc>
      </w:tr>
      <w:tr w:rsidR="00103CC2" w:rsidRPr="00103CC2" w14:paraId="78564103"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E479F5F"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Amortização da Dívida</w:t>
            </w:r>
          </w:p>
        </w:tc>
        <w:tc>
          <w:tcPr>
            <w:tcW w:w="280" w:type="dxa"/>
            <w:tcBorders>
              <w:top w:val="nil"/>
              <w:left w:val="nil"/>
              <w:bottom w:val="nil"/>
              <w:right w:val="single" w:sz="4" w:space="0" w:color="000000"/>
            </w:tcBorders>
            <w:shd w:val="clear" w:color="000000" w:fill="FFFFFF"/>
            <w:hideMark/>
          </w:tcPr>
          <w:p w14:paraId="0CB9C98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4E759EA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gridSpan w:val="4"/>
            <w:tcBorders>
              <w:top w:val="nil"/>
              <w:left w:val="nil"/>
              <w:bottom w:val="nil"/>
              <w:right w:val="single" w:sz="4" w:space="0" w:color="000000"/>
            </w:tcBorders>
            <w:shd w:val="clear" w:color="000000" w:fill="FFFFFF"/>
            <w:hideMark/>
          </w:tcPr>
          <w:p w14:paraId="11545F9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98" w:type="dxa"/>
            <w:gridSpan w:val="3"/>
            <w:tcBorders>
              <w:top w:val="nil"/>
              <w:left w:val="nil"/>
              <w:bottom w:val="nil"/>
              <w:right w:val="single" w:sz="4" w:space="0" w:color="000000"/>
            </w:tcBorders>
            <w:shd w:val="clear" w:color="000000" w:fill="FFFFFF"/>
            <w:hideMark/>
          </w:tcPr>
          <w:p w14:paraId="6CE4AF9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gridSpan w:val="3"/>
            <w:tcBorders>
              <w:top w:val="nil"/>
              <w:left w:val="nil"/>
              <w:bottom w:val="nil"/>
              <w:right w:val="single" w:sz="4" w:space="0" w:color="000000"/>
            </w:tcBorders>
            <w:shd w:val="clear" w:color="000000" w:fill="FFFFFF"/>
            <w:hideMark/>
          </w:tcPr>
          <w:p w14:paraId="1C30745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7" w:type="dxa"/>
            <w:gridSpan w:val="4"/>
            <w:tcBorders>
              <w:top w:val="nil"/>
              <w:left w:val="nil"/>
              <w:bottom w:val="nil"/>
              <w:right w:val="single" w:sz="4" w:space="0" w:color="000000"/>
            </w:tcBorders>
            <w:shd w:val="clear" w:color="000000" w:fill="FFFFFF"/>
            <w:hideMark/>
          </w:tcPr>
          <w:p w14:paraId="09EB201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tcBorders>
              <w:top w:val="nil"/>
              <w:left w:val="nil"/>
              <w:bottom w:val="nil"/>
              <w:right w:val="single" w:sz="4" w:space="0" w:color="000000"/>
            </w:tcBorders>
            <w:shd w:val="clear" w:color="000000" w:fill="FFFFFF"/>
            <w:hideMark/>
          </w:tcPr>
          <w:p w14:paraId="1C3A017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1B49591B"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2008FEB0"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RESERVA DE CONTINGÊNCIA</w:t>
            </w:r>
          </w:p>
        </w:tc>
        <w:tc>
          <w:tcPr>
            <w:tcW w:w="280" w:type="dxa"/>
            <w:tcBorders>
              <w:top w:val="nil"/>
              <w:left w:val="nil"/>
              <w:bottom w:val="nil"/>
              <w:right w:val="single" w:sz="4" w:space="0" w:color="000000"/>
            </w:tcBorders>
            <w:shd w:val="clear" w:color="000000" w:fill="FFFFFF"/>
            <w:hideMark/>
          </w:tcPr>
          <w:p w14:paraId="141F5D50" w14:textId="77777777" w:rsidR="00103CC2" w:rsidRPr="00103CC2" w:rsidRDefault="00103CC2" w:rsidP="00103CC2">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w:t>
            </w:r>
          </w:p>
        </w:tc>
        <w:tc>
          <w:tcPr>
            <w:tcW w:w="1479" w:type="dxa"/>
            <w:gridSpan w:val="3"/>
            <w:tcBorders>
              <w:top w:val="nil"/>
              <w:left w:val="nil"/>
              <w:bottom w:val="nil"/>
              <w:right w:val="single" w:sz="4" w:space="0" w:color="000000"/>
            </w:tcBorders>
            <w:shd w:val="clear" w:color="000000" w:fill="FFFFFF"/>
            <w:hideMark/>
          </w:tcPr>
          <w:p w14:paraId="124B827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153.016.984,00</w:t>
            </w:r>
          </w:p>
        </w:tc>
        <w:tc>
          <w:tcPr>
            <w:tcW w:w="1478" w:type="dxa"/>
            <w:gridSpan w:val="4"/>
            <w:tcBorders>
              <w:top w:val="nil"/>
              <w:left w:val="nil"/>
              <w:bottom w:val="nil"/>
              <w:right w:val="single" w:sz="4" w:space="0" w:color="000000"/>
            </w:tcBorders>
            <w:shd w:val="clear" w:color="000000" w:fill="FFFFFF"/>
            <w:hideMark/>
          </w:tcPr>
          <w:p w14:paraId="75D8856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153.016.984,00</w:t>
            </w:r>
          </w:p>
        </w:tc>
        <w:tc>
          <w:tcPr>
            <w:tcW w:w="1498" w:type="dxa"/>
            <w:gridSpan w:val="3"/>
            <w:tcBorders>
              <w:top w:val="nil"/>
              <w:left w:val="nil"/>
              <w:bottom w:val="nil"/>
              <w:right w:val="single" w:sz="4" w:space="0" w:color="000000"/>
            </w:tcBorders>
            <w:shd w:val="clear" w:color="000000" w:fill="FFFFFF"/>
            <w:hideMark/>
          </w:tcPr>
          <w:p w14:paraId="0E83153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gridSpan w:val="3"/>
            <w:tcBorders>
              <w:top w:val="nil"/>
              <w:left w:val="nil"/>
              <w:bottom w:val="nil"/>
              <w:right w:val="single" w:sz="4" w:space="0" w:color="000000"/>
            </w:tcBorders>
            <w:shd w:val="clear" w:color="000000" w:fill="FFFFFF"/>
            <w:hideMark/>
          </w:tcPr>
          <w:p w14:paraId="55D1B36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7" w:type="dxa"/>
            <w:gridSpan w:val="4"/>
            <w:tcBorders>
              <w:top w:val="nil"/>
              <w:left w:val="nil"/>
              <w:bottom w:val="nil"/>
              <w:right w:val="single" w:sz="4" w:space="0" w:color="000000"/>
            </w:tcBorders>
            <w:shd w:val="clear" w:color="000000" w:fill="FFFFFF"/>
            <w:hideMark/>
          </w:tcPr>
          <w:p w14:paraId="68DD2B4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tcBorders>
              <w:top w:val="nil"/>
              <w:left w:val="nil"/>
              <w:bottom w:val="nil"/>
              <w:right w:val="single" w:sz="4" w:space="0" w:color="000000"/>
            </w:tcBorders>
            <w:shd w:val="clear" w:color="000000" w:fill="FFFFFF"/>
            <w:hideMark/>
          </w:tcPr>
          <w:p w14:paraId="07D1EBA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153.016.984,00</w:t>
            </w:r>
          </w:p>
        </w:tc>
      </w:tr>
      <w:tr w:rsidR="00103CC2" w:rsidRPr="00103CC2" w14:paraId="2C016D44" w14:textId="77777777" w:rsidTr="00103CC2">
        <w:trPr>
          <w:trHeight w:val="199"/>
        </w:trPr>
        <w:tc>
          <w:tcPr>
            <w:tcW w:w="4872" w:type="dxa"/>
            <w:gridSpan w:val="8"/>
            <w:tcBorders>
              <w:top w:val="single" w:sz="4" w:space="0" w:color="000000"/>
              <w:left w:val="single" w:sz="4" w:space="0" w:color="000000"/>
              <w:bottom w:val="single" w:sz="4" w:space="0" w:color="000000"/>
              <w:right w:val="single" w:sz="4" w:space="0" w:color="000000"/>
            </w:tcBorders>
            <w:shd w:val="clear" w:color="000000" w:fill="FFFFFF"/>
            <w:hideMark/>
          </w:tcPr>
          <w:p w14:paraId="67EC1D93"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SUBTOTAL DAS DESPESAS</w:t>
            </w:r>
          </w:p>
        </w:tc>
        <w:tc>
          <w:tcPr>
            <w:tcW w:w="280" w:type="dxa"/>
            <w:tcBorders>
              <w:top w:val="single" w:sz="4" w:space="0" w:color="000000"/>
              <w:left w:val="nil"/>
              <w:bottom w:val="single" w:sz="4" w:space="0" w:color="000000"/>
              <w:right w:val="single" w:sz="4" w:space="0" w:color="000000"/>
            </w:tcBorders>
            <w:shd w:val="clear" w:color="000000" w:fill="FFFFFF"/>
            <w:hideMark/>
          </w:tcPr>
          <w:p w14:paraId="68377627"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single" w:sz="4" w:space="0" w:color="000000"/>
              <w:left w:val="nil"/>
              <w:bottom w:val="single" w:sz="4" w:space="0" w:color="000000"/>
              <w:right w:val="single" w:sz="4" w:space="0" w:color="000000"/>
            </w:tcBorders>
            <w:shd w:val="clear" w:color="000000" w:fill="FFFFFF"/>
            <w:hideMark/>
          </w:tcPr>
          <w:p w14:paraId="32BCA9A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33.217.196.998,00</w:t>
            </w:r>
          </w:p>
        </w:tc>
        <w:tc>
          <w:tcPr>
            <w:tcW w:w="1478" w:type="dxa"/>
            <w:gridSpan w:val="4"/>
            <w:tcBorders>
              <w:top w:val="single" w:sz="4" w:space="0" w:color="000000"/>
              <w:left w:val="nil"/>
              <w:bottom w:val="single" w:sz="4" w:space="0" w:color="000000"/>
              <w:right w:val="single" w:sz="4" w:space="0" w:color="000000"/>
            </w:tcBorders>
            <w:shd w:val="clear" w:color="000000" w:fill="FFFFFF"/>
            <w:hideMark/>
          </w:tcPr>
          <w:p w14:paraId="0AC4822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37.211.352.763,00</w:t>
            </w:r>
          </w:p>
        </w:tc>
        <w:tc>
          <w:tcPr>
            <w:tcW w:w="1498" w:type="dxa"/>
            <w:gridSpan w:val="3"/>
            <w:tcBorders>
              <w:top w:val="single" w:sz="4" w:space="0" w:color="000000"/>
              <w:left w:val="nil"/>
              <w:bottom w:val="single" w:sz="4" w:space="0" w:color="000000"/>
              <w:right w:val="single" w:sz="4" w:space="0" w:color="000000"/>
            </w:tcBorders>
            <w:shd w:val="clear" w:color="000000" w:fill="FFFFFF"/>
            <w:hideMark/>
          </w:tcPr>
          <w:p w14:paraId="2FC28F0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33.083.053.299,40</w:t>
            </w:r>
          </w:p>
        </w:tc>
        <w:tc>
          <w:tcPr>
            <w:tcW w:w="1478" w:type="dxa"/>
            <w:gridSpan w:val="3"/>
            <w:tcBorders>
              <w:top w:val="single" w:sz="4" w:space="0" w:color="000000"/>
              <w:left w:val="nil"/>
              <w:bottom w:val="single" w:sz="4" w:space="0" w:color="000000"/>
              <w:right w:val="single" w:sz="4" w:space="0" w:color="000000"/>
            </w:tcBorders>
            <w:shd w:val="clear" w:color="000000" w:fill="FFFFFF"/>
            <w:hideMark/>
          </w:tcPr>
          <w:p w14:paraId="55F6C0F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21.351.319.991,68</w:t>
            </w:r>
          </w:p>
        </w:tc>
        <w:tc>
          <w:tcPr>
            <w:tcW w:w="1477" w:type="dxa"/>
            <w:gridSpan w:val="4"/>
            <w:tcBorders>
              <w:top w:val="single" w:sz="4" w:space="0" w:color="000000"/>
              <w:left w:val="nil"/>
              <w:bottom w:val="single" w:sz="4" w:space="0" w:color="000000"/>
              <w:right w:val="single" w:sz="4" w:space="0" w:color="000000"/>
            </w:tcBorders>
            <w:shd w:val="clear" w:color="000000" w:fill="FFFFFF"/>
            <w:hideMark/>
          </w:tcPr>
          <w:p w14:paraId="7656668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21.078.270.621,16</w:t>
            </w:r>
          </w:p>
        </w:tc>
        <w:tc>
          <w:tcPr>
            <w:tcW w:w="1478" w:type="dxa"/>
            <w:tcBorders>
              <w:top w:val="single" w:sz="4" w:space="0" w:color="000000"/>
              <w:left w:val="nil"/>
              <w:bottom w:val="single" w:sz="4" w:space="0" w:color="000000"/>
              <w:right w:val="single" w:sz="4" w:space="0" w:color="000000"/>
            </w:tcBorders>
            <w:shd w:val="clear" w:color="000000" w:fill="FFFFFF"/>
            <w:hideMark/>
          </w:tcPr>
          <w:p w14:paraId="6BA820D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4.128.299.463,60</w:t>
            </w:r>
          </w:p>
        </w:tc>
      </w:tr>
      <w:tr w:rsidR="00103CC2" w:rsidRPr="00103CC2" w14:paraId="5B24F25E" w14:textId="77777777" w:rsidTr="00103CC2">
        <w:trPr>
          <w:trHeight w:val="199"/>
        </w:trPr>
        <w:tc>
          <w:tcPr>
            <w:tcW w:w="4872" w:type="dxa"/>
            <w:gridSpan w:val="8"/>
            <w:tcBorders>
              <w:top w:val="single" w:sz="4" w:space="0" w:color="000000"/>
              <w:left w:val="single" w:sz="4" w:space="0" w:color="000000"/>
              <w:bottom w:val="nil"/>
              <w:right w:val="single" w:sz="4" w:space="0" w:color="000000"/>
            </w:tcBorders>
            <w:shd w:val="clear" w:color="000000" w:fill="FFFFFF"/>
            <w:hideMark/>
          </w:tcPr>
          <w:p w14:paraId="4DC99F58"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AMORTIZAÇÃO DA DÍVIDA / REFINANCIAMENTO</w:t>
            </w:r>
          </w:p>
        </w:tc>
        <w:tc>
          <w:tcPr>
            <w:tcW w:w="280" w:type="dxa"/>
            <w:tcBorders>
              <w:top w:val="nil"/>
              <w:left w:val="nil"/>
              <w:bottom w:val="nil"/>
              <w:right w:val="single" w:sz="4" w:space="0" w:color="000000"/>
            </w:tcBorders>
            <w:shd w:val="clear" w:color="000000" w:fill="FFFFFF"/>
            <w:hideMark/>
          </w:tcPr>
          <w:p w14:paraId="4AF2E469"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single" w:sz="4" w:space="0" w:color="000000"/>
              <w:left w:val="nil"/>
              <w:bottom w:val="nil"/>
              <w:right w:val="single" w:sz="4" w:space="0" w:color="000000"/>
            </w:tcBorders>
            <w:shd w:val="clear" w:color="000000" w:fill="FFFFFF"/>
            <w:hideMark/>
          </w:tcPr>
          <w:p w14:paraId="63316A2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gridSpan w:val="4"/>
            <w:tcBorders>
              <w:top w:val="single" w:sz="4" w:space="0" w:color="000000"/>
              <w:left w:val="nil"/>
              <w:bottom w:val="nil"/>
              <w:right w:val="single" w:sz="4" w:space="0" w:color="000000"/>
            </w:tcBorders>
            <w:shd w:val="clear" w:color="000000" w:fill="FFFFFF"/>
            <w:hideMark/>
          </w:tcPr>
          <w:p w14:paraId="79C179F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98" w:type="dxa"/>
            <w:gridSpan w:val="3"/>
            <w:tcBorders>
              <w:top w:val="single" w:sz="4" w:space="0" w:color="000000"/>
              <w:left w:val="nil"/>
              <w:bottom w:val="nil"/>
              <w:right w:val="single" w:sz="4" w:space="0" w:color="000000"/>
            </w:tcBorders>
            <w:shd w:val="clear" w:color="000000" w:fill="FFFFFF"/>
            <w:hideMark/>
          </w:tcPr>
          <w:p w14:paraId="0E70A38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gridSpan w:val="3"/>
            <w:tcBorders>
              <w:top w:val="single" w:sz="4" w:space="0" w:color="000000"/>
              <w:left w:val="nil"/>
              <w:bottom w:val="nil"/>
              <w:right w:val="single" w:sz="4" w:space="0" w:color="000000"/>
            </w:tcBorders>
            <w:shd w:val="clear" w:color="000000" w:fill="FFFFFF"/>
            <w:hideMark/>
          </w:tcPr>
          <w:p w14:paraId="123DCE0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7" w:type="dxa"/>
            <w:gridSpan w:val="4"/>
            <w:tcBorders>
              <w:top w:val="single" w:sz="4" w:space="0" w:color="000000"/>
              <w:left w:val="nil"/>
              <w:bottom w:val="nil"/>
              <w:right w:val="single" w:sz="4" w:space="0" w:color="000000"/>
            </w:tcBorders>
            <w:shd w:val="clear" w:color="000000" w:fill="FFFFFF"/>
            <w:hideMark/>
          </w:tcPr>
          <w:p w14:paraId="6814C80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tcBorders>
              <w:top w:val="nil"/>
              <w:left w:val="nil"/>
              <w:bottom w:val="nil"/>
              <w:right w:val="single" w:sz="4" w:space="0" w:color="000000"/>
            </w:tcBorders>
            <w:shd w:val="clear" w:color="000000" w:fill="FFFFFF"/>
            <w:hideMark/>
          </w:tcPr>
          <w:p w14:paraId="004B130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2D55CD24"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3372D44C"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Amortização da Dívida Interna</w:t>
            </w:r>
          </w:p>
        </w:tc>
        <w:tc>
          <w:tcPr>
            <w:tcW w:w="280" w:type="dxa"/>
            <w:tcBorders>
              <w:top w:val="nil"/>
              <w:left w:val="nil"/>
              <w:bottom w:val="nil"/>
              <w:right w:val="single" w:sz="4" w:space="0" w:color="000000"/>
            </w:tcBorders>
            <w:shd w:val="clear" w:color="000000" w:fill="FFFFFF"/>
            <w:hideMark/>
          </w:tcPr>
          <w:p w14:paraId="574728CC"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5FF4F4F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gridSpan w:val="4"/>
            <w:tcBorders>
              <w:top w:val="nil"/>
              <w:left w:val="nil"/>
              <w:bottom w:val="nil"/>
              <w:right w:val="single" w:sz="4" w:space="0" w:color="000000"/>
            </w:tcBorders>
            <w:shd w:val="clear" w:color="000000" w:fill="FFFFFF"/>
            <w:hideMark/>
          </w:tcPr>
          <w:p w14:paraId="5367C12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98" w:type="dxa"/>
            <w:gridSpan w:val="3"/>
            <w:tcBorders>
              <w:top w:val="nil"/>
              <w:left w:val="nil"/>
              <w:bottom w:val="nil"/>
              <w:right w:val="single" w:sz="4" w:space="0" w:color="000000"/>
            </w:tcBorders>
            <w:shd w:val="clear" w:color="000000" w:fill="FFFFFF"/>
            <w:hideMark/>
          </w:tcPr>
          <w:p w14:paraId="4E69482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gridSpan w:val="3"/>
            <w:tcBorders>
              <w:top w:val="nil"/>
              <w:left w:val="nil"/>
              <w:bottom w:val="nil"/>
              <w:right w:val="single" w:sz="4" w:space="0" w:color="000000"/>
            </w:tcBorders>
            <w:shd w:val="clear" w:color="000000" w:fill="FFFFFF"/>
            <w:hideMark/>
          </w:tcPr>
          <w:p w14:paraId="38013A3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7" w:type="dxa"/>
            <w:gridSpan w:val="4"/>
            <w:tcBorders>
              <w:top w:val="nil"/>
              <w:left w:val="nil"/>
              <w:bottom w:val="nil"/>
              <w:right w:val="single" w:sz="4" w:space="0" w:color="000000"/>
            </w:tcBorders>
            <w:shd w:val="clear" w:color="000000" w:fill="FFFFFF"/>
            <w:hideMark/>
          </w:tcPr>
          <w:p w14:paraId="2222044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tcBorders>
              <w:top w:val="nil"/>
              <w:left w:val="nil"/>
              <w:bottom w:val="nil"/>
              <w:right w:val="single" w:sz="4" w:space="0" w:color="000000"/>
            </w:tcBorders>
            <w:shd w:val="clear" w:color="000000" w:fill="FFFFFF"/>
            <w:hideMark/>
          </w:tcPr>
          <w:p w14:paraId="0E09E9A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5AF87337"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4FABA243"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Dívida Mobiliária</w:t>
            </w:r>
          </w:p>
        </w:tc>
        <w:tc>
          <w:tcPr>
            <w:tcW w:w="280" w:type="dxa"/>
            <w:tcBorders>
              <w:top w:val="nil"/>
              <w:left w:val="nil"/>
              <w:bottom w:val="nil"/>
              <w:right w:val="single" w:sz="4" w:space="0" w:color="000000"/>
            </w:tcBorders>
            <w:shd w:val="clear" w:color="000000" w:fill="FFFFFF"/>
            <w:hideMark/>
          </w:tcPr>
          <w:p w14:paraId="067CC96C"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7C47E8FB"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gridSpan w:val="4"/>
            <w:tcBorders>
              <w:top w:val="nil"/>
              <w:left w:val="nil"/>
              <w:bottom w:val="nil"/>
              <w:right w:val="single" w:sz="4" w:space="0" w:color="000000"/>
            </w:tcBorders>
            <w:shd w:val="clear" w:color="000000" w:fill="FFFFFF"/>
            <w:hideMark/>
          </w:tcPr>
          <w:p w14:paraId="6DC1E097"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98" w:type="dxa"/>
            <w:gridSpan w:val="3"/>
            <w:tcBorders>
              <w:top w:val="nil"/>
              <w:left w:val="nil"/>
              <w:bottom w:val="nil"/>
              <w:right w:val="single" w:sz="4" w:space="0" w:color="000000"/>
            </w:tcBorders>
            <w:shd w:val="clear" w:color="000000" w:fill="FFFFFF"/>
            <w:hideMark/>
          </w:tcPr>
          <w:p w14:paraId="41D1E0FD"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gridSpan w:val="3"/>
            <w:tcBorders>
              <w:top w:val="nil"/>
              <w:left w:val="nil"/>
              <w:bottom w:val="nil"/>
              <w:right w:val="single" w:sz="4" w:space="0" w:color="000000"/>
            </w:tcBorders>
            <w:shd w:val="clear" w:color="000000" w:fill="FFFFFF"/>
            <w:hideMark/>
          </w:tcPr>
          <w:p w14:paraId="2BB1258D"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7" w:type="dxa"/>
            <w:gridSpan w:val="4"/>
            <w:tcBorders>
              <w:top w:val="nil"/>
              <w:left w:val="nil"/>
              <w:bottom w:val="nil"/>
              <w:right w:val="single" w:sz="4" w:space="0" w:color="000000"/>
            </w:tcBorders>
            <w:shd w:val="clear" w:color="000000" w:fill="FFFFFF"/>
            <w:hideMark/>
          </w:tcPr>
          <w:p w14:paraId="45FA4B51"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tcBorders>
              <w:top w:val="nil"/>
              <w:left w:val="nil"/>
              <w:bottom w:val="nil"/>
              <w:right w:val="single" w:sz="4" w:space="0" w:color="000000"/>
            </w:tcBorders>
            <w:shd w:val="clear" w:color="000000" w:fill="FFFFFF"/>
            <w:hideMark/>
          </w:tcPr>
          <w:p w14:paraId="2E284C00"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08D79205"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0868EF4F"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Outras Dívidas</w:t>
            </w:r>
          </w:p>
        </w:tc>
        <w:tc>
          <w:tcPr>
            <w:tcW w:w="280" w:type="dxa"/>
            <w:tcBorders>
              <w:top w:val="nil"/>
              <w:left w:val="nil"/>
              <w:bottom w:val="nil"/>
              <w:right w:val="single" w:sz="4" w:space="0" w:color="000000"/>
            </w:tcBorders>
            <w:shd w:val="clear" w:color="000000" w:fill="FFFFFF"/>
            <w:hideMark/>
          </w:tcPr>
          <w:p w14:paraId="3CB15382"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79DD89B3"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gridSpan w:val="4"/>
            <w:tcBorders>
              <w:top w:val="nil"/>
              <w:left w:val="nil"/>
              <w:bottom w:val="nil"/>
              <w:right w:val="single" w:sz="4" w:space="0" w:color="000000"/>
            </w:tcBorders>
            <w:shd w:val="clear" w:color="000000" w:fill="FFFFFF"/>
            <w:hideMark/>
          </w:tcPr>
          <w:p w14:paraId="42F8924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98" w:type="dxa"/>
            <w:gridSpan w:val="3"/>
            <w:tcBorders>
              <w:top w:val="nil"/>
              <w:left w:val="nil"/>
              <w:bottom w:val="nil"/>
              <w:right w:val="single" w:sz="4" w:space="0" w:color="000000"/>
            </w:tcBorders>
            <w:shd w:val="clear" w:color="000000" w:fill="FFFFFF"/>
            <w:hideMark/>
          </w:tcPr>
          <w:p w14:paraId="5511CB52"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gridSpan w:val="3"/>
            <w:tcBorders>
              <w:top w:val="nil"/>
              <w:left w:val="nil"/>
              <w:bottom w:val="nil"/>
              <w:right w:val="single" w:sz="4" w:space="0" w:color="000000"/>
            </w:tcBorders>
            <w:shd w:val="clear" w:color="000000" w:fill="FFFFFF"/>
            <w:hideMark/>
          </w:tcPr>
          <w:p w14:paraId="26B1F4D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7" w:type="dxa"/>
            <w:gridSpan w:val="4"/>
            <w:tcBorders>
              <w:top w:val="nil"/>
              <w:left w:val="nil"/>
              <w:bottom w:val="nil"/>
              <w:right w:val="single" w:sz="4" w:space="0" w:color="000000"/>
            </w:tcBorders>
            <w:shd w:val="clear" w:color="000000" w:fill="FFFFFF"/>
            <w:hideMark/>
          </w:tcPr>
          <w:p w14:paraId="140A8CBD"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tcBorders>
              <w:top w:val="nil"/>
              <w:left w:val="nil"/>
              <w:bottom w:val="nil"/>
              <w:right w:val="single" w:sz="4" w:space="0" w:color="000000"/>
            </w:tcBorders>
            <w:shd w:val="clear" w:color="000000" w:fill="FFFFFF"/>
            <w:hideMark/>
          </w:tcPr>
          <w:p w14:paraId="73C5DDB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5029F526"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510989E1"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Amortização da Dívida Externa</w:t>
            </w:r>
          </w:p>
        </w:tc>
        <w:tc>
          <w:tcPr>
            <w:tcW w:w="280" w:type="dxa"/>
            <w:tcBorders>
              <w:top w:val="nil"/>
              <w:left w:val="nil"/>
              <w:bottom w:val="nil"/>
              <w:right w:val="single" w:sz="4" w:space="0" w:color="000000"/>
            </w:tcBorders>
            <w:shd w:val="clear" w:color="000000" w:fill="FFFFFF"/>
            <w:hideMark/>
          </w:tcPr>
          <w:p w14:paraId="75FB6230"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47F2C96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gridSpan w:val="4"/>
            <w:tcBorders>
              <w:top w:val="nil"/>
              <w:left w:val="nil"/>
              <w:bottom w:val="nil"/>
              <w:right w:val="single" w:sz="4" w:space="0" w:color="000000"/>
            </w:tcBorders>
            <w:shd w:val="clear" w:color="000000" w:fill="FFFFFF"/>
            <w:hideMark/>
          </w:tcPr>
          <w:p w14:paraId="4824E83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98" w:type="dxa"/>
            <w:gridSpan w:val="3"/>
            <w:tcBorders>
              <w:top w:val="nil"/>
              <w:left w:val="nil"/>
              <w:bottom w:val="nil"/>
              <w:right w:val="single" w:sz="4" w:space="0" w:color="000000"/>
            </w:tcBorders>
            <w:shd w:val="clear" w:color="000000" w:fill="FFFFFF"/>
            <w:hideMark/>
          </w:tcPr>
          <w:p w14:paraId="4AECFBC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gridSpan w:val="3"/>
            <w:tcBorders>
              <w:top w:val="nil"/>
              <w:left w:val="nil"/>
              <w:bottom w:val="nil"/>
              <w:right w:val="single" w:sz="4" w:space="0" w:color="000000"/>
            </w:tcBorders>
            <w:shd w:val="clear" w:color="000000" w:fill="FFFFFF"/>
            <w:hideMark/>
          </w:tcPr>
          <w:p w14:paraId="0084599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7" w:type="dxa"/>
            <w:gridSpan w:val="4"/>
            <w:tcBorders>
              <w:top w:val="nil"/>
              <w:left w:val="nil"/>
              <w:bottom w:val="nil"/>
              <w:right w:val="single" w:sz="4" w:space="0" w:color="000000"/>
            </w:tcBorders>
            <w:shd w:val="clear" w:color="000000" w:fill="FFFFFF"/>
            <w:hideMark/>
          </w:tcPr>
          <w:p w14:paraId="706E9EB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478" w:type="dxa"/>
            <w:tcBorders>
              <w:top w:val="nil"/>
              <w:left w:val="nil"/>
              <w:bottom w:val="nil"/>
              <w:right w:val="single" w:sz="4" w:space="0" w:color="000000"/>
            </w:tcBorders>
            <w:shd w:val="clear" w:color="000000" w:fill="FFFFFF"/>
            <w:hideMark/>
          </w:tcPr>
          <w:p w14:paraId="5ECBEC0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5B15E388"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74AE8646"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Dívida Mobiliária</w:t>
            </w:r>
          </w:p>
        </w:tc>
        <w:tc>
          <w:tcPr>
            <w:tcW w:w="280" w:type="dxa"/>
            <w:tcBorders>
              <w:top w:val="nil"/>
              <w:left w:val="nil"/>
              <w:bottom w:val="nil"/>
              <w:right w:val="single" w:sz="4" w:space="0" w:color="000000"/>
            </w:tcBorders>
            <w:shd w:val="clear" w:color="000000" w:fill="FFFFFF"/>
            <w:hideMark/>
          </w:tcPr>
          <w:p w14:paraId="6662129B"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5B70A2CB"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gridSpan w:val="4"/>
            <w:tcBorders>
              <w:top w:val="nil"/>
              <w:left w:val="nil"/>
              <w:bottom w:val="nil"/>
              <w:right w:val="single" w:sz="4" w:space="0" w:color="000000"/>
            </w:tcBorders>
            <w:shd w:val="clear" w:color="000000" w:fill="FFFFFF"/>
            <w:hideMark/>
          </w:tcPr>
          <w:p w14:paraId="0B222176"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98" w:type="dxa"/>
            <w:gridSpan w:val="3"/>
            <w:tcBorders>
              <w:top w:val="nil"/>
              <w:left w:val="nil"/>
              <w:bottom w:val="nil"/>
              <w:right w:val="single" w:sz="4" w:space="0" w:color="000000"/>
            </w:tcBorders>
            <w:shd w:val="clear" w:color="000000" w:fill="FFFFFF"/>
            <w:hideMark/>
          </w:tcPr>
          <w:p w14:paraId="376A6BE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gridSpan w:val="3"/>
            <w:tcBorders>
              <w:top w:val="nil"/>
              <w:left w:val="nil"/>
              <w:bottom w:val="nil"/>
              <w:right w:val="single" w:sz="4" w:space="0" w:color="000000"/>
            </w:tcBorders>
            <w:shd w:val="clear" w:color="000000" w:fill="FFFFFF"/>
            <w:hideMark/>
          </w:tcPr>
          <w:p w14:paraId="08BB6EEB"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7" w:type="dxa"/>
            <w:gridSpan w:val="4"/>
            <w:tcBorders>
              <w:top w:val="nil"/>
              <w:left w:val="nil"/>
              <w:bottom w:val="nil"/>
              <w:right w:val="single" w:sz="4" w:space="0" w:color="000000"/>
            </w:tcBorders>
            <w:shd w:val="clear" w:color="000000" w:fill="FFFFFF"/>
            <w:hideMark/>
          </w:tcPr>
          <w:p w14:paraId="199ADE9A"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tcBorders>
              <w:top w:val="nil"/>
              <w:left w:val="nil"/>
              <w:bottom w:val="nil"/>
              <w:right w:val="single" w:sz="4" w:space="0" w:color="000000"/>
            </w:tcBorders>
            <w:shd w:val="clear" w:color="000000" w:fill="FFFFFF"/>
            <w:hideMark/>
          </w:tcPr>
          <w:p w14:paraId="655A7A62"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31E5D942" w14:textId="77777777" w:rsidTr="00103CC2">
        <w:trPr>
          <w:trHeight w:val="199"/>
        </w:trPr>
        <w:tc>
          <w:tcPr>
            <w:tcW w:w="4872" w:type="dxa"/>
            <w:gridSpan w:val="8"/>
            <w:tcBorders>
              <w:top w:val="nil"/>
              <w:left w:val="single" w:sz="4" w:space="0" w:color="000000"/>
              <w:bottom w:val="nil"/>
              <w:right w:val="single" w:sz="4" w:space="0" w:color="000000"/>
            </w:tcBorders>
            <w:shd w:val="clear" w:color="000000" w:fill="FFFFFF"/>
            <w:hideMark/>
          </w:tcPr>
          <w:p w14:paraId="71C6C1C1"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xml:space="preserve">        Outras Dívidas</w:t>
            </w:r>
          </w:p>
        </w:tc>
        <w:tc>
          <w:tcPr>
            <w:tcW w:w="280" w:type="dxa"/>
            <w:tcBorders>
              <w:top w:val="nil"/>
              <w:left w:val="nil"/>
              <w:bottom w:val="nil"/>
              <w:right w:val="single" w:sz="4" w:space="0" w:color="000000"/>
            </w:tcBorders>
            <w:shd w:val="clear" w:color="000000" w:fill="FFFFFF"/>
            <w:hideMark/>
          </w:tcPr>
          <w:p w14:paraId="7103F1C9"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 </w:t>
            </w:r>
          </w:p>
        </w:tc>
        <w:tc>
          <w:tcPr>
            <w:tcW w:w="1479" w:type="dxa"/>
            <w:gridSpan w:val="3"/>
            <w:tcBorders>
              <w:top w:val="nil"/>
              <w:left w:val="nil"/>
              <w:bottom w:val="nil"/>
              <w:right w:val="single" w:sz="4" w:space="0" w:color="000000"/>
            </w:tcBorders>
            <w:shd w:val="clear" w:color="000000" w:fill="FFFFFF"/>
            <w:hideMark/>
          </w:tcPr>
          <w:p w14:paraId="3F5FA2C8"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gridSpan w:val="4"/>
            <w:tcBorders>
              <w:top w:val="nil"/>
              <w:left w:val="nil"/>
              <w:bottom w:val="nil"/>
              <w:right w:val="single" w:sz="4" w:space="0" w:color="000000"/>
            </w:tcBorders>
            <w:shd w:val="clear" w:color="000000" w:fill="FFFFFF"/>
            <w:hideMark/>
          </w:tcPr>
          <w:p w14:paraId="52F4A8B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98" w:type="dxa"/>
            <w:gridSpan w:val="3"/>
            <w:tcBorders>
              <w:top w:val="nil"/>
              <w:left w:val="nil"/>
              <w:bottom w:val="nil"/>
              <w:right w:val="single" w:sz="4" w:space="0" w:color="000000"/>
            </w:tcBorders>
            <w:shd w:val="clear" w:color="000000" w:fill="FFFFFF"/>
            <w:hideMark/>
          </w:tcPr>
          <w:p w14:paraId="0EFA9C47"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gridSpan w:val="3"/>
            <w:tcBorders>
              <w:top w:val="nil"/>
              <w:left w:val="nil"/>
              <w:bottom w:val="nil"/>
              <w:right w:val="single" w:sz="4" w:space="0" w:color="000000"/>
            </w:tcBorders>
            <w:shd w:val="clear" w:color="000000" w:fill="FFFFFF"/>
            <w:hideMark/>
          </w:tcPr>
          <w:p w14:paraId="3F4A110E"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7" w:type="dxa"/>
            <w:gridSpan w:val="4"/>
            <w:tcBorders>
              <w:top w:val="nil"/>
              <w:left w:val="nil"/>
              <w:bottom w:val="nil"/>
              <w:right w:val="single" w:sz="4" w:space="0" w:color="000000"/>
            </w:tcBorders>
            <w:shd w:val="clear" w:color="000000" w:fill="FFFFFF"/>
            <w:hideMark/>
          </w:tcPr>
          <w:p w14:paraId="177D27F2"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c>
          <w:tcPr>
            <w:tcW w:w="1478" w:type="dxa"/>
            <w:tcBorders>
              <w:top w:val="nil"/>
              <w:left w:val="nil"/>
              <w:bottom w:val="nil"/>
              <w:right w:val="single" w:sz="4" w:space="0" w:color="000000"/>
            </w:tcBorders>
            <w:shd w:val="clear" w:color="000000" w:fill="FFFFFF"/>
            <w:hideMark/>
          </w:tcPr>
          <w:p w14:paraId="37722AEF" w14:textId="77777777" w:rsidR="00103CC2" w:rsidRPr="00103CC2" w:rsidRDefault="00103CC2" w:rsidP="00103CC2">
            <w:pPr>
              <w:widowControl/>
              <w:suppressAutoHyphens w:val="0"/>
              <w:autoSpaceDN/>
              <w:jc w:val="right"/>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w:t>
            </w:r>
          </w:p>
        </w:tc>
      </w:tr>
      <w:tr w:rsidR="00103CC2" w:rsidRPr="00103CC2" w14:paraId="4D55F48D" w14:textId="77777777" w:rsidTr="00103CC2">
        <w:trPr>
          <w:trHeight w:val="199"/>
        </w:trPr>
        <w:tc>
          <w:tcPr>
            <w:tcW w:w="4872" w:type="dxa"/>
            <w:gridSpan w:val="8"/>
            <w:tcBorders>
              <w:top w:val="single" w:sz="4" w:space="0" w:color="000000"/>
              <w:left w:val="single" w:sz="4" w:space="0" w:color="000000"/>
              <w:bottom w:val="single" w:sz="4" w:space="0" w:color="000000"/>
              <w:right w:val="single" w:sz="4" w:space="0" w:color="000000"/>
            </w:tcBorders>
            <w:shd w:val="clear" w:color="000000" w:fill="FFFFFF"/>
            <w:hideMark/>
          </w:tcPr>
          <w:p w14:paraId="59CC88EC"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SUBTOTAL COM REFINANCIAMENTO</w:t>
            </w:r>
          </w:p>
        </w:tc>
        <w:tc>
          <w:tcPr>
            <w:tcW w:w="280" w:type="dxa"/>
            <w:tcBorders>
              <w:top w:val="single" w:sz="4" w:space="0" w:color="000000"/>
              <w:left w:val="nil"/>
              <w:bottom w:val="single" w:sz="4" w:space="0" w:color="000000"/>
              <w:right w:val="single" w:sz="4" w:space="0" w:color="000000"/>
            </w:tcBorders>
            <w:shd w:val="clear" w:color="000000" w:fill="FFFFFF"/>
            <w:hideMark/>
          </w:tcPr>
          <w:p w14:paraId="16ADBEAC"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single" w:sz="4" w:space="0" w:color="000000"/>
              <w:left w:val="nil"/>
              <w:bottom w:val="single" w:sz="4" w:space="0" w:color="000000"/>
              <w:right w:val="single" w:sz="4" w:space="0" w:color="000000"/>
            </w:tcBorders>
            <w:shd w:val="clear" w:color="000000" w:fill="FFFFFF"/>
            <w:hideMark/>
          </w:tcPr>
          <w:p w14:paraId="2278866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33.217.196.998,00</w:t>
            </w:r>
          </w:p>
        </w:tc>
        <w:tc>
          <w:tcPr>
            <w:tcW w:w="1478" w:type="dxa"/>
            <w:gridSpan w:val="4"/>
            <w:tcBorders>
              <w:top w:val="single" w:sz="4" w:space="0" w:color="000000"/>
              <w:left w:val="nil"/>
              <w:bottom w:val="single" w:sz="4" w:space="0" w:color="000000"/>
              <w:right w:val="single" w:sz="4" w:space="0" w:color="000000"/>
            </w:tcBorders>
            <w:shd w:val="clear" w:color="000000" w:fill="FFFFFF"/>
            <w:hideMark/>
          </w:tcPr>
          <w:p w14:paraId="04C906E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37.211.352.763,00</w:t>
            </w:r>
          </w:p>
        </w:tc>
        <w:tc>
          <w:tcPr>
            <w:tcW w:w="1498" w:type="dxa"/>
            <w:gridSpan w:val="3"/>
            <w:tcBorders>
              <w:top w:val="single" w:sz="4" w:space="0" w:color="000000"/>
              <w:left w:val="nil"/>
              <w:bottom w:val="single" w:sz="4" w:space="0" w:color="000000"/>
              <w:right w:val="single" w:sz="4" w:space="0" w:color="000000"/>
            </w:tcBorders>
            <w:shd w:val="clear" w:color="000000" w:fill="FFFFFF"/>
            <w:hideMark/>
          </w:tcPr>
          <w:p w14:paraId="2F1B359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33.083.053.299,40</w:t>
            </w:r>
          </w:p>
        </w:tc>
        <w:tc>
          <w:tcPr>
            <w:tcW w:w="1478" w:type="dxa"/>
            <w:gridSpan w:val="3"/>
            <w:tcBorders>
              <w:top w:val="single" w:sz="4" w:space="0" w:color="000000"/>
              <w:left w:val="nil"/>
              <w:bottom w:val="single" w:sz="4" w:space="0" w:color="000000"/>
              <w:right w:val="single" w:sz="4" w:space="0" w:color="000000"/>
            </w:tcBorders>
            <w:shd w:val="clear" w:color="000000" w:fill="FFFFFF"/>
            <w:hideMark/>
          </w:tcPr>
          <w:p w14:paraId="41E4DCD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21.351.319.991,68</w:t>
            </w:r>
          </w:p>
        </w:tc>
        <w:tc>
          <w:tcPr>
            <w:tcW w:w="1477" w:type="dxa"/>
            <w:gridSpan w:val="4"/>
            <w:tcBorders>
              <w:top w:val="single" w:sz="4" w:space="0" w:color="000000"/>
              <w:left w:val="nil"/>
              <w:bottom w:val="single" w:sz="4" w:space="0" w:color="000000"/>
              <w:right w:val="single" w:sz="4" w:space="0" w:color="000000"/>
            </w:tcBorders>
            <w:shd w:val="clear" w:color="000000" w:fill="FFFFFF"/>
            <w:hideMark/>
          </w:tcPr>
          <w:p w14:paraId="03F91A4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21.078.270.621,16</w:t>
            </w:r>
          </w:p>
        </w:tc>
        <w:tc>
          <w:tcPr>
            <w:tcW w:w="1478" w:type="dxa"/>
            <w:tcBorders>
              <w:top w:val="single" w:sz="4" w:space="0" w:color="000000"/>
              <w:left w:val="nil"/>
              <w:bottom w:val="single" w:sz="4" w:space="0" w:color="000000"/>
              <w:right w:val="single" w:sz="4" w:space="0" w:color="000000"/>
            </w:tcBorders>
            <w:shd w:val="clear" w:color="000000" w:fill="FFFFFF"/>
            <w:hideMark/>
          </w:tcPr>
          <w:p w14:paraId="06718DB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4.128.299.463,60</w:t>
            </w:r>
          </w:p>
        </w:tc>
      </w:tr>
      <w:tr w:rsidR="00103CC2" w:rsidRPr="00103CC2" w14:paraId="196527B5" w14:textId="77777777" w:rsidTr="00103CC2">
        <w:trPr>
          <w:trHeight w:val="199"/>
        </w:trPr>
        <w:tc>
          <w:tcPr>
            <w:tcW w:w="4872" w:type="dxa"/>
            <w:gridSpan w:val="8"/>
            <w:tcBorders>
              <w:top w:val="single" w:sz="4" w:space="0" w:color="000000"/>
              <w:left w:val="single" w:sz="4" w:space="0" w:color="000000"/>
              <w:bottom w:val="nil"/>
              <w:right w:val="single" w:sz="4" w:space="0" w:color="000000"/>
            </w:tcBorders>
            <w:shd w:val="clear" w:color="000000" w:fill="FFFFFF"/>
            <w:hideMark/>
          </w:tcPr>
          <w:p w14:paraId="7593ADF8"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TOTAL</w:t>
            </w:r>
          </w:p>
        </w:tc>
        <w:tc>
          <w:tcPr>
            <w:tcW w:w="280" w:type="dxa"/>
            <w:tcBorders>
              <w:top w:val="nil"/>
              <w:left w:val="nil"/>
              <w:bottom w:val="nil"/>
              <w:right w:val="single" w:sz="4" w:space="0" w:color="000000"/>
            </w:tcBorders>
            <w:shd w:val="clear" w:color="000000" w:fill="FFFFFF"/>
            <w:hideMark/>
          </w:tcPr>
          <w:p w14:paraId="3D8600C0"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479" w:type="dxa"/>
            <w:gridSpan w:val="3"/>
            <w:tcBorders>
              <w:top w:val="single" w:sz="4" w:space="0" w:color="000000"/>
              <w:left w:val="nil"/>
              <w:bottom w:val="nil"/>
              <w:right w:val="single" w:sz="4" w:space="0" w:color="000000"/>
            </w:tcBorders>
            <w:shd w:val="clear" w:color="000000" w:fill="FFFFFF"/>
            <w:hideMark/>
          </w:tcPr>
          <w:p w14:paraId="58D790C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33.217.196.998,00</w:t>
            </w:r>
          </w:p>
        </w:tc>
        <w:tc>
          <w:tcPr>
            <w:tcW w:w="1478" w:type="dxa"/>
            <w:gridSpan w:val="4"/>
            <w:tcBorders>
              <w:top w:val="single" w:sz="4" w:space="0" w:color="000000"/>
              <w:left w:val="nil"/>
              <w:bottom w:val="nil"/>
              <w:right w:val="single" w:sz="4" w:space="0" w:color="000000"/>
            </w:tcBorders>
            <w:shd w:val="clear" w:color="000000" w:fill="FFFFFF"/>
            <w:hideMark/>
          </w:tcPr>
          <w:p w14:paraId="60D90F2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37.211.352.763,00</w:t>
            </w:r>
          </w:p>
        </w:tc>
        <w:tc>
          <w:tcPr>
            <w:tcW w:w="1498" w:type="dxa"/>
            <w:gridSpan w:val="3"/>
            <w:tcBorders>
              <w:top w:val="single" w:sz="4" w:space="0" w:color="000000"/>
              <w:left w:val="nil"/>
              <w:bottom w:val="nil"/>
              <w:right w:val="single" w:sz="4" w:space="0" w:color="000000"/>
            </w:tcBorders>
            <w:shd w:val="clear" w:color="000000" w:fill="FFFFFF"/>
            <w:hideMark/>
          </w:tcPr>
          <w:p w14:paraId="02266F1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33.083.053.299,40</w:t>
            </w:r>
          </w:p>
        </w:tc>
        <w:tc>
          <w:tcPr>
            <w:tcW w:w="1478" w:type="dxa"/>
            <w:gridSpan w:val="3"/>
            <w:tcBorders>
              <w:top w:val="single" w:sz="4" w:space="0" w:color="000000"/>
              <w:left w:val="nil"/>
              <w:bottom w:val="nil"/>
              <w:right w:val="single" w:sz="4" w:space="0" w:color="000000"/>
            </w:tcBorders>
            <w:shd w:val="clear" w:color="000000" w:fill="FFFFFF"/>
            <w:hideMark/>
          </w:tcPr>
          <w:p w14:paraId="1780496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21.351.319.991,68</w:t>
            </w:r>
          </w:p>
        </w:tc>
        <w:tc>
          <w:tcPr>
            <w:tcW w:w="1477" w:type="dxa"/>
            <w:gridSpan w:val="4"/>
            <w:tcBorders>
              <w:top w:val="single" w:sz="4" w:space="0" w:color="000000"/>
              <w:left w:val="nil"/>
              <w:bottom w:val="nil"/>
              <w:right w:val="single" w:sz="4" w:space="0" w:color="000000"/>
            </w:tcBorders>
            <w:shd w:val="clear" w:color="000000" w:fill="FFFFFF"/>
            <w:hideMark/>
          </w:tcPr>
          <w:p w14:paraId="2F8CC6E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21.078.270.621,16</w:t>
            </w:r>
          </w:p>
        </w:tc>
        <w:tc>
          <w:tcPr>
            <w:tcW w:w="1478" w:type="dxa"/>
            <w:tcBorders>
              <w:top w:val="nil"/>
              <w:left w:val="nil"/>
              <w:bottom w:val="nil"/>
              <w:right w:val="single" w:sz="4" w:space="0" w:color="000000"/>
            </w:tcBorders>
            <w:shd w:val="clear" w:color="000000" w:fill="FFFFFF"/>
            <w:hideMark/>
          </w:tcPr>
          <w:p w14:paraId="46B7EF5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4.128.299.463,60</w:t>
            </w:r>
          </w:p>
        </w:tc>
      </w:tr>
      <w:tr w:rsidR="00103CC2" w:rsidRPr="00103CC2" w14:paraId="1D76FCAC" w14:textId="77777777" w:rsidTr="00103CC2">
        <w:trPr>
          <w:trHeight w:val="19"/>
        </w:trPr>
        <w:tc>
          <w:tcPr>
            <w:tcW w:w="14040" w:type="dxa"/>
            <w:gridSpan w:val="27"/>
            <w:tcBorders>
              <w:top w:val="single" w:sz="4" w:space="0" w:color="000000"/>
              <w:left w:val="nil"/>
              <w:bottom w:val="nil"/>
              <w:right w:val="nil"/>
            </w:tcBorders>
            <w:shd w:val="clear" w:color="000000" w:fill="FFFFFF"/>
            <w:hideMark/>
          </w:tcPr>
          <w:p w14:paraId="58B11B7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7C686EC8" w14:textId="77777777" w:rsidTr="00103CC2">
        <w:trPr>
          <w:trHeight w:val="199"/>
        </w:trPr>
        <w:tc>
          <w:tcPr>
            <w:tcW w:w="619" w:type="dxa"/>
            <w:tcBorders>
              <w:top w:val="nil"/>
              <w:left w:val="nil"/>
              <w:bottom w:val="nil"/>
              <w:right w:val="nil"/>
            </w:tcBorders>
            <w:shd w:val="clear" w:color="000000" w:fill="FFFFFF"/>
            <w:hideMark/>
          </w:tcPr>
          <w:p w14:paraId="78C8098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0" w:type="dxa"/>
            <w:tcBorders>
              <w:top w:val="nil"/>
              <w:left w:val="nil"/>
              <w:bottom w:val="nil"/>
              <w:right w:val="nil"/>
            </w:tcBorders>
            <w:shd w:val="clear" w:color="000000" w:fill="FFFFFF"/>
            <w:hideMark/>
          </w:tcPr>
          <w:p w14:paraId="2D2379D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4505B3E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06D452E2"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77" w:type="dxa"/>
            <w:tcBorders>
              <w:top w:val="nil"/>
              <w:left w:val="nil"/>
              <w:bottom w:val="nil"/>
              <w:right w:val="nil"/>
            </w:tcBorders>
            <w:shd w:val="clear" w:color="000000" w:fill="FFFFFF"/>
            <w:hideMark/>
          </w:tcPr>
          <w:p w14:paraId="1A7C5C0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2FE34DA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777" w:type="dxa"/>
            <w:tcBorders>
              <w:top w:val="nil"/>
              <w:left w:val="nil"/>
              <w:bottom w:val="nil"/>
              <w:right w:val="nil"/>
            </w:tcBorders>
            <w:shd w:val="clear" w:color="000000" w:fill="FFFFFF"/>
            <w:hideMark/>
          </w:tcPr>
          <w:p w14:paraId="3E27336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00EC86B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0CF8AAB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00" w:type="dxa"/>
            <w:tcBorders>
              <w:top w:val="nil"/>
              <w:left w:val="nil"/>
              <w:bottom w:val="nil"/>
              <w:right w:val="nil"/>
            </w:tcBorders>
            <w:shd w:val="clear" w:color="000000" w:fill="FFFFFF"/>
            <w:hideMark/>
          </w:tcPr>
          <w:p w14:paraId="3ABAFE7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0" w:type="dxa"/>
            <w:tcBorders>
              <w:top w:val="nil"/>
              <w:left w:val="nil"/>
              <w:bottom w:val="nil"/>
              <w:right w:val="nil"/>
            </w:tcBorders>
            <w:shd w:val="clear" w:color="000000" w:fill="FFFFFF"/>
            <w:hideMark/>
          </w:tcPr>
          <w:p w14:paraId="32C0C62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79" w:type="dxa"/>
            <w:tcBorders>
              <w:top w:val="nil"/>
              <w:left w:val="nil"/>
              <w:bottom w:val="nil"/>
              <w:right w:val="nil"/>
            </w:tcBorders>
            <w:shd w:val="clear" w:color="000000" w:fill="FFFFFF"/>
            <w:hideMark/>
          </w:tcPr>
          <w:p w14:paraId="287DA64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77608D7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79" w:type="dxa"/>
            <w:tcBorders>
              <w:top w:val="nil"/>
              <w:left w:val="nil"/>
              <w:bottom w:val="nil"/>
              <w:right w:val="nil"/>
            </w:tcBorders>
            <w:shd w:val="clear" w:color="000000" w:fill="FFFFFF"/>
            <w:hideMark/>
          </w:tcPr>
          <w:p w14:paraId="4E1F02DD"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0" w:type="dxa"/>
            <w:tcBorders>
              <w:top w:val="nil"/>
              <w:left w:val="nil"/>
              <w:bottom w:val="nil"/>
              <w:right w:val="nil"/>
            </w:tcBorders>
            <w:shd w:val="clear" w:color="000000" w:fill="FFFFFF"/>
            <w:hideMark/>
          </w:tcPr>
          <w:p w14:paraId="16BDB7D2"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0741BD79"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80" w:type="dxa"/>
            <w:tcBorders>
              <w:top w:val="nil"/>
              <w:left w:val="nil"/>
              <w:bottom w:val="nil"/>
              <w:right w:val="nil"/>
            </w:tcBorders>
            <w:shd w:val="clear" w:color="000000" w:fill="FFFFFF"/>
            <w:hideMark/>
          </w:tcPr>
          <w:p w14:paraId="000E77B2"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978" w:type="dxa"/>
            <w:tcBorders>
              <w:top w:val="nil"/>
              <w:left w:val="nil"/>
              <w:bottom w:val="nil"/>
              <w:right w:val="nil"/>
            </w:tcBorders>
            <w:shd w:val="clear" w:color="000000" w:fill="FFFFFF"/>
            <w:hideMark/>
          </w:tcPr>
          <w:p w14:paraId="461285A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4F9D8AD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0" w:type="dxa"/>
            <w:tcBorders>
              <w:top w:val="nil"/>
              <w:left w:val="nil"/>
              <w:bottom w:val="nil"/>
              <w:right w:val="nil"/>
            </w:tcBorders>
            <w:shd w:val="clear" w:color="000000" w:fill="FFFFFF"/>
            <w:hideMark/>
          </w:tcPr>
          <w:p w14:paraId="69E5472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719" w:type="dxa"/>
            <w:tcBorders>
              <w:top w:val="nil"/>
              <w:left w:val="nil"/>
              <w:bottom w:val="nil"/>
              <w:right w:val="nil"/>
            </w:tcBorders>
            <w:shd w:val="clear" w:color="000000" w:fill="FFFFFF"/>
            <w:hideMark/>
          </w:tcPr>
          <w:p w14:paraId="1BE7A19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79" w:type="dxa"/>
            <w:tcBorders>
              <w:top w:val="nil"/>
              <w:left w:val="nil"/>
              <w:bottom w:val="nil"/>
              <w:right w:val="nil"/>
            </w:tcBorders>
            <w:shd w:val="clear" w:color="000000" w:fill="FFFFFF"/>
            <w:hideMark/>
          </w:tcPr>
          <w:p w14:paraId="202E484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99" w:type="dxa"/>
            <w:tcBorders>
              <w:top w:val="nil"/>
              <w:left w:val="nil"/>
              <w:bottom w:val="nil"/>
              <w:right w:val="nil"/>
            </w:tcBorders>
            <w:shd w:val="clear" w:color="000000" w:fill="FFFFFF"/>
            <w:hideMark/>
          </w:tcPr>
          <w:p w14:paraId="2A98081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257B1F9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79" w:type="dxa"/>
            <w:tcBorders>
              <w:top w:val="nil"/>
              <w:left w:val="nil"/>
              <w:bottom w:val="nil"/>
              <w:right w:val="nil"/>
            </w:tcBorders>
            <w:shd w:val="clear" w:color="000000" w:fill="FFFFFF"/>
            <w:hideMark/>
          </w:tcPr>
          <w:p w14:paraId="7F77B76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59" w:type="dxa"/>
            <w:tcBorders>
              <w:top w:val="nil"/>
              <w:left w:val="nil"/>
              <w:bottom w:val="nil"/>
              <w:right w:val="nil"/>
            </w:tcBorders>
            <w:shd w:val="clear" w:color="000000" w:fill="FFFFFF"/>
            <w:hideMark/>
          </w:tcPr>
          <w:p w14:paraId="2EC3B23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78" w:type="dxa"/>
            <w:tcBorders>
              <w:top w:val="nil"/>
              <w:left w:val="nil"/>
              <w:bottom w:val="nil"/>
              <w:right w:val="nil"/>
            </w:tcBorders>
            <w:shd w:val="clear" w:color="000000" w:fill="FFFFFF"/>
            <w:hideMark/>
          </w:tcPr>
          <w:p w14:paraId="249828F8"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348BF722" w14:textId="77777777" w:rsidTr="00103CC2">
        <w:trPr>
          <w:trHeight w:val="199"/>
        </w:trPr>
        <w:tc>
          <w:tcPr>
            <w:tcW w:w="14040" w:type="dxa"/>
            <w:gridSpan w:val="27"/>
            <w:tcBorders>
              <w:top w:val="nil"/>
              <w:left w:val="nil"/>
              <w:bottom w:val="nil"/>
              <w:right w:val="nil"/>
            </w:tcBorders>
            <w:shd w:val="clear" w:color="000000" w:fill="FFFFFF"/>
            <w:vAlign w:val="center"/>
            <w:hideMark/>
          </w:tcPr>
          <w:p w14:paraId="4D6EF3CE"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ANEXO 1 - DEMONSTRATIVO DE EXECUÇÃO DOS RESTOS A PAGAR NÃO PROCESSADOS</w:t>
            </w:r>
          </w:p>
        </w:tc>
      </w:tr>
      <w:tr w:rsidR="00103CC2" w:rsidRPr="00103CC2" w14:paraId="0BAA796C" w14:textId="77777777" w:rsidTr="00103CC2">
        <w:trPr>
          <w:trHeight w:val="276"/>
        </w:trPr>
        <w:tc>
          <w:tcPr>
            <w:tcW w:w="2655"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894B042"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DESPESAS ORÇAMENTÁRIAS</w:t>
            </w:r>
          </w:p>
        </w:tc>
        <w:tc>
          <w:tcPr>
            <w:tcW w:w="28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B3ADD2B"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N.E.</w:t>
            </w:r>
          </w:p>
        </w:tc>
        <w:tc>
          <w:tcPr>
            <w:tcW w:w="17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C43AAF1"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INSCRITOS EM EXERCÍCIOS ANT</w:t>
            </w:r>
            <w:r w:rsidRPr="00103CC2">
              <w:rPr>
                <w:rFonts w:ascii="Arial" w:eastAsia="Times New Roman" w:hAnsi="Arial" w:cs="Arial"/>
                <w:color w:val="000000"/>
                <w:kern w:val="0"/>
                <w:sz w:val="14"/>
                <w:szCs w:val="14"/>
                <w:lang w:eastAsia="pt-BR" w:bidi="ar-SA"/>
              </w:rPr>
              <w:t>E</w:t>
            </w:r>
            <w:r w:rsidRPr="00103CC2">
              <w:rPr>
                <w:rFonts w:ascii="Arial" w:eastAsia="Times New Roman" w:hAnsi="Arial" w:cs="Arial"/>
                <w:color w:val="000000"/>
                <w:kern w:val="0"/>
                <w:sz w:val="14"/>
                <w:szCs w:val="14"/>
                <w:lang w:eastAsia="pt-BR" w:bidi="ar-SA"/>
              </w:rPr>
              <w:t>RIORES</w:t>
            </w:r>
          </w:p>
        </w:tc>
        <w:tc>
          <w:tcPr>
            <w:tcW w:w="2079" w:type="dxa"/>
            <w:gridSpan w:val="6"/>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019DD0"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INSCRITOS EM 31 DE D</w:t>
            </w:r>
            <w:r w:rsidRPr="00103CC2">
              <w:rPr>
                <w:rFonts w:ascii="Arial" w:eastAsia="Times New Roman" w:hAnsi="Arial" w:cs="Arial"/>
                <w:color w:val="000000"/>
                <w:kern w:val="0"/>
                <w:sz w:val="14"/>
                <w:szCs w:val="14"/>
                <w:lang w:eastAsia="pt-BR" w:bidi="ar-SA"/>
              </w:rPr>
              <w:t>E</w:t>
            </w:r>
            <w:r w:rsidRPr="00103CC2">
              <w:rPr>
                <w:rFonts w:ascii="Arial" w:eastAsia="Times New Roman" w:hAnsi="Arial" w:cs="Arial"/>
                <w:color w:val="000000"/>
                <w:kern w:val="0"/>
                <w:sz w:val="14"/>
                <w:szCs w:val="14"/>
                <w:lang w:eastAsia="pt-BR" w:bidi="ar-SA"/>
              </w:rPr>
              <w:t>ZEMBRO DO EXERCÍCIO ANTERIOR</w:t>
            </w:r>
          </w:p>
        </w:tc>
        <w:tc>
          <w:tcPr>
            <w:tcW w:w="1798"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8103298"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LIQUIDADOS</w:t>
            </w:r>
          </w:p>
        </w:tc>
        <w:tc>
          <w:tcPr>
            <w:tcW w:w="181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071B8C6"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PAGOS</w:t>
            </w:r>
          </w:p>
        </w:tc>
        <w:tc>
          <w:tcPr>
            <w:tcW w:w="179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CA6FAE"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CANCELADOS</w:t>
            </w:r>
          </w:p>
        </w:tc>
        <w:tc>
          <w:tcPr>
            <w:tcW w:w="183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22B2154"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SALDO</w:t>
            </w:r>
          </w:p>
        </w:tc>
      </w:tr>
      <w:tr w:rsidR="00103CC2" w:rsidRPr="00103CC2" w14:paraId="18A85AA7" w14:textId="77777777" w:rsidTr="00103CC2">
        <w:trPr>
          <w:trHeight w:val="276"/>
        </w:trPr>
        <w:tc>
          <w:tcPr>
            <w:tcW w:w="2655" w:type="dxa"/>
            <w:gridSpan w:val="5"/>
            <w:vMerge/>
            <w:tcBorders>
              <w:top w:val="single" w:sz="4" w:space="0" w:color="000000"/>
              <w:left w:val="single" w:sz="4" w:space="0" w:color="000000"/>
              <w:bottom w:val="single" w:sz="4" w:space="0" w:color="000000"/>
              <w:right w:val="single" w:sz="4" w:space="0" w:color="000000"/>
            </w:tcBorders>
            <w:vAlign w:val="center"/>
            <w:hideMark/>
          </w:tcPr>
          <w:p w14:paraId="2600D8E9"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80" w:type="dxa"/>
            <w:vMerge/>
            <w:tcBorders>
              <w:top w:val="single" w:sz="4" w:space="0" w:color="000000"/>
              <w:left w:val="single" w:sz="4" w:space="0" w:color="000000"/>
              <w:bottom w:val="single" w:sz="4" w:space="0" w:color="000000"/>
              <w:right w:val="single" w:sz="4" w:space="0" w:color="000000"/>
            </w:tcBorders>
            <w:vAlign w:val="center"/>
            <w:hideMark/>
          </w:tcPr>
          <w:p w14:paraId="098E30B9"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1777" w:type="dxa"/>
            <w:vMerge/>
            <w:tcBorders>
              <w:top w:val="single" w:sz="4" w:space="0" w:color="000000"/>
              <w:left w:val="single" w:sz="4" w:space="0" w:color="000000"/>
              <w:bottom w:val="single" w:sz="4" w:space="0" w:color="000000"/>
              <w:right w:val="single" w:sz="4" w:space="0" w:color="000000"/>
            </w:tcBorders>
            <w:vAlign w:val="center"/>
            <w:hideMark/>
          </w:tcPr>
          <w:p w14:paraId="2EEFE706"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079" w:type="dxa"/>
            <w:gridSpan w:val="6"/>
            <w:vMerge/>
            <w:tcBorders>
              <w:top w:val="single" w:sz="4" w:space="0" w:color="000000"/>
              <w:left w:val="single" w:sz="4" w:space="0" w:color="000000"/>
              <w:bottom w:val="single" w:sz="4" w:space="0" w:color="000000"/>
              <w:right w:val="single" w:sz="4" w:space="0" w:color="000000"/>
            </w:tcBorders>
            <w:vAlign w:val="center"/>
            <w:hideMark/>
          </w:tcPr>
          <w:p w14:paraId="447EA566"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1798" w:type="dxa"/>
            <w:gridSpan w:val="4"/>
            <w:vMerge/>
            <w:tcBorders>
              <w:top w:val="single" w:sz="4" w:space="0" w:color="000000"/>
              <w:left w:val="single" w:sz="4" w:space="0" w:color="000000"/>
              <w:bottom w:val="single" w:sz="4" w:space="0" w:color="000000"/>
              <w:right w:val="single" w:sz="4" w:space="0" w:color="000000"/>
            </w:tcBorders>
            <w:vAlign w:val="center"/>
            <w:hideMark/>
          </w:tcPr>
          <w:p w14:paraId="499C1A30"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1817" w:type="dxa"/>
            <w:gridSpan w:val="4"/>
            <w:vMerge/>
            <w:tcBorders>
              <w:top w:val="single" w:sz="4" w:space="0" w:color="000000"/>
              <w:left w:val="single" w:sz="4" w:space="0" w:color="000000"/>
              <w:bottom w:val="single" w:sz="4" w:space="0" w:color="000000"/>
              <w:right w:val="single" w:sz="4" w:space="0" w:color="000000"/>
            </w:tcBorders>
            <w:vAlign w:val="center"/>
            <w:hideMark/>
          </w:tcPr>
          <w:p w14:paraId="04A57F01"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1797" w:type="dxa"/>
            <w:gridSpan w:val="4"/>
            <w:vMerge/>
            <w:tcBorders>
              <w:top w:val="single" w:sz="4" w:space="0" w:color="000000"/>
              <w:left w:val="single" w:sz="4" w:space="0" w:color="000000"/>
              <w:bottom w:val="single" w:sz="4" w:space="0" w:color="000000"/>
              <w:right w:val="single" w:sz="4" w:space="0" w:color="000000"/>
            </w:tcBorders>
            <w:vAlign w:val="center"/>
            <w:hideMark/>
          </w:tcPr>
          <w:p w14:paraId="5C05FB7D"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1837" w:type="dxa"/>
            <w:gridSpan w:val="2"/>
            <w:vMerge/>
            <w:tcBorders>
              <w:top w:val="single" w:sz="4" w:space="0" w:color="000000"/>
              <w:left w:val="single" w:sz="4" w:space="0" w:color="000000"/>
              <w:bottom w:val="single" w:sz="4" w:space="0" w:color="000000"/>
              <w:right w:val="single" w:sz="4" w:space="0" w:color="000000"/>
            </w:tcBorders>
            <w:vAlign w:val="center"/>
            <w:hideMark/>
          </w:tcPr>
          <w:p w14:paraId="6C8DD81A"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r>
      <w:tr w:rsidR="00103CC2" w:rsidRPr="00103CC2" w14:paraId="66959183" w14:textId="77777777" w:rsidTr="00103CC2">
        <w:trPr>
          <w:trHeight w:val="402"/>
        </w:trPr>
        <w:tc>
          <w:tcPr>
            <w:tcW w:w="2655" w:type="dxa"/>
            <w:gridSpan w:val="5"/>
            <w:vMerge/>
            <w:tcBorders>
              <w:top w:val="single" w:sz="4" w:space="0" w:color="000000"/>
              <w:left w:val="single" w:sz="4" w:space="0" w:color="000000"/>
              <w:bottom w:val="single" w:sz="4" w:space="0" w:color="000000"/>
              <w:right w:val="single" w:sz="4" w:space="0" w:color="000000"/>
            </w:tcBorders>
            <w:vAlign w:val="center"/>
            <w:hideMark/>
          </w:tcPr>
          <w:p w14:paraId="0DAA803A"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80" w:type="dxa"/>
            <w:vMerge/>
            <w:tcBorders>
              <w:top w:val="single" w:sz="4" w:space="0" w:color="000000"/>
              <w:left w:val="single" w:sz="4" w:space="0" w:color="000000"/>
              <w:bottom w:val="single" w:sz="4" w:space="0" w:color="000000"/>
              <w:right w:val="single" w:sz="4" w:space="0" w:color="000000"/>
            </w:tcBorders>
            <w:vAlign w:val="center"/>
            <w:hideMark/>
          </w:tcPr>
          <w:p w14:paraId="6105F674"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1777" w:type="dxa"/>
            <w:vMerge/>
            <w:tcBorders>
              <w:top w:val="single" w:sz="4" w:space="0" w:color="000000"/>
              <w:left w:val="single" w:sz="4" w:space="0" w:color="000000"/>
              <w:bottom w:val="single" w:sz="4" w:space="0" w:color="000000"/>
              <w:right w:val="single" w:sz="4" w:space="0" w:color="000000"/>
            </w:tcBorders>
            <w:vAlign w:val="center"/>
            <w:hideMark/>
          </w:tcPr>
          <w:p w14:paraId="3CCCA19F"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079" w:type="dxa"/>
            <w:gridSpan w:val="6"/>
            <w:vMerge/>
            <w:tcBorders>
              <w:top w:val="single" w:sz="4" w:space="0" w:color="000000"/>
              <w:left w:val="single" w:sz="4" w:space="0" w:color="000000"/>
              <w:bottom w:val="single" w:sz="4" w:space="0" w:color="000000"/>
              <w:right w:val="single" w:sz="4" w:space="0" w:color="000000"/>
            </w:tcBorders>
            <w:vAlign w:val="center"/>
            <w:hideMark/>
          </w:tcPr>
          <w:p w14:paraId="116136AB"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1798" w:type="dxa"/>
            <w:gridSpan w:val="4"/>
            <w:vMerge/>
            <w:tcBorders>
              <w:top w:val="single" w:sz="4" w:space="0" w:color="000000"/>
              <w:left w:val="single" w:sz="4" w:space="0" w:color="000000"/>
              <w:bottom w:val="single" w:sz="4" w:space="0" w:color="000000"/>
              <w:right w:val="single" w:sz="4" w:space="0" w:color="000000"/>
            </w:tcBorders>
            <w:vAlign w:val="center"/>
            <w:hideMark/>
          </w:tcPr>
          <w:p w14:paraId="597AF2CB"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1817" w:type="dxa"/>
            <w:gridSpan w:val="4"/>
            <w:vMerge/>
            <w:tcBorders>
              <w:top w:val="single" w:sz="4" w:space="0" w:color="000000"/>
              <w:left w:val="single" w:sz="4" w:space="0" w:color="000000"/>
              <w:bottom w:val="single" w:sz="4" w:space="0" w:color="000000"/>
              <w:right w:val="single" w:sz="4" w:space="0" w:color="000000"/>
            </w:tcBorders>
            <w:vAlign w:val="center"/>
            <w:hideMark/>
          </w:tcPr>
          <w:p w14:paraId="5CC14A2F"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1797" w:type="dxa"/>
            <w:gridSpan w:val="4"/>
            <w:vMerge/>
            <w:tcBorders>
              <w:top w:val="single" w:sz="4" w:space="0" w:color="000000"/>
              <w:left w:val="single" w:sz="4" w:space="0" w:color="000000"/>
              <w:bottom w:val="single" w:sz="4" w:space="0" w:color="000000"/>
              <w:right w:val="single" w:sz="4" w:space="0" w:color="000000"/>
            </w:tcBorders>
            <w:vAlign w:val="center"/>
            <w:hideMark/>
          </w:tcPr>
          <w:p w14:paraId="7E47D140"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1837" w:type="dxa"/>
            <w:gridSpan w:val="2"/>
            <w:vMerge/>
            <w:tcBorders>
              <w:top w:val="single" w:sz="4" w:space="0" w:color="000000"/>
              <w:left w:val="single" w:sz="4" w:space="0" w:color="000000"/>
              <w:bottom w:val="single" w:sz="4" w:space="0" w:color="000000"/>
              <w:right w:val="single" w:sz="4" w:space="0" w:color="000000"/>
            </w:tcBorders>
            <w:vAlign w:val="center"/>
            <w:hideMark/>
          </w:tcPr>
          <w:p w14:paraId="24337ED6"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r>
      <w:tr w:rsidR="00103CC2" w:rsidRPr="00103CC2" w14:paraId="37EC475C"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12FC2A28"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DESPESAS CORRENTES</w:t>
            </w:r>
          </w:p>
        </w:tc>
        <w:tc>
          <w:tcPr>
            <w:tcW w:w="280" w:type="dxa"/>
            <w:tcBorders>
              <w:top w:val="nil"/>
              <w:left w:val="nil"/>
              <w:bottom w:val="nil"/>
              <w:right w:val="single" w:sz="4" w:space="0" w:color="000000"/>
            </w:tcBorders>
            <w:shd w:val="clear" w:color="000000" w:fill="FFFFFF"/>
            <w:hideMark/>
          </w:tcPr>
          <w:p w14:paraId="6EE9F2A8"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777" w:type="dxa"/>
            <w:tcBorders>
              <w:top w:val="nil"/>
              <w:left w:val="nil"/>
              <w:bottom w:val="nil"/>
              <w:right w:val="single" w:sz="4" w:space="0" w:color="000000"/>
            </w:tcBorders>
            <w:shd w:val="clear" w:color="000000" w:fill="FFFFFF"/>
            <w:hideMark/>
          </w:tcPr>
          <w:p w14:paraId="200F04B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144.067.884,44</w:t>
            </w:r>
          </w:p>
        </w:tc>
        <w:tc>
          <w:tcPr>
            <w:tcW w:w="2079" w:type="dxa"/>
            <w:gridSpan w:val="6"/>
            <w:tcBorders>
              <w:top w:val="nil"/>
              <w:left w:val="nil"/>
              <w:bottom w:val="nil"/>
              <w:right w:val="single" w:sz="4" w:space="0" w:color="000000"/>
            </w:tcBorders>
            <w:shd w:val="clear" w:color="000000" w:fill="FFFFFF"/>
            <w:hideMark/>
          </w:tcPr>
          <w:p w14:paraId="7B352A6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363.637.658,36</w:t>
            </w:r>
          </w:p>
        </w:tc>
        <w:tc>
          <w:tcPr>
            <w:tcW w:w="1798" w:type="dxa"/>
            <w:gridSpan w:val="4"/>
            <w:tcBorders>
              <w:top w:val="nil"/>
              <w:left w:val="nil"/>
              <w:bottom w:val="nil"/>
              <w:right w:val="single" w:sz="4" w:space="0" w:color="000000"/>
            </w:tcBorders>
            <w:shd w:val="clear" w:color="000000" w:fill="FFFFFF"/>
            <w:hideMark/>
          </w:tcPr>
          <w:p w14:paraId="41A8EBF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286.140.734,07</w:t>
            </w:r>
          </w:p>
        </w:tc>
        <w:tc>
          <w:tcPr>
            <w:tcW w:w="1817" w:type="dxa"/>
            <w:gridSpan w:val="4"/>
            <w:tcBorders>
              <w:top w:val="nil"/>
              <w:left w:val="nil"/>
              <w:bottom w:val="nil"/>
              <w:right w:val="single" w:sz="4" w:space="0" w:color="000000"/>
            </w:tcBorders>
            <w:shd w:val="clear" w:color="000000" w:fill="FFFFFF"/>
            <w:hideMark/>
          </w:tcPr>
          <w:p w14:paraId="08722DD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250.625.587,59</w:t>
            </w:r>
          </w:p>
        </w:tc>
        <w:tc>
          <w:tcPr>
            <w:tcW w:w="1797" w:type="dxa"/>
            <w:gridSpan w:val="4"/>
            <w:tcBorders>
              <w:top w:val="nil"/>
              <w:left w:val="nil"/>
              <w:bottom w:val="nil"/>
              <w:right w:val="single" w:sz="4" w:space="0" w:color="000000"/>
            </w:tcBorders>
            <w:shd w:val="clear" w:color="000000" w:fill="FFFFFF"/>
            <w:hideMark/>
          </w:tcPr>
          <w:p w14:paraId="1F555E4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99.627.269,97</w:t>
            </w:r>
          </w:p>
        </w:tc>
        <w:tc>
          <w:tcPr>
            <w:tcW w:w="1837" w:type="dxa"/>
            <w:gridSpan w:val="2"/>
            <w:tcBorders>
              <w:top w:val="nil"/>
              <w:left w:val="nil"/>
              <w:bottom w:val="nil"/>
              <w:right w:val="single" w:sz="4" w:space="0" w:color="000000"/>
            </w:tcBorders>
            <w:shd w:val="clear" w:color="000000" w:fill="FFFFFF"/>
            <w:hideMark/>
          </w:tcPr>
          <w:p w14:paraId="290ECD7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157.452.685,24</w:t>
            </w:r>
          </w:p>
        </w:tc>
      </w:tr>
      <w:tr w:rsidR="00103CC2" w:rsidRPr="00103CC2" w14:paraId="047E5EC3"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7E7A700E"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Pessoal e Encargos Sociais</w:t>
            </w:r>
          </w:p>
        </w:tc>
        <w:tc>
          <w:tcPr>
            <w:tcW w:w="280" w:type="dxa"/>
            <w:tcBorders>
              <w:top w:val="nil"/>
              <w:left w:val="nil"/>
              <w:bottom w:val="nil"/>
              <w:right w:val="single" w:sz="4" w:space="0" w:color="000000"/>
            </w:tcBorders>
            <w:shd w:val="clear" w:color="000000" w:fill="FFFFFF"/>
            <w:hideMark/>
          </w:tcPr>
          <w:p w14:paraId="3A29CEE9"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777" w:type="dxa"/>
            <w:tcBorders>
              <w:top w:val="nil"/>
              <w:left w:val="nil"/>
              <w:bottom w:val="nil"/>
              <w:right w:val="single" w:sz="4" w:space="0" w:color="000000"/>
            </w:tcBorders>
            <w:shd w:val="clear" w:color="000000" w:fill="FFFFFF"/>
            <w:hideMark/>
          </w:tcPr>
          <w:p w14:paraId="70F3840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7.022.823,74</w:t>
            </w:r>
          </w:p>
        </w:tc>
        <w:tc>
          <w:tcPr>
            <w:tcW w:w="2079" w:type="dxa"/>
            <w:gridSpan w:val="6"/>
            <w:tcBorders>
              <w:top w:val="nil"/>
              <w:left w:val="nil"/>
              <w:bottom w:val="nil"/>
              <w:right w:val="single" w:sz="4" w:space="0" w:color="000000"/>
            </w:tcBorders>
            <w:shd w:val="clear" w:color="000000" w:fill="FFFFFF"/>
            <w:hideMark/>
          </w:tcPr>
          <w:p w14:paraId="491BFF8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14.734.662,81</w:t>
            </w:r>
          </w:p>
        </w:tc>
        <w:tc>
          <w:tcPr>
            <w:tcW w:w="1798" w:type="dxa"/>
            <w:gridSpan w:val="4"/>
            <w:tcBorders>
              <w:top w:val="nil"/>
              <w:left w:val="nil"/>
              <w:bottom w:val="nil"/>
              <w:right w:val="single" w:sz="4" w:space="0" w:color="000000"/>
            </w:tcBorders>
            <w:shd w:val="clear" w:color="000000" w:fill="FFFFFF"/>
            <w:hideMark/>
          </w:tcPr>
          <w:p w14:paraId="52264D2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6.779.933,37</w:t>
            </w:r>
          </w:p>
        </w:tc>
        <w:tc>
          <w:tcPr>
            <w:tcW w:w="1817" w:type="dxa"/>
            <w:gridSpan w:val="4"/>
            <w:tcBorders>
              <w:top w:val="nil"/>
              <w:left w:val="nil"/>
              <w:bottom w:val="nil"/>
              <w:right w:val="single" w:sz="4" w:space="0" w:color="000000"/>
            </w:tcBorders>
            <w:shd w:val="clear" w:color="000000" w:fill="FFFFFF"/>
            <w:hideMark/>
          </w:tcPr>
          <w:p w14:paraId="226BE2F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6.779.933,37</w:t>
            </w:r>
          </w:p>
        </w:tc>
        <w:tc>
          <w:tcPr>
            <w:tcW w:w="1797" w:type="dxa"/>
            <w:gridSpan w:val="4"/>
            <w:tcBorders>
              <w:top w:val="nil"/>
              <w:left w:val="nil"/>
              <w:bottom w:val="nil"/>
              <w:right w:val="single" w:sz="4" w:space="0" w:color="000000"/>
            </w:tcBorders>
            <w:shd w:val="clear" w:color="000000" w:fill="FFFFFF"/>
            <w:hideMark/>
          </w:tcPr>
          <w:p w14:paraId="1FEDC30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11.749.039,86</w:t>
            </w:r>
          </w:p>
        </w:tc>
        <w:tc>
          <w:tcPr>
            <w:tcW w:w="1837" w:type="dxa"/>
            <w:gridSpan w:val="2"/>
            <w:tcBorders>
              <w:top w:val="nil"/>
              <w:left w:val="nil"/>
              <w:bottom w:val="nil"/>
              <w:right w:val="single" w:sz="4" w:space="0" w:color="000000"/>
            </w:tcBorders>
            <w:shd w:val="clear" w:color="000000" w:fill="FFFFFF"/>
            <w:hideMark/>
          </w:tcPr>
          <w:p w14:paraId="7F5F4245"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3.228.513,32</w:t>
            </w:r>
          </w:p>
        </w:tc>
      </w:tr>
      <w:tr w:rsidR="00103CC2" w:rsidRPr="00103CC2" w14:paraId="73D6270C"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7F05FE88"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Juros e Encargos da Dívida</w:t>
            </w:r>
          </w:p>
        </w:tc>
        <w:tc>
          <w:tcPr>
            <w:tcW w:w="280" w:type="dxa"/>
            <w:tcBorders>
              <w:top w:val="nil"/>
              <w:left w:val="nil"/>
              <w:bottom w:val="nil"/>
              <w:right w:val="single" w:sz="4" w:space="0" w:color="000000"/>
            </w:tcBorders>
            <w:shd w:val="clear" w:color="000000" w:fill="FFFFFF"/>
            <w:hideMark/>
          </w:tcPr>
          <w:p w14:paraId="2402A13E"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777" w:type="dxa"/>
            <w:tcBorders>
              <w:top w:val="nil"/>
              <w:left w:val="nil"/>
              <w:bottom w:val="nil"/>
              <w:right w:val="single" w:sz="4" w:space="0" w:color="000000"/>
            </w:tcBorders>
            <w:shd w:val="clear" w:color="000000" w:fill="FFFFFF"/>
            <w:hideMark/>
          </w:tcPr>
          <w:p w14:paraId="13F0887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1.078.943,55</w:t>
            </w:r>
          </w:p>
        </w:tc>
        <w:tc>
          <w:tcPr>
            <w:tcW w:w="2079" w:type="dxa"/>
            <w:gridSpan w:val="6"/>
            <w:tcBorders>
              <w:top w:val="nil"/>
              <w:left w:val="nil"/>
              <w:bottom w:val="nil"/>
              <w:right w:val="single" w:sz="4" w:space="0" w:color="000000"/>
            </w:tcBorders>
            <w:shd w:val="clear" w:color="000000" w:fill="FFFFFF"/>
            <w:hideMark/>
          </w:tcPr>
          <w:p w14:paraId="0DB0E96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798" w:type="dxa"/>
            <w:gridSpan w:val="4"/>
            <w:tcBorders>
              <w:top w:val="nil"/>
              <w:left w:val="nil"/>
              <w:bottom w:val="nil"/>
              <w:right w:val="single" w:sz="4" w:space="0" w:color="000000"/>
            </w:tcBorders>
            <w:shd w:val="clear" w:color="000000" w:fill="FFFFFF"/>
            <w:hideMark/>
          </w:tcPr>
          <w:p w14:paraId="56F6943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817" w:type="dxa"/>
            <w:gridSpan w:val="4"/>
            <w:tcBorders>
              <w:top w:val="nil"/>
              <w:left w:val="nil"/>
              <w:bottom w:val="nil"/>
              <w:right w:val="single" w:sz="4" w:space="0" w:color="000000"/>
            </w:tcBorders>
            <w:shd w:val="clear" w:color="000000" w:fill="FFFFFF"/>
            <w:hideMark/>
          </w:tcPr>
          <w:p w14:paraId="4CA0071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797" w:type="dxa"/>
            <w:gridSpan w:val="4"/>
            <w:tcBorders>
              <w:top w:val="nil"/>
              <w:left w:val="nil"/>
              <w:bottom w:val="nil"/>
              <w:right w:val="single" w:sz="4" w:space="0" w:color="000000"/>
            </w:tcBorders>
            <w:shd w:val="clear" w:color="000000" w:fill="FFFFFF"/>
            <w:hideMark/>
          </w:tcPr>
          <w:p w14:paraId="323D281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1.078.943,55</w:t>
            </w:r>
          </w:p>
        </w:tc>
        <w:tc>
          <w:tcPr>
            <w:tcW w:w="1837" w:type="dxa"/>
            <w:gridSpan w:val="2"/>
            <w:tcBorders>
              <w:top w:val="nil"/>
              <w:left w:val="nil"/>
              <w:bottom w:val="nil"/>
              <w:right w:val="single" w:sz="4" w:space="0" w:color="000000"/>
            </w:tcBorders>
            <w:shd w:val="clear" w:color="000000" w:fill="FFFFFF"/>
            <w:hideMark/>
          </w:tcPr>
          <w:p w14:paraId="6F38DF2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075AB8E3"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79A4DAA3"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Outras Despesas Correntes</w:t>
            </w:r>
          </w:p>
        </w:tc>
        <w:tc>
          <w:tcPr>
            <w:tcW w:w="280" w:type="dxa"/>
            <w:tcBorders>
              <w:top w:val="nil"/>
              <w:left w:val="nil"/>
              <w:bottom w:val="nil"/>
              <w:right w:val="single" w:sz="4" w:space="0" w:color="000000"/>
            </w:tcBorders>
            <w:shd w:val="clear" w:color="000000" w:fill="FFFFFF"/>
            <w:hideMark/>
          </w:tcPr>
          <w:p w14:paraId="446492F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777" w:type="dxa"/>
            <w:tcBorders>
              <w:top w:val="nil"/>
              <w:left w:val="nil"/>
              <w:bottom w:val="nil"/>
              <w:right w:val="single" w:sz="4" w:space="0" w:color="000000"/>
            </w:tcBorders>
            <w:shd w:val="clear" w:color="000000" w:fill="FFFFFF"/>
            <w:hideMark/>
          </w:tcPr>
          <w:p w14:paraId="6167731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135.966.117,15</w:t>
            </w:r>
          </w:p>
        </w:tc>
        <w:tc>
          <w:tcPr>
            <w:tcW w:w="2079" w:type="dxa"/>
            <w:gridSpan w:val="6"/>
            <w:tcBorders>
              <w:top w:val="nil"/>
              <w:left w:val="nil"/>
              <w:bottom w:val="nil"/>
              <w:right w:val="single" w:sz="4" w:space="0" w:color="000000"/>
            </w:tcBorders>
            <w:shd w:val="clear" w:color="000000" w:fill="FFFFFF"/>
            <w:hideMark/>
          </w:tcPr>
          <w:p w14:paraId="58B6ECE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348.902.995,55</w:t>
            </w:r>
          </w:p>
        </w:tc>
        <w:tc>
          <w:tcPr>
            <w:tcW w:w="1798" w:type="dxa"/>
            <w:gridSpan w:val="4"/>
            <w:tcBorders>
              <w:top w:val="nil"/>
              <w:left w:val="nil"/>
              <w:bottom w:val="nil"/>
              <w:right w:val="single" w:sz="4" w:space="0" w:color="000000"/>
            </w:tcBorders>
            <w:shd w:val="clear" w:color="000000" w:fill="FFFFFF"/>
            <w:hideMark/>
          </w:tcPr>
          <w:p w14:paraId="7CAB58E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279.360.800,70</w:t>
            </w:r>
          </w:p>
        </w:tc>
        <w:tc>
          <w:tcPr>
            <w:tcW w:w="1817" w:type="dxa"/>
            <w:gridSpan w:val="4"/>
            <w:tcBorders>
              <w:top w:val="nil"/>
              <w:left w:val="nil"/>
              <w:bottom w:val="nil"/>
              <w:right w:val="single" w:sz="4" w:space="0" w:color="000000"/>
            </w:tcBorders>
            <w:shd w:val="clear" w:color="000000" w:fill="FFFFFF"/>
            <w:hideMark/>
          </w:tcPr>
          <w:p w14:paraId="547F2B0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243.845.654,22</w:t>
            </w:r>
          </w:p>
        </w:tc>
        <w:tc>
          <w:tcPr>
            <w:tcW w:w="1797" w:type="dxa"/>
            <w:gridSpan w:val="4"/>
            <w:tcBorders>
              <w:top w:val="nil"/>
              <w:left w:val="nil"/>
              <w:bottom w:val="nil"/>
              <w:right w:val="single" w:sz="4" w:space="0" w:color="000000"/>
            </w:tcBorders>
            <w:shd w:val="clear" w:color="000000" w:fill="FFFFFF"/>
            <w:hideMark/>
          </w:tcPr>
          <w:p w14:paraId="2DA1941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86.799.286,56</w:t>
            </w:r>
          </w:p>
        </w:tc>
        <w:tc>
          <w:tcPr>
            <w:tcW w:w="1837" w:type="dxa"/>
            <w:gridSpan w:val="2"/>
            <w:tcBorders>
              <w:top w:val="nil"/>
              <w:left w:val="nil"/>
              <w:bottom w:val="nil"/>
              <w:right w:val="single" w:sz="4" w:space="0" w:color="000000"/>
            </w:tcBorders>
            <w:shd w:val="clear" w:color="000000" w:fill="FFFFFF"/>
            <w:hideMark/>
          </w:tcPr>
          <w:p w14:paraId="2ABBF2B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154.224.171,92</w:t>
            </w:r>
          </w:p>
        </w:tc>
      </w:tr>
      <w:tr w:rsidR="00103CC2" w:rsidRPr="00103CC2" w14:paraId="4FE44136"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3E73999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DESPESAS DE CAPITAL</w:t>
            </w:r>
          </w:p>
        </w:tc>
        <w:tc>
          <w:tcPr>
            <w:tcW w:w="280" w:type="dxa"/>
            <w:tcBorders>
              <w:top w:val="nil"/>
              <w:left w:val="nil"/>
              <w:bottom w:val="nil"/>
              <w:right w:val="single" w:sz="4" w:space="0" w:color="000000"/>
            </w:tcBorders>
            <w:shd w:val="clear" w:color="000000" w:fill="FFFFFF"/>
            <w:hideMark/>
          </w:tcPr>
          <w:p w14:paraId="73D8B189" w14:textId="77777777" w:rsidR="00103CC2" w:rsidRPr="00103CC2" w:rsidRDefault="00103CC2" w:rsidP="00103CC2">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w:t>
            </w:r>
          </w:p>
        </w:tc>
        <w:tc>
          <w:tcPr>
            <w:tcW w:w="1777" w:type="dxa"/>
            <w:tcBorders>
              <w:top w:val="nil"/>
              <w:left w:val="nil"/>
              <w:bottom w:val="nil"/>
              <w:right w:val="single" w:sz="4" w:space="0" w:color="000000"/>
            </w:tcBorders>
            <w:shd w:val="clear" w:color="000000" w:fill="FFFFFF"/>
            <w:hideMark/>
          </w:tcPr>
          <w:p w14:paraId="5B1FD9F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4.610.071.239,16</w:t>
            </w:r>
          </w:p>
        </w:tc>
        <w:tc>
          <w:tcPr>
            <w:tcW w:w="2079" w:type="dxa"/>
            <w:gridSpan w:val="6"/>
            <w:tcBorders>
              <w:top w:val="nil"/>
              <w:left w:val="nil"/>
              <w:bottom w:val="nil"/>
              <w:right w:val="single" w:sz="4" w:space="0" w:color="000000"/>
            </w:tcBorders>
            <w:shd w:val="clear" w:color="000000" w:fill="FFFFFF"/>
            <w:hideMark/>
          </w:tcPr>
          <w:p w14:paraId="6FFABD9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8.594.399.475,16</w:t>
            </w:r>
          </w:p>
        </w:tc>
        <w:tc>
          <w:tcPr>
            <w:tcW w:w="1798" w:type="dxa"/>
            <w:gridSpan w:val="4"/>
            <w:tcBorders>
              <w:top w:val="nil"/>
              <w:left w:val="nil"/>
              <w:bottom w:val="nil"/>
              <w:right w:val="single" w:sz="4" w:space="0" w:color="000000"/>
            </w:tcBorders>
            <w:shd w:val="clear" w:color="000000" w:fill="FFFFFF"/>
            <w:hideMark/>
          </w:tcPr>
          <w:p w14:paraId="01490FC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4.622.300.014,51</w:t>
            </w:r>
          </w:p>
        </w:tc>
        <w:tc>
          <w:tcPr>
            <w:tcW w:w="1817" w:type="dxa"/>
            <w:gridSpan w:val="4"/>
            <w:tcBorders>
              <w:top w:val="nil"/>
              <w:left w:val="nil"/>
              <w:bottom w:val="nil"/>
              <w:right w:val="single" w:sz="4" w:space="0" w:color="000000"/>
            </w:tcBorders>
            <w:shd w:val="clear" w:color="000000" w:fill="FFFFFF"/>
            <w:hideMark/>
          </w:tcPr>
          <w:p w14:paraId="6AEFBDF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4.030.974.761,93</w:t>
            </w:r>
          </w:p>
        </w:tc>
        <w:tc>
          <w:tcPr>
            <w:tcW w:w="1797" w:type="dxa"/>
            <w:gridSpan w:val="4"/>
            <w:tcBorders>
              <w:top w:val="nil"/>
              <w:left w:val="nil"/>
              <w:bottom w:val="nil"/>
              <w:right w:val="single" w:sz="4" w:space="0" w:color="000000"/>
            </w:tcBorders>
            <w:shd w:val="clear" w:color="000000" w:fill="FFFFFF"/>
            <w:hideMark/>
          </w:tcPr>
          <w:p w14:paraId="0A581AD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790.433.566,30</w:t>
            </w:r>
          </w:p>
        </w:tc>
        <w:tc>
          <w:tcPr>
            <w:tcW w:w="1837" w:type="dxa"/>
            <w:gridSpan w:val="2"/>
            <w:tcBorders>
              <w:top w:val="nil"/>
              <w:left w:val="nil"/>
              <w:bottom w:val="nil"/>
              <w:right w:val="single" w:sz="4" w:space="0" w:color="000000"/>
            </w:tcBorders>
            <w:shd w:val="clear" w:color="000000" w:fill="FFFFFF"/>
            <w:hideMark/>
          </w:tcPr>
          <w:p w14:paraId="710B0C5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8.383.062.386,09</w:t>
            </w:r>
          </w:p>
        </w:tc>
      </w:tr>
      <w:tr w:rsidR="00103CC2" w:rsidRPr="00103CC2" w14:paraId="3F4AEE25"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02A6A10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Investimentos</w:t>
            </w:r>
          </w:p>
        </w:tc>
        <w:tc>
          <w:tcPr>
            <w:tcW w:w="280" w:type="dxa"/>
            <w:tcBorders>
              <w:top w:val="nil"/>
              <w:left w:val="nil"/>
              <w:bottom w:val="nil"/>
              <w:right w:val="single" w:sz="4" w:space="0" w:color="000000"/>
            </w:tcBorders>
            <w:shd w:val="clear" w:color="000000" w:fill="FFFFFF"/>
            <w:hideMark/>
          </w:tcPr>
          <w:p w14:paraId="4D7CD01A"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777" w:type="dxa"/>
            <w:tcBorders>
              <w:top w:val="nil"/>
              <w:left w:val="nil"/>
              <w:bottom w:val="nil"/>
              <w:right w:val="single" w:sz="4" w:space="0" w:color="000000"/>
            </w:tcBorders>
            <w:shd w:val="clear" w:color="000000" w:fill="FFFFFF"/>
            <w:hideMark/>
          </w:tcPr>
          <w:p w14:paraId="48485CA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4.464.584.960,48</w:t>
            </w:r>
          </w:p>
        </w:tc>
        <w:tc>
          <w:tcPr>
            <w:tcW w:w="2079" w:type="dxa"/>
            <w:gridSpan w:val="6"/>
            <w:tcBorders>
              <w:top w:val="nil"/>
              <w:left w:val="nil"/>
              <w:bottom w:val="nil"/>
              <w:right w:val="single" w:sz="4" w:space="0" w:color="000000"/>
            </w:tcBorders>
            <w:shd w:val="clear" w:color="000000" w:fill="FFFFFF"/>
            <w:hideMark/>
          </w:tcPr>
          <w:p w14:paraId="1B16352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6.936.306.721,95</w:t>
            </w:r>
          </w:p>
        </w:tc>
        <w:tc>
          <w:tcPr>
            <w:tcW w:w="1798" w:type="dxa"/>
            <w:gridSpan w:val="4"/>
            <w:tcBorders>
              <w:top w:val="nil"/>
              <w:left w:val="nil"/>
              <w:bottom w:val="nil"/>
              <w:right w:val="single" w:sz="4" w:space="0" w:color="000000"/>
            </w:tcBorders>
            <w:shd w:val="clear" w:color="000000" w:fill="FFFFFF"/>
            <w:hideMark/>
          </w:tcPr>
          <w:p w14:paraId="3E02CB0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3.849.824.089,09</w:t>
            </w:r>
          </w:p>
        </w:tc>
        <w:tc>
          <w:tcPr>
            <w:tcW w:w="1817" w:type="dxa"/>
            <w:gridSpan w:val="4"/>
            <w:tcBorders>
              <w:top w:val="nil"/>
              <w:left w:val="nil"/>
              <w:bottom w:val="nil"/>
              <w:right w:val="single" w:sz="4" w:space="0" w:color="000000"/>
            </w:tcBorders>
            <w:shd w:val="clear" w:color="000000" w:fill="FFFFFF"/>
            <w:hideMark/>
          </w:tcPr>
          <w:p w14:paraId="0C33908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3.258.498.836,51</w:t>
            </w:r>
          </w:p>
        </w:tc>
        <w:tc>
          <w:tcPr>
            <w:tcW w:w="1797" w:type="dxa"/>
            <w:gridSpan w:val="4"/>
            <w:tcBorders>
              <w:top w:val="nil"/>
              <w:left w:val="nil"/>
              <w:bottom w:val="nil"/>
              <w:right w:val="single" w:sz="4" w:space="0" w:color="000000"/>
            </w:tcBorders>
            <w:shd w:val="clear" w:color="000000" w:fill="FFFFFF"/>
            <w:hideMark/>
          </w:tcPr>
          <w:p w14:paraId="313D563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790.433.566,30</w:t>
            </w:r>
          </w:p>
        </w:tc>
        <w:tc>
          <w:tcPr>
            <w:tcW w:w="1837" w:type="dxa"/>
            <w:gridSpan w:val="2"/>
            <w:tcBorders>
              <w:top w:val="nil"/>
              <w:left w:val="nil"/>
              <w:bottom w:val="nil"/>
              <w:right w:val="single" w:sz="4" w:space="0" w:color="000000"/>
            </w:tcBorders>
            <w:shd w:val="clear" w:color="000000" w:fill="FFFFFF"/>
            <w:hideMark/>
          </w:tcPr>
          <w:p w14:paraId="1921C33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7.351.959.279,62</w:t>
            </w:r>
          </w:p>
        </w:tc>
      </w:tr>
      <w:tr w:rsidR="00103CC2" w:rsidRPr="00103CC2" w14:paraId="734D70EF"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389EE120"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Inversões Financeiras</w:t>
            </w:r>
          </w:p>
        </w:tc>
        <w:tc>
          <w:tcPr>
            <w:tcW w:w="280" w:type="dxa"/>
            <w:tcBorders>
              <w:top w:val="nil"/>
              <w:left w:val="nil"/>
              <w:bottom w:val="nil"/>
              <w:right w:val="single" w:sz="4" w:space="0" w:color="000000"/>
            </w:tcBorders>
            <w:shd w:val="clear" w:color="000000" w:fill="FFFFFF"/>
            <w:hideMark/>
          </w:tcPr>
          <w:p w14:paraId="422F60BE"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777" w:type="dxa"/>
            <w:tcBorders>
              <w:top w:val="nil"/>
              <w:left w:val="nil"/>
              <w:bottom w:val="nil"/>
              <w:right w:val="single" w:sz="4" w:space="0" w:color="000000"/>
            </w:tcBorders>
            <w:shd w:val="clear" w:color="000000" w:fill="FFFFFF"/>
            <w:hideMark/>
          </w:tcPr>
          <w:p w14:paraId="2E9F23E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145.486.278,68</w:t>
            </w:r>
          </w:p>
        </w:tc>
        <w:tc>
          <w:tcPr>
            <w:tcW w:w="2079" w:type="dxa"/>
            <w:gridSpan w:val="6"/>
            <w:tcBorders>
              <w:top w:val="nil"/>
              <w:left w:val="nil"/>
              <w:bottom w:val="nil"/>
              <w:right w:val="single" w:sz="4" w:space="0" w:color="000000"/>
            </w:tcBorders>
            <w:shd w:val="clear" w:color="000000" w:fill="FFFFFF"/>
            <w:hideMark/>
          </w:tcPr>
          <w:p w14:paraId="2A3033D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1.658.092.753,21</w:t>
            </w:r>
          </w:p>
        </w:tc>
        <w:tc>
          <w:tcPr>
            <w:tcW w:w="1798" w:type="dxa"/>
            <w:gridSpan w:val="4"/>
            <w:tcBorders>
              <w:top w:val="nil"/>
              <w:left w:val="nil"/>
              <w:bottom w:val="nil"/>
              <w:right w:val="single" w:sz="4" w:space="0" w:color="000000"/>
            </w:tcBorders>
            <w:shd w:val="clear" w:color="000000" w:fill="FFFFFF"/>
            <w:hideMark/>
          </w:tcPr>
          <w:p w14:paraId="1640EB4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772.475.925,42</w:t>
            </w:r>
          </w:p>
        </w:tc>
        <w:tc>
          <w:tcPr>
            <w:tcW w:w="1817" w:type="dxa"/>
            <w:gridSpan w:val="4"/>
            <w:tcBorders>
              <w:top w:val="nil"/>
              <w:left w:val="nil"/>
              <w:bottom w:val="nil"/>
              <w:right w:val="single" w:sz="4" w:space="0" w:color="000000"/>
            </w:tcBorders>
            <w:shd w:val="clear" w:color="000000" w:fill="FFFFFF"/>
            <w:hideMark/>
          </w:tcPr>
          <w:p w14:paraId="538E395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772.475.925,42</w:t>
            </w:r>
          </w:p>
        </w:tc>
        <w:tc>
          <w:tcPr>
            <w:tcW w:w="1797" w:type="dxa"/>
            <w:gridSpan w:val="4"/>
            <w:tcBorders>
              <w:top w:val="nil"/>
              <w:left w:val="nil"/>
              <w:bottom w:val="nil"/>
              <w:right w:val="single" w:sz="4" w:space="0" w:color="000000"/>
            </w:tcBorders>
            <w:shd w:val="clear" w:color="000000" w:fill="FFFFFF"/>
            <w:hideMark/>
          </w:tcPr>
          <w:p w14:paraId="123B7E5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837" w:type="dxa"/>
            <w:gridSpan w:val="2"/>
            <w:tcBorders>
              <w:top w:val="nil"/>
              <w:left w:val="nil"/>
              <w:bottom w:val="nil"/>
              <w:right w:val="single" w:sz="4" w:space="0" w:color="000000"/>
            </w:tcBorders>
            <w:shd w:val="clear" w:color="000000" w:fill="FFFFFF"/>
            <w:hideMark/>
          </w:tcPr>
          <w:p w14:paraId="0F6A125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1.031.103.106,47</w:t>
            </w:r>
          </w:p>
        </w:tc>
      </w:tr>
      <w:tr w:rsidR="00103CC2" w:rsidRPr="00103CC2" w14:paraId="767595A2"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7CF273E9"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Amortização da Dívida</w:t>
            </w:r>
          </w:p>
        </w:tc>
        <w:tc>
          <w:tcPr>
            <w:tcW w:w="280" w:type="dxa"/>
            <w:tcBorders>
              <w:top w:val="nil"/>
              <w:left w:val="nil"/>
              <w:bottom w:val="nil"/>
              <w:right w:val="single" w:sz="4" w:space="0" w:color="000000"/>
            </w:tcBorders>
            <w:shd w:val="clear" w:color="000000" w:fill="FFFFFF"/>
            <w:hideMark/>
          </w:tcPr>
          <w:p w14:paraId="7C55B1D8"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777" w:type="dxa"/>
            <w:tcBorders>
              <w:top w:val="nil"/>
              <w:left w:val="nil"/>
              <w:bottom w:val="nil"/>
              <w:right w:val="single" w:sz="4" w:space="0" w:color="000000"/>
            </w:tcBorders>
            <w:shd w:val="clear" w:color="000000" w:fill="FFFFFF"/>
            <w:hideMark/>
          </w:tcPr>
          <w:p w14:paraId="7E94A39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079" w:type="dxa"/>
            <w:gridSpan w:val="6"/>
            <w:tcBorders>
              <w:top w:val="nil"/>
              <w:left w:val="nil"/>
              <w:bottom w:val="nil"/>
              <w:right w:val="single" w:sz="4" w:space="0" w:color="000000"/>
            </w:tcBorders>
            <w:shd w:val="clear" w:color="000000" w:fill="FFFFFF"/>
            <w:hideMark/>
          </w:tcPr>
          <w:p w14:paraId="2754453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798" w:type="dxa"/>
            <w:gridSpan w:val="4"/>
            <w:tcBorders>
              <w:top w:val="nil"/>
              <w:left w:val="nil"/>
              <w:bottom w:val="nil"/>
              <w:right w:val="single" w:sz="4" w:space="0" w:color="000000"/>
            </w:tcBorders>
            <w:shd w:val="clear" w:color="000000" w:fill="FFFFFF"/>
            <w:hideMark/>
          </w:tcPr>
          <w:p w14:paraId="66EF86A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817" w:type="dxa"/>
            <w:gridSpan w:val="4"/>
            <w:tcBorders>
              <w:top w:val="nil"/>
              <w:left w:val="nil"/>
              <w:bottom w:val="nil"/>
              <w:right w:val="single" w:sz="4" w:space="0" w:color="000000"/>
            </w:tcBorders>
            <w:shd w:val="clear" w:color="000000" w:fill="FFFFFF"/>
            <w:hideMark/>
          </w:tcPr>
          <w:p w14:paraId="0E0E69D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797" w:type="dxa"/>
            <w:gridSpan w:val="4"/>
            <w:tcBorders>
              <w:top w:val="nil"/>
              <w:left w:val="nil"/>
              <w:bottom w:val="nil"/>
              <w:right w:val="single" w:sz="4" w:space="0" w:color="000000"/>
            </w:tcBorders>
            <w:shd w:val="clear" w:color="000000" w:fill="FFFFFF"/>
            <w:hideMark/>
          </w:tcPr>
          <w:p w14:paraId="59FE885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1837" w:type="dxa"/>
            <w:gridSpan w:val="2"/>
            <w:tcBorders>
              <w:top w:val="nil"/>
              <w:left w:val="nil"/>
              <w:bottom w:val="nil"/>
              <w:right w:val="single" w:sz="4" w:space="0" w:color="000000"/>
            </w:tcBorders>
            <w:shd w:val="clear" w:color="000000" w:fill="FFFFFF"/>
            <w:hideMark/>
          </w:tcPr>
          <w:p w14:paraId="14C220E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143993FE" w14:textId="77777777" w:rsidTr="00103CC2">
        <w:trPr>
          <w:trHeight w:val="199"/>
        </w:trPr>
        <w:tc>
          <w:tcPr>
            <w:tcW w:w="2655" w:type="dxa"/>
            <w:gridSpan w:val="5"/>
            <w:tcBorders>
              <w:top w:val="single" w:sz="4" w:space="0" w:color="000000"/>
              <w:left w:val="single" w:sz="4" w:space="0" w:color="000000"/>
              <w:bottom w:val="nil"/>
              <w:right w:val="single" w:sz="4" w:space="0" w:color="000000"/>
            </w:tcBorders>
            <w:shd w:val="clear" w:color="000000" w:fill="FFFFFF"/>
            <w:hideMark/>
          </w:tcPr>
          <w:p w14:paraId="17FA65E2"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TOTAL</w:t>
            </w:r>
          </w:p>
        </w:tc>
        <w:tc>
          <w:tcPr>
            <w:tcW w:w="280" w:type="dxa"/>
            <w:tcBorders>
              <w:top w:val="single" w:sz="4" w:space="0" w:color="000000"/>
              <w:left w:val="nil"/>
              <w:bottom w:val="nil"/>
              <w:right w:val="single" w:sz="4" w:space="0" w:color="000000"/>
            </w:tcBorders>
            <w:shd w:val="clear" w:color="000000" w:fill="FFFFFF"/>
            <w:hideMark/>
          </w:tcPr>
          <w:p w14:paraId="7C2356A8"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1777" w:type="dxa"/>
            <w:tcBorders>
              <w:top w:val="single" w:sz="4" w:space="0" w:color="000000"/>
              <w:left w:val="nil"/>
              <w:bottom w:val="nil"/>
              <w:right w:val="single" w:sz="4" w:space="0" w:color="000000"/>
            </w:tcBorders>
            <w:shd w:val="clear" w:color="000000" w:fill="FFFFFF"/>
            <w:hideMark/>
          </w:tcPr>
          <w:p w14:paraId="72C056C6"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4.754.139.123,60</w:t>
            </w:r>
          </w:p>
        </w:tc>
        <w:tc>
          <w:tcPr>
            <w:tcW w:w="2079" w:type="dxa"/>
            <w:gridSpan w:val="6"/>
            <w:tcBorders>
              <w:top w:val="single" w:sz="4" w:space="0" w:color="000000"/>
              <w:left w:val="nil"/>
              <w:bottom w:val="nil"/>
              <w:right w:val="single" w:sz="4" w:space="0" w:color="000000"/>
            </w:tcBorders>
            <w:shd w:val="clear" w:color="000000" w:fill="FFFFFF"/>
            <w:hideMark/>
          </w:tcPr>
          <w:p w14:paraId="57CDF1EC"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8.958.037.133,52</w:t>
            </w:r>
          </w:p>
        </w:tc>
        <w:tc>
          <w:tcPr>
            <w:tcW w:w="1798" w:type="dxa"/>
            <w:gridSpan w:val="4"/>
            <w:tcBorders>
              <w:top w:val="single" w:sz="4" w:space="0" w:color="000000"/>
              <w:left w:val="nil"/>
              <w:bottom w:val="nil"/>
              <w:right w:val="single" w:sz="4" w:space="0" w:color="000000"/>
            </w:tcBorders>
            <w:shd w:val="clear" w:color="000000" w:fill="FFFFFF"/>
            <w:hideMark/>
          </w:tcPr>
          <w:p w14:paraId="12C6DEA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4.908.440.748,58</w:t>
            </w:r>
          </w:p>
        </w:tc>
        <w:tc>
          <w:tcPr>
            <w:tcW w:w="1817" w:type="dxa"/>
            <w:gridSpan w:val="4"/>
            <w:tcBorders>
              <w:top w:val="single" w:sz="4" w:space="0" w:color="000000"/>
              <w:left w:val="nil"/>
              <w:bottom w:val="nil"/>
              <w:right w:val="single" w:sz="4" w:space="0" w:color="000000"/>
            </w:tcBorders>
            <w:shd w:val="clear" w:color="000000" w:fill="FFFFFF"/>
            <w:hideMark/>
          </w:tcPr>
          <w:p w14:paraId="7258601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4.281.600.349,52</w:t>
            </w:r>
          </w:p>
        </w:tc>
        <w:tc>
          <w:tcPr>
            <w:tcW w:w="1797" w:type="dxa"/>
            <w:gridSpan w:val="4"/>
            <w:tcBorders>
              <w:top w:val="single" w:sz="4" w:space="0" w:color="000000"/>
              <w:left w:val="nil"/>
              <w:bottom w:val="nil"/>
              <w:right w:val="single" w:sz="4" w:space="0" w:color="000000"/>
            </w:tcBorders>
            <w:shd w:val="clear" w:color="000000" w:fill="FFFFFF"/>
            <w:hideMark/>
          </w:tcPr>
          <w:p w14:paraId="436A5D3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890.060.836,27</w:t>
            </w:r>
          </w:p>
        </w:tc>
        <w:tc>
          <w:tcPr>
            <w:tcW w:w="1837" w:type="dxa"/>
            <w:gridSpan w:val="2"/>
            <w:tcBorders>
              <w:top w:val="single" w:sz="4" w:space="0" w:color="000000"/>
              <w:left w:val="nil"/>
              <w:bottom w:val="nil"/>
              <w:right w:val="single" w:sz="4" w:space="0" w:color="000000"/>
            </w:tcBorders>
            <w:shd w:val="clear" w:color="000000" w:fill="FFFFFF"/>
            <w:hideMark/>
          </w:tcPr>
          <w:p w14:paraId="6287F11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8.540.515.071,33</w:t>
            </w:r>
          </w:p>
        </w:tc>
      </w:tr>
      <w:tr w:rsidR="00103CC2" w:rsidRPr="00103CC2" w14:paraId="18D4308F" w14:textId="77777777" w:rsidTr="00103CC2">
        <w:trPr>
          <w:trHeight w:val="19"/>
        </w:trPr>
        <w:tc>
          <w:tcPr>
            <w:tcW w:w="14040" w:type="dxa"/>
            <w:gridSpan w:val="27"/>
            <w:tcBorders>
              <w:top w:val="single" w:sz="4" w:space="0" w:color="000000"/>
              <w:left w:val="nil"/>
              <w:bottom w:val="nil"/>
              <w:right w:val="nil"/>
            </w:tcBorders>
            <w:shd w:val="clear" w:color="000000" w:fill="FFFFFF"/>
            <w:hideMark/>
          </w:tcPr>
          <w:p w14:paraId="7FEF426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5052469C" w14:textId="77777777" w:rsidTr="00103CC2">
        <w:trPr>
          <w:trHeight w:val="199"/>
        </w:trPr>
        <w:tc>
          <w:tcPr>
            <w:tcW w:w="619" w:type="dxa"/>
            <w:tcBorders>
              <w:top w:val="nil"/>
              <w:left w:val="nil"/>
              <w:bottom w:val="nil"/>
              <w:right w:val="nil"/>
            </w:tcBorders>
            <w:shd w:val="clear" w:color="000000" w:fill="FFFFFF"/>
            <w:hideMark/>
          </w:tcPr>
          <w:p w14:paraId="1F57933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0" w:type="dxa"/>
            <w:tcBorders>
              <w:top w:val="nil"/>
              <w:left w:val="nil"/>
              <w:bottom w:val="nil"/>
              <w:right w:val="nil"/>
            </w:tcBorders>
            <w:shd w:val="clear" w:color="000000" w:fill="FFFFFF"/>
            <w:hideMark/>
          </w:tcPr>
          <w:p w14:paraId="7DB7D12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0FE021D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247EBFA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277" w:type="dxa"/>
            <w:tcBorders>
              <w:top w:val="nil"/>
              <w:left w:val="nil"/>
              <w:bottom w:val="nil"/>
              <w:right w:val="nil"/>
            </w:tcBorders>
            <w:shd w:val="clear" w:color="000000" w:fill="FFFFFF"/>
            <w:hideMark/>
          </w:tcPr>
          <w:p w14:paraId="2D8BF46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6D2C528F"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777" w:type="dxa"/>
            <w:tcBorders>
              <w:top w:val="nil"/>
              <w:left w:val="nil"/>
              <w:bottom w:val="nil"/>
              <w:right w:val="nil"/>
            </w:tcBorders>
            <w:shd w:val="clear" w:color="000000" w:fill="FFFFFF"/>
            <w:hideMark/>
          </w:tcPr>
          <w:p w14:paraId="58681FC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2D98CC0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80" w:type="dxa"/>
            <w:tcBorders>
              <w:top w:val="nil"/>
              <w:left w:val="nil"/>
              <w:bottom w:val="nil"/>
              <w:right w:val="nil"/>
            </w:tcBorders>
            <w:shd w:val="clear" w:color="000000" w:fill="FFFFFF"/>
            <w:hideMark/>
          </w:tcPr>
          <w:p w14:paraId="59D7BFC5"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200" w:type="dxa"/>
            <w:tcBorders>
              <w:top w:val="nil"/>
              <w:left w:val="nil"/>
              <w:bottom w:val="nil"/>
              <w:right w:val="nil"/>
            </w:tcBorders>
            <w:shd w:val="clear" w:color="000000" w:fill="FFFFFF"/>
            <w:hideMark/>
          </w:tcPr>
          <w:p w14:paraId="44E4CE3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0" w:type="dxa"/>
            <w:tcBorders>
              <w:top w:val="nil"/>
              <w:left w:val="nil"/>
              <w:bottom w:val="nil"/>
              <w:right w:val="nil"/>
            </w:tcBorders>
            <w:shd w:val="clear" w:color="000000" w:fill="FFFFFF"/>
            <w:hideMark/>
          </w:tcPr>
          <w:p w14:paraId="18C90D0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79" w:type="dxa"/>
            <w:tcBorders>
              <w:top w:val="nil"/>
              <w:left w:val="nil"/>
              <w:bottom w:val="nil"/>
              <w:right w:val="nil"/>
            </w:tcBorders>
            <w:shd w:val="clear" w:color="000000" w:fill="FFFFFF"/>
            <w:hideMark/>
          </w:tcPr>
          <w:p w14:paraId="7405534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60" w:type="dxa"/>
            <w:tcBorders>
              <w:top w:val="nil"/>
              <w:left w:val="nil"/>
              <w:bottom w:val="nil"/>
              <w:right w:val="nil"/>
            </w:tcBorders>
            <w:shd w:val="clear" w:color="000000" w:fill="FFFFFF"/>
            <w:hideMark/>
          </w:tcPr>
          <w:p w14:paraId="0B57C7A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79" w:type="dxa"/>
            <w:tcBorders>
              <w:top w:val="nil"/>
              <w:left w:val="nil"/>
              <w:bottom w:val="nil"/>
              <w:right w:val="nil"/>
            </w:tcBorders>
            <w:shd w:val="clear" w:color="000000" w:fill="FFFFFF"/>
            <w:hideMark/>
          </w:tcPr>
          <w:p w14:paraId="4193CA0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0" w:type="dxa"/>
            <w:tcBorders>
              <w:top w:val="nil"/>
              <w:left w:val="nil"/>
              <w:bottom w:val="nil"/>
              <w:right w:val="nil"/>
            </w:tcBorders>
            <w:shd w:val="clear" w:color="000000" w:fill="FFFFFF"/>
            <w:hideMark/>
          </w:tcPr>
          <w:p w14:paraId="5DBB5A3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599" w:type="dxa"/>
            <w:tcBorders>
              <w:top w:val="nil"/>
              <w:left w:val="nil"/>
              <w:bottom w:val="nil"/>
              <w:right w:val="nil"/>
            </w:tcBorders>
            <w:shd w:val="clear" w:color="000000" w:fill="FFFFFF"/>
            <w:hideMark/>
          </w:tcPr>
          <w:p w14:paraId="7781F09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80" w:type="dxa"/>
            <w:tcBorders>
              <w:top w:val="nil"/>
              <w:left w:val="nil"/>
              <w:bottom w:val="nil"/>
              <w:right w:val="nil"/>
            </w:tcBorders>
            <w:shd w:val="clear" w:color="000000" w:fill="FFFFFF"/>
            <w:hideMark/>
          </w:tcPr>
          <w:p w14:paraId="4EF7923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978" w:type="dxa"/>
            <w:tcBorders>
              <w:top w:val="nil"/>
              <w:left w:val="nil"/>
              <w:bottom w:val="nil"/>
              <w:right w:val="nil"/>
            </w:tcBorders>
            <w:shd w:val="clear" w:color="000000" w:fill="FFFFFF"/>
            <w:hideMark/>
          </w:tcPr>
          <w:p w14:paraId="0AB04AA1"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282BBA63"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80" w:type="dxa"/>
            <w:tcBorders>
              <w:top w:val="nil"/>
              <w:left w:val="nil"/>
              <w:bottom w:val="nil"/>
              <w:right w:val="nil"/>
            </w:tcBorders>
            <w:shd w:val="clear" w:color="000000" w:fill="FFFFFF"/>
            <w:hideMark/>
          </w:tcPr>
          <w:p w14:paraId="309A2EC6"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719" w:type="dxa"/>
            <w:tcBorders>
              <w:top w:val="nil"/>
              <w:left w:val="nil"/>
              <w:bottom w:val="nil"/>
              <w:right w:val="nil"/>
            </w:tcBorders>
            <w:shd w:val="clear" w:color="000000" w:fill="FFFFFF"/>
            <w:hideMark/>
          </w:tcPr>
          <w:p w14:paraId="26012E5C"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79" w:type="dxa"/>
            <w:tcBorders>
              <w:top w:val="nil"/>
              <w:left w:val="nil"/>
              <w:bottom w:val="nil"/>
              <w:right w:val="nil"/>
            </w:tcBorders>
            <w:shd w:val="clear" w:color="000000" w:fill="FFFFFF"/>
            <w:hideMark/>
          </w:tcPr>
          <w:p w14:paraId="165C3D64"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699" w:type="dxa"/>
            <w:tcBorders>
              <w:top w:val="nil"/>
              <w:left w:val="nil"/>
              <w:bottom w:val="nil"/>
              <w:right w:val="nil"/>
            </w:tcBorders>
            <w:shd w:val="clear" w:color="000000" w:fill="FFFFFF"/>
            <w:hideMark/>
          </w:tcPr>
          <w:p w14:paraId="6BABE11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3BE83A27"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79" w:type="dxa"/>
            <w:tcBorders>
              <w:top w:val="nil"/>
              <w:left w:val="nil"/>
              <w:bottom w:val="nil"/>
              <w:right w:val="nil"/>
            </w:tcBorders>
            <w:shd w:val="clear" w:color="000000" w:fill="FFFFFF"/>
            <w:hideMark/>
          </w:tcPr>
          <w:p w14:paraId="570BC68E"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359" w:type="dxa"/>
            <w:tcBorders>
              <w:top w:val="nil"/>
              <w:left w:val="nil"/>
              <w:bottom w:val="nil"/>
              <w:right w:val="nil"/>
            </w:tcBorders>
            <w:shd w:val="clear" w:color="000000" w:fill="FFFFFF"/>
            <w:hideMark/>
          </w:tcPr>
          <w:p w14:paraId="79CD0E00"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c>
          <w:tcPr>
            <w:tcW w:w="1478" w:type="dxa"/>
            <w:tcBorders>
              <w:top w:val="nil"/>
              <w:left w:val="nil"/>
              <w:bottom w:val="nil"/>
              <w:right w:val="nil"/>
            </w:tcBorders>
            <w:shd w:val="clear" w:color="000000" w:fill="FFFFFF"/>
            <w:hideMark/>
          </w:tcPr>
          <w:p w14:paraId="4A9EFCBA" w14:textId="77777777" w:rsidR="00103CC2" w:rsidRPr="00103CC2" w:rsidRDefault="00103CC2" w:rsidP="00103CC2">
            <w:pPr>
              <w:widowControl/>
              <w:suppressAutoHyphens w:val="0"/>
              <w:autoSpaceDN/>
              <w:textAlignment w:val="auto"/>
              <w:rPr>
                <w:rFonts w:ascii="SansSerif" w:eastAsia="Times New Roman" w:hAnsi="SansSerif" w:cs="Arial"/>
                <w:color w:val="000000"/>
                <w:kern w:val="0"/>
                <w:sz w:val="14"/>
                <w:szCs w:val="14"/>
                <w:lang w:eastAsia="pt-BR" w:bidi="ar-SA"/>
              </w:rPr>
            </w:pPr>
            <w:r w:rsidRPr="00103CC2">
              <w:rPr>
                <w:rFonts w:ascii="SansSerif" w:eastAsia="Times New Roman" w:hAnsi="SansSerif" w:cs="Arial"/>
                <w:color w:val="000000"/>
                <w:kern w:val="0"/>
                <w:sz w:val="14"/>
                <w:szCs w:val="14"/>
                <w:lang w:eastAsia="pt-BR" w:bidi="ar-SA"/>
              </w:rPr>
              <w:t> </w:t>
            </w:r>
          </w:p>
        </w:tc>
      </w:tr>
      <w:tr w:rsidR="00103CC2" w:rsidRPr="00103CC2" w14:paraId="5E692F90" w14:textId="77777777" w:rsidTr="00103CC2">
        <w:trPr>
          <w:trHeight w:val="199"/>
        </w:trPr>
        <w:tc>
          <w:tcPr>
            <w:tcW w:w="14040" w:type="dxa"/>
            <w:gridSpan w:val="27"/>
            <w:tcBorders>
              <w:top w:val="nil"/>
              <w:left w:val="nil"/>
              <w:bottom w:val="nil"/>
              <w:right w:val="nil"/>
            </w:tcBorders>
            <w:shd w:val="clear" w:color="000000" w:fill="FFFFFF"/>
            <w:vAlign w:val="center"/>
            <w:hideMark/>
          </w:tcPr>
          <w:p w14:paraId="7F6B9CBE"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ANEXO 2 - DEMONSTRATIVO DE EXECUÇÃO RESTOS A PAGAR PROCESSADOS E NAO PROCESSADOS LIQUIDADOS</w:t>
            </w:r>
          </w:p>
        </w:tc>
      </w:tr>
      <w:tr w:rsidR="00103CC2" w:rsidRPr="00103CC2" w14:paraId="73CED291" w14:textId="77777777" w:rsidTr="00103CC2">
        <w:trPr>
          <w:trHeight w:val="276"/>
        </w:trPr>
        <w:tc>
          <w:tcPr>
            <w:tcW w:w="2655"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452A1F9"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DESPESAS ORÇAMENTÁRIAS</w:t>
            </w:r>
          </w:p>
        </w:tc>
        <w:tc>
          <w:tcPr>
            <w:tcW w:w="28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11C8E31"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N.E.</w:t>
            </w:r>
          </w:p>
        </w:tc>
        <w:tc>
          <w:tcPr>
            <w:tcW w:w="241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F87EB9A"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INSCRITOS EM EXERCÍCIOS ANTERIORES</w:t>
            </w:r>
          </w:p>
        </w:tc>
        <w:tc>
          <w:tcPr>
            <w:tcW w:w="2158"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C667240"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INSCRITOS EM 31 DE D</w:t>
            </w:r>
            <w:r w:rsidRPr="00103CC2">
              <w:rPr>
                <w:rFonts w:ascii="Arial" w:eastAsia="Times New Roman" w:hAnsi="Arial" w:cs="Arial"/>
                <w:color w:val="000000"/>
                <w:kern w:val="0"/>
                <w:sz w:val="14"/>
                <w:szCs w:val="14"/>
                <w:lang w:eastAsia="pt-BR" w:bidi="ar-SA"/>
              </w:rPr>
              <w:t>E</w:t>
            </w:r>
            <w:r w:rsidRPr="00103CC2">
              <w:rPr>
                <w:rFonts w:ascii="Arial" w:eastAsia="Times New Roman" w:hAnsi="Arial" w:cs="Arial"/>
                <w:color w:val="000000"/>
                <w:kern w:val="0"/>
                <w:sz w:val="14"/>
                <w:szCs w:val="14"/>
                <w:lang w:eastAsia="pt-BR" w:bidi="ar-SA"/>
              </w:rPr>
              <w:t>ZEMBRO DO EXERCÍCIO ANTERIOR</w:t>
            </w:r>
          </w:p>
        </w:tc>
        <w:tc>
          <w:tcPr>
            <w:tcW w:w="2177"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139CC1B"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PAGOS</w:t>
            </w:r>
          </w:p>
        </w:tc>
        <w:tc>
          <w:tcPr>
            <w:tcW w:w="213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157ECE4"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CANCELADOS</w:t>
            </w:r>
          </w:p>
        </w:tc>
        <w:tc>
          <w:tcPr>
            <w:tcW w:w="2216"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27D2CD" w14:textId="77777777" w:rsidR="00103CC2" w:rsidRPr="00103CC2" w:rsidRDefault="00103CC2" w:rsidP="00103CC2">
            <w:pPr>
              <w:widowControl/>
              <w:suppressAutoHyphens w:val="0"/>
              <w:autoSpaceDN/>
              <w:jc w:val="center"/>
              <w:textAlignment w:val="auto"/>
              <w:rPr>
                <w:rFonts w:ascii="Arial" w:eastAsia="Times New Roman" w:hAnsi="Arial" w:cs="Arial"/>
                <w:color w:val="000000"/>
                <w:kern w:val="0"/>
                <w:sz w:val="14"/>
                <w:szCs w:val="14"/>
                <w:lang w:eastAsia="pt-BR" w:bidi="ar-SA"/>
              </w:rPr>
            </w:pPr>
            <w:r w:rsidRPr="00103CC2">
              <w:rPr>
                <w:rFonts w:ascii="Arial" w:eastAsia="Times New Roman" w:hAnsi="Arial" w:cs="Arial"/>
                <w:color w:val="000000"/>
                <w:kern w:val="0"/>
                <w:sz w:val="14"/>
                <w:szCs w:val="14"/>
                <w:lang w:eastAsia="pt-BR" w:bidi="ar-SA"/>
              </w:rPr>
              <w:t>SALDO</w:t>
            </w:r>
          </w:p>
        </w:tc>
      </w:tr>
      <w:tr w:rsidR="00103CC2" w:rsidRPr="00103CC2" w14:paraId="42EBCFC2" w14:textId="77777777" w:rsidTr="00103CC2">
        <w:trPr>
          <w:trHeight w:val="276"/>
        </w:trPr>
        <w:tc>
          <w:tcPr>
            <w:tcW w:w="2655" w:type="dxa"/>
            <w:gridSpan w:val="5"/>
            <w:vMerge/>
            <w:tcBorders>
              <w:top w:val="single" w:sz="4" w:space="0" w:color="000000"/>
              <w:left w:val="single" w:sz="4" w:space="0" w:color="000000"/>
              <w:bottom w:val="single" w:sz="4" w:space="0" w:color="000000"/>
              <w:right w:val="single" w:sz="4" w:space="0" w:color="000000"/>
            </w:tcBorders>
            <w:vAlign w:val="center"/>
            <w:hideMark/>
          </w:tcPr>
          <w:p w14:paraId="60710B8C"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80" w:type="dxa"/>
            <w:vMerge/>
            <w:tcBorders>
              <w:top w:val="single" w:sz="4" w:space="0" w:color="000000"/>
              <w:left w:val="single" w:sz="4" w:space="0" w:color="000000"/>
              <w:bottom w:val="single" w:sz="4" w:space="0" w:color="000000"/>
              <w:right w:val="single" w:sz="4" w:space="0" w:color="000000"/>
            </w:tcBorders>
            <w:vAlign w:val="center"/>
            <w:hideMark/>
          </w:tcPr>
          <w:p w14:paraId="6BD4D1E6"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417" w:type="dxa"/>
            <w:gridSpan w:val="4"/>
            <w:vMerge/>
            <w:tcBorders>
              <w:top w:val="single" w:sz="4" w:space="0" w:color="000000"/>
              <w:left w:val="single" w:sz="4" w:space="0" w:color="000000"/>
              <w:bottom w:val="single" w:sz="4" w:space="0" w:color="000000"/>
              <w:right w:val="single" w:sz="4" w:space="0" w:color="000000"/>
            </w:tcBorders>
            <w:vAlign w:val="center"/>
            <w:hideMark/>
          </w:tcPr>
          <w:p w14:paraId="5E854ECD"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158" w:type="dxa"/>
            <w:gridSpan w:val="5"/>
            <w:vMerge/>
            <w:tcBorders>
              <w:top w:val="single" w:sz="4" w:space="0" w:color="000000"/>
              <w:left w:val="single" w:sz="4" w:space="0" w:color="000000"/>
              <w:bottom w:val="single" w:sz="4" w:space="0" w:color="000000"/>
              <w:right w:val="single" w:sz="4" w:space="0" w:color="000000"/>
            </w:tcBorders>
            <w:vAlign w:val="center"/>
            <w:hideMark/>
          </w:tcPr>
          <w:p w14:paraId="3B2CFE31"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1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82070F9"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137" w:type="dxa"/>
            <w:gridSpan w:val="4"/>
            <w:vMerge/>
            <w:tcBorders>
              <w:top w:val="single" w:sz="4" w:space="0" w:color="000000"/>
              <w:left w:val="single" w:sz="4" w:space="0" w:color="000000"/>
              <w:bottom w:val="single" w:sz="4" w:space="0" w:color="000000"/>
              <w:right w:val="single" w:sz="4" w:space="0" w:color="000000"/>
            </w:tcBorders>
            <w:vAlign w:val="center"/>
            <w:hideMark/>
          </w:tcPr>
          <w:p w14:paraId="1F9ACBC3"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216" w:type="dxa"/>
            <w:gridSpan w:val="3"/>
            <w:vMerge/>
            <w:tcBorders>
              <w:top w:val="single" w:sz="4" w:space="0" w:color="000000"/>
              <w:left w:val="single" w:sz="4" w:space="0" w:color="000000"/>
              <w:bottom w:val="single" w:sz="4" w:space="0" w:color="000000"/>
              <w:right w:val="single" w:sz="4" w:space="0" w:color="000000"/>
            </w:tcBorders>
            <w:vAlign w:val="center"/>
            <w:hideMark/>
          </w:tcPr>
          <w:p w14:paraId="1087C060"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r>
      <w:tr w:rsidR="00103CC2" w:rsidRPr="00103CC2" w14:paraId="54F9C7B9" w14:textId="77777777" w:rsidTr="00103CC2">
        <w:trPr>
          <w:trHeight w:val="402"/>
        </w:trPr>
        <w:tc>
          <w:tcPr>
            <w:tcW w:w="2655" w:type="dxa"/>
            <w:gridSpan w:val="5"/>
            <w:vMerge/>
            <w:tcBorders>
              <w:top w:val="single" w:sz="4" w:space="0" w:color="000000"/>
              <w:left w:val="single" w:sz="4" w:space="0" w:color="000000"/>
              <w:bottom w:val="single" w:sz="4" w:space="0" w:color="000000"/>
              <w:right w:val="single" w:sz="4" w:space="0" w:color="000000"/>
            </w:tcBorders>
            <w:vAlign w:val="center"/>
            <w:hideMark/>
          </w:tcPr>
          <w:p w14:paraId="6B8E17BF"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80" w:type="dxa"/>
            <w:vMerge/>
            <w:tcBorders>
              <w:top w:val="single" w:sz="4" w:space="0" w:color="000000"/>
              <w:left w:val="single" w:sz="4" w:space="0" w:color="000000"/>
              <w:bottom w:val="single" w:sz="4" w:space="0" w:color="000000"/>
              <w:right w:val="single" w:sz="4" w:space="0" w:color="000000"/>
            </w:tcBorders>
            <w:vAlign w:val="center"/>
            <w:hideMark/>
          </w:tcPr>
          <w:p w14:paraId="4531E529"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417" w:type="dxa"/>
            <w:gridSpan w:val="4"/>
            <w:vMerge/>
            <w:tcBorders>
              <w:top w:val="single" w:sz="4" w:space="0" w:color="000000"/>
              <w:left w:val="single" w:sz="4" w:space="0" w:color="000000"/>
              <w:bottom w:val="single" w:sz="4" w:space="0" w:color="000000"/>
              <w:right w:val="single" w:sz="4" w:space="0" w:color="000000"/>
            </w:tcBorders>
            <w:vAlign w:val="center"/>
            <w:hideMark/>
          </w:tcPr>
          <w:p w14:paraId="26312997"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158" w:type="dxa"/>
            <w:gridSpan w:val="5"/>
            <w:vMerge/>
            <w:tcBorders>
              <w:top w:val="single" w:sz="4" w:space="0" w:color="000000"/>
              <w:left w:val="single" w:sz="4" w:space="0" w:color="000000"/>
              <w:bottom w:val="single" w:sz="4" w:space="0" w:color="000000"/>
              <w:right w:val="single" w:sz="4" w:space="0" w:color="000000"/>
            </w:tcBorders>
            <w:vAlign w:val="center"/>
            <w:hideMark/>
          </w:tcPr>
          <w:p w14:paraId="47155B93"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1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966E874"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137" w:type="dxa"/>
            <w:gridSpan w:val="4"/>
            <w:vMerge/>
            <w:tcBorders>
              <w:top w:val="single" w:sz="4" w:space="0" w:color="000000"/>
              <w:left w:val="single" w:sz="4" w:space="0" w:color="000000"/>
              <w:bottom w:val="single" w:sz="4" w:space="0" w:color="000000"/>
              <w:right w:val="single" w:sz="4" w:space="0" w:color="000000"/>
            </w:tcBorders>
            <w:vAlign w:val="center"/>
            <w:hideMark/>
          </w:tcPr>
          <w:p w14:paraId="1BF059A6"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c>
          <w:tcPr>
            <w:tcW w:w="2216" w:type="dxa"/>
            <w:gridSpan w:val="3"/>
            <w:vMerge/>
            <w:tcBorders>
              <w:top w:val="single" w:sz="4" w:space="0" w:color="000000"/>
              <w:left w:val="single" w:sz="4" w:space="0" w:color="000000"/>
              <w:bottom w:val="single" w:sz="4" w:space="0" w:color="000000"/>
              <w:right w:val="single" w:sz="4" w:space="0" w:color="000000"/>
            </w:tcBorders>
            <w:vAlign w:val="center"/>
            <w:hideMark/>
          </w:tcPr>
          <w:p w14:paraId="6EABEEEC" w14:textId="77777777" w:rsidR="00103CC2" w:rsidRPr="00103CC2" w:rsidRDefault="00103CC2" w:rsidP="00103CC2">
            <w:pPr>
              <w:widowControl/>
              <w:suppressAutoHyphens w:val="0"/>
              <w:autoSpaceDN/>
              <w:textAlignment w:val="auto"/>
              <w:rPr>
                <w:rFonts w:ascii="Arial" w:eastAsia="Times New Roman" w:hAnsi="Arial" w:cs="Arial"/>
                <w:color w:val="000000"/>
                <w:kern w:val="0"/>
                <w:sz w:val="14"/>
                <w:szCs w:val="14"/>
                <w:lang w:eastAsia="pt-BR" w:bidi="ar-SA"/>
              </w:rPr>
            </w:pPr>
          </w:p>
        </w:tc>
      </w:tr>
      <w:tr w:rsidR="00103CC2" w:rsidRPr="00103CC2" w14:paraId="23B639C0"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0D6FE4F1"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DESPESAS CORRENTES</w:t>
            </w:r>
          </w:p>
        </w:tc>
        <w:tc>
          <w:tcPr>
            <w:tcW w:w="280" w:type="dxa"/>
            <w:tcBorders>
              <w:top w:val="nil"/>
              <w:left w:val="nil"/>
              <w:bottom w:val="nil"/>
              <w:right w:val="single" w:sz="4" w:space="0" w:color="000000"/>
            </w:tcBorders>
            <w:shd w:val="clear" w:color="000000" w:fill="FFFFFF"/>
            <w:hideMark/>
          </w:tcPr>
          <w:p w14:paraId="18AEB823"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417" w:type="dxa"/>
            <w:gridSpan w:val="4"/>
            <w:tcBorders>
              <w:top w:val="nil"/>
              <w:left w:val="nil"/>
              <w:bottom w:val="nil"/>
              <w:right w:val="single" w:sz="4" w:space="0" w:color="000000"/>
            </w:tcBorders>
            <w:shd w:val="clear" w:color="000000" w:fill="FFFFFF"/>
            <w:hideMark/>
          </w:tcPr>
          <w:p w14:paraId="01DACE3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37.444.301,57</w:t>
            </w:r>
          </w:p>
        </w:tc>
        <w:tc>
          <w:tcPr>
            <w:tcW w:w="2158" w:type="dxa"/>
            <w:gridSpan w:val="5"/>
            <w:tcBorders>
              <w:top w:val="nil"/>
              <w:left w:val="nil"/>
              <w:bottom w:val="nil"/>
              <w:right w:val="single" w:sz="4" w:space="0" w:color="000000"/>
            </w:tcBorders>
            <w:shd w:val="clear" w:color="000000" w:fill="FFFFFF"/>
            <w:hideMark/>
          </w:tcPr>
          <w:p w14:paraId="4226C47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399.994.112,60</w:t>
            </w:r>
          </w:p>
        </w:tc>
        <w:tc>
          <w:tcPr>
            <w:tcW w:w="2177" w:type="dxa"/>
            <w:gridSpan w:val="5"/>
            <w:tcBorders>
              <w:top w:val="nil"/>
              <w:left w:val="nil"/>
              <w:bottom w:val="nil"/>
              <w:right w:val="single" w:sz="4" w:space="0" w:color="000000"/>
            </w:tcBorders>
            <w:shd w:val="clear" w:color="000000" w:fill="FFFFFF"/>
            <w:hideMark/>
          </w:tcPr>
          <w:p w14:paraId="644CD07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207.658.367,51</w:t>
            </w:r>
          </w:p>
        </w:tc>
        <w:tc>
          <w:tcPr>
            <w:tcW w:w="2137" w:type="dxa"/>
            <w:gridSpan w:val="4"/>
            <w:tcBorders>
              <w:top w:val="nil"/>
              <w:left w:val="nil"/>
              <w:bottom w:val="nil"/>
              <w:right w:val="single" w:sz="4" w:space="0" w:color="000000"/>
            </w:tcBorders>
            <w:shd w:val="clear" w:color="000000" w:fill="FFFFFF"/>
            <w:hideMark/>
          </w:tcPr>
          <w:p w14:paraId="71E5788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1.113.645,66</w:t>
            </w:r>
          </w:p>
        </w:tc>
        <w:tc>
          <w:tcPr>
            <w:tcW w:w="2216" w:type="dxa"/>
            <w:gridSpan w:val="3"/>
            <w:tcBorders>
              <w:top w:val="nil"/>
              <w:left w:val="nil"/>
              <w:bottom w:val="nil"/>
              <w:right w:val="single" w:sz="4" w:space="0" w:color="000000"/>
            </w:tcBorders>
            <w:shd w:val="clear" w:color="000000" w:fill="FFFFFF"/>
            <w:hideMark/>
          </w:tcPr>
          <w:p w14:paraId="0B4CFDE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228.666.401,00</w:t>
            </w:r>
          </w:p>
        </w:tc>
      </w:tr>
      <w:tr w:rsidR="00103CC2" w:rsidRPr="00103CC2" w14:paraId="2919E4F2"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20D24D9F"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Pessoal e Encargos Sociais</w:t>
            </w:r>
          </w:p>
        </w:tc>
        <w:tc>
          <w:tcPr>
            <w:tcW w:w="280" w:type="dxa"/>
            <w:tcBorders>
              <w:top w:val="nil"/>
              <w:left w:val="nil"/>
              <w:bottom w:val="nil"/>
              <w:right w:val="single" w:sz="4" w:space="0" w:color="000000"/>
            </w:tcBorders>
            <w:shd w:val="clear" w:color="000000" w:fill="FFFFFF"/>
            <w:hideMark/>
          </w:tcPr>
          <w:p w14:paraId="3EF8A28E"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417" w:type="dxa"/>
            <w:gridSpan w:val="4"/>
            <w:tcBorders>
              <w:top w:val="nil"/>
              <w:left w:val="nil"/>
              <w:bottom w:val="nil"/>
              <w:right w:val="single" w:sz="4" w:space="0" w:color="000000"/>
            </w:tcBorders>
            <w:shd w:val="clear" w:color="000000" w:fill="FFFFFF"/>
            <w:hideMark/>
          </w:tcPr>
          <w:p w14:paraId="6380FA9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11.800.707,43</w:t>
            </w:r>
          </w:p>
        </w:tc>
        <w:tc>
          <w:tcPr>
            <w:tcW w:w="2158" w:type="dxa"/>
            <w:gridSpan w:val="5"/>
            <w:tcBorders>
              <w:top w:val="nil"/>
              <w:left w:val="nil"/>
              <w:bottom w:val="nil"/>
              <w:right w:val="single" w:sz="4" w:space="0" w:color="000000"/>
            </w:tcBorders>
            <w:shd w:val="clear" w:color="000000" w:fill="FFFFFF"/>
            <w:hideMark/>
          </w:tcPr>
          <w:p w14:paraId="661AB7B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167.860.272,80</w:t>
            </w:r>
          </w:p>
        </w:tc>
        <w:tc>
          <w:tcPr>
            <w:tcW w:w="2177" w:type="dxa"/>
            <w:gridSpan w:val="5"/>
            <w:tcBorders>
              <w:top w:val="nil"/>
              <w:left w:val="nil"/>
              <w:bottom w:val="nil"/>
              <w:right w:val="single" w:sz="4" w:space="0" w:color="000000"/>
            </w:tcBorders>
            <w:shd w:val="clear" w:color="000000" w:fill="FFFFFF"/>
            <w:hideMark/>
          </w:tcPr>
          <w:p w14:paraId="2A05E1A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166.852.467,16</w:t>
            </w:r>
          </w:p>
        </w:tc>
        <w:tc>
          <w:tcPr>
            <w:tcW w:w="2137" w:type="dxa"/>
            <w:gridSpan w:val="4"/>
            <w:tcBorders>
              <w:top w:val="nil"/>
              <w:left w:val="nil"/>
              <w:bottom w:val="nil"/>
              <w:right w:val="single" w:sz="4" w:space="0" w:color="000000"/>
            </w:tcBorders>
            <w:shd w:val="clear" w:color="000000" w:fill="FFFFFF"/>
            <w:hideMark/>
          </w:tcPr>
          <w:p w14:paraId="3EAEDA8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53.205,77</w:t>
            </w:r>
          </w:p>
        </w:tc>
        <w:tc>
          <w:tcPr>
            <w:tcW w:w="2216" w:type="dxa"/>
            <w:gridSpan w:val="3"/>
            <w:tcBorders>
              <w:top w:val="nil"/>
              <w:left w:val="nil"/>
              <w:bottom w:val="nil"/>
              <w:right w:val="single" w:sz="4" w:space="0" w:color="000000"/>
            </w:tcBorders>
            <w:shd w:val="clear" w:color="000000" w:fill="FFFFFF"/>
            <w:hideMark/>
          </w:tcPr>
          <w:p w14:paraId="55012CA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12.755.307,30</w:t>
            </w:r>
          </w:p>
        </w:tc>
      </w:tr>
      <w:tr w:rsidR="00103CC2" w:rsidRPr="00103CC2" w14:paraId="46C621F0"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6170E430"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Juros e Encargos da Dívida</w:t>
            </w:r>
          </w:p>
        </w:tc>
        <w:tc>
          <w:tcPr>
            <w:tcW w:w="280" w:type="dxa"/>
            <w:tcBorders>
              <w:top w:val="nil"/>
              <w:left w:val="nil"/>
              <w:bottom w:val="nil"/>
              <w:right w:val="single" w:sz="4" w:space="0" w:color="000000"/>
            </w:tcBorders>
            <w:shd w:val="clear" w:color="000000" w:fill="FFFFFF"/>
            <w:hideMark/>
          </w:tcPr>
          <w:p w14:paraId="42EF0231"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417" w:type="dxa"/>
            <w:gridSpan w:val="4"/>
            <w:tcBorders>
              <w:top w:val="nil"/>
              <w:left w:val="nil"/>
              <w:bottom w:val="nil"/>
              <w:right w:val="single" w:sz="4" w:space="0" w:color="000000"/>
            </w:tcBorders>
            <w:shd w:val="clear" w:color="000000" w:fill="FFFFFF"/>
            <w:hideMark/>
          </w:tcPr>
          <w:p w14:paraId="6633FC3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778.101,46</w:t>
            </w:r>
          </w:p>
        </w:tc>
        <w:tc>
          <w:tcPr>
            <w:tcW w:w="2158" w:type="dxa"/>
            <w:gridSpan w:val="5"/>
            <w:tcBorders>
              <w:top w:val="nil"/>
              <w:left w:val="nil"/>
              <w:bottom w:val="nil"/>
              <w:right w:val="single" w:sz="4" w:space="0" w:color="000000"/>
            </w:tcBorders>
            <w:shd w:val="clear" w:color="000000" w:fill="FFFFFF"/>
            <w:hideMark/>
          </w:tcPr>
          <w:p w14:paraId="735F07A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77" w:type="dxa"/>
            <w:gridSpan w:val="5"/>
            <w:tcBorders>
              <w:top w:val="nil"/>
              <w:left w:val="nil"/>
              <w:bottom w:val="nil"/>
              <w:right w:val="single" w:sz="4" w:space="0" w:color="000000"/>
            </w:tcBorders>
            <w:shd w:val="clear" w:color="000000" w:fill="FFFFFF"/>
            <w:hideMark/>
          </w:tcPr>
          <w:p w14:paraId="1FB60E7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37" w:type="dxa"/>
            <w:gridSpan w:val="4"/>
            <w:tcBorders>
              <w:top w:val="nil"/>
              <w:left w:val="nil"/>
              <w:bottom w:val="nil"/>
              <w:right w:val="single" w:sz="4" w:space="0" w:color="000000"/>
            </w:tcBorders>
            <w:shd w:val="clear" w:color="000000" w:fill="FFFFFF"/>
            <w:hideMark/>
          </w:tcPr>
          <w:p w14:paraId="265632C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16" w:type="dxa"/>
            <w:gridSpan w:val="3"/>
            <w:tcBorders>
              <w:top w:val="nil"/>
              <w:left w:val="nil"/>
              <w:bottom w:val="nil"/>
              <w:right w:val="single" w:sz="4" w:space="0" w:color="000000"/>
            </w:tcBorders>
            <w:shd w:val="clear" w:color="000000" w:fill="FFFFFF"/>
            <w:hideMark/>
          </w:tcPr>
          <w:p w14:paraId="53E657E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778.101,46</w:t>
            </w:r>
          </w:p>
        </w:tc>
      </w:tr>
      <w:tr w:rsidR="00103CC2" w:rsidRPr="00103CC2" w14:paraId="0E36365D"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3A10CDCD"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Outras Despesas Correntes</w:t>
            </w:r>
          </w:p>
        </w:tc>
        <w:tc>
          <w:tcPr>
            <w:tcW w:w="280" w:type="dxa"/>
            <w:tcBorders>
              <w:top w:val="nil"/>
              <w:left w:val="nil"/>
              <w:bottom w:val="nil"/>
              <w:right w:val="single" w:sz="4" w:space="0" w:color="000000"/>
            </w:tcBorders>
            <w:shd w:val="clear" w:color="000000" w:fill="FFFFFF"/>
            <w:hideMark/>
          </w:tcPr>
          <w:p w14:paraId="31B4149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417" w:type="dxa"/>
            <w:gridSpan w:val="4"/>
            <w:tcBorders>
              <w:top w:val="nil"/>
              <w:left w:val="nil"/>
              <w:bottom w:val="nil"/>
              <w:right w:val="single" w:sz="4" w:space="0" w:color="000000"/>
            </w:tcBorders>
            <w:shd w:val="clear" w:color="000000" w:fill="FFFFFF"/>
            <w:hideMark/>
          </w:tcPr>
          <w:p w14:paraId="64873DB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24.865.492,68</w:t>
            </w:r>
          </w:p>
        </w:tc>
        <w:tc>
          <w:tcPr>
            <w:tcW w:w="2158" w:type="dxa"/>
            <w:gridSpan w:val="5"/>
            <w:tcBorders>
              <w:top w:val="nil"/>
              <w:left w:val="nil"/>
              <w:bottom w:val="nil"/>
              <w:right w:val="single" w:sz="4" w:space="0" w:color="000000"/>
            </w:tcBorders>
            <w:shd w:val="clear" w:color="000000" w:fill="FFFFFF"/>
            <w:hideMark/>
          </w:tcPr>
          <w:p w14:paraId="3356C921"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232.133.839,80</w:t>
            </w:r>
          </w:p>
        </w:tc>
        <w:tc>
          <w:tcPr>
            <w:tcW w:w="2177" w:type="dxa"/>
            <w:gridSpan w:val="5"/>
            <w:tcBorders>
              <w:top w:val="nil"/>
              <w:left w:val="nil"/>
              <w:bottom w:val="nil"/>
              <w:right w:val="single" w:sz="4" w:space="0" w:color="000000"/>
            </w:tcBorders>
            <w:shd w:val="clear" w:color="000000" w:fill="FFFFFF"/>
            <w:hideMark/>
          </w:tcPr>
          <w:p w14:paraId="236ECD4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40.805.900,35</w:t>
            </w:r>
          </w:p>
        </w:tc>
        <w:tc>
          <w:tcPr>
            <w:tcW w:w="2137" w:type="dxa"/>
            <w:gridSpan w:val="4"/>
            <w:tcBorders>
              <w:top w:val="nil"/>
              <w:left w:val="nil"/>
              <w:bottom w:val="nil"/>
              <w:right w:val="single" w:sz="4" w:space="0" w:color="000000"/>
            </w:tcBorders>
            <w:shd w:val="clear" w:color="000000" w:fill="FFFFFF"/>
            <w:hideMark/>
          </w:tcPr>
          <w:p w14:paraId="6CC70CC3"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1.060.439,89</w:t>
            </w:r>
          </w:p>
        </w:tc>
        <w:tc>
          <w:tcPr>
            <w:tcW w:w="2216" w:type="dxa"/>
            <w:gridSpan w:val="3"/>
            <w:tcBorders>
              <w:top w:val="nil"/>
              <w:left w:val="nil"/>
              <w:bottom w:val="nil"/>
              <w:right w:val="single" w:sz="4" w:space="0" w:color="000000"/>
            </w:tcBorders>
            <w:shd w:val="clear" w:color="000000" w:fill="FFFFFF"/>
            <w:hideMark/>
          </w:tcPr>
          <w:p w14:paraId="2B41967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215.132.992,24</w:t>
            </w:r>
          </w:p>
        </w:tc>
      </w:tr>
      <w:tr w:rsidR="00103CC2" w:rsidRPr="00103CC2" w14:paraId="3A659BAD"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50D04D2C"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DESPESAS DE CAPITAL</w:t>
            </w:r>
          </w:p>
        </w:tc>
        <w:tc>
          <w:tcPr>
            <w:tcW w:w="280" w:type="dxa"/>
            <w:tcBorders>
              <w:top w:val="nil"/>
              <w:left w:val="nil"/>
              <w:bottom w:val="nil"/>
              <w:right w:val="single" w:sz="4" w:space="0" w:color="000000"/>
            </w:tcBorders>
            <w:shd w:val="clear" w:color="000000" w:fill="FFFFFF"/>
            <w:hideMark/>
          </w:tcPr>
          <w:p w14:paraId="622D8472" w14:textId="77777777" w:rsidR="00103CC2" w:rsidRPr="00103CC2" w:rsidRDefault="00103CC2" w:rsidP="00103CC2">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17</w:t>
            </w:r>
          </w:p>
        </w:tc>
        <w:tc>
          <w:tcPr>
            <w:tcW w:w="2417" w:type="dxa"/>
            <w:gridSpan w:val="4"/>
            <w:tcBorders>
              <w:top w:val="nil"/>
              <w:left w:val="nil"/>
              <w:bottom w:val="nil"/>
              <w:right w:val="single" w:sz="4" w:space="0" w:color="000000"/>
            </w:tcBorders>
            <w:shd w:val="clear" w:color="000000" w:fill="FFFFFF"/>
            <w:hideMark/>
          </w:tcPr>
          <w:p w14:paraId="073F061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1.418.037.880,55</w:t>
            </w:r>
          </w:p>
        </w:tc>
        <w:tc>
          <w:tcPr>
            <w:tcW w:w="2158" w:type="dxa"/>
            <w:gridSpan w:val="5"/>
            <w:tcBorders>
              <w:top w:val="nil"/>
              <w:left w:val="nil"/>
              <w:bottom w:val="nil"/>
              <w:right w:val="single" w:sz="4" w:space="0" w:color="000000"/>
            </w:tcBorders>
            <w:shd w:val="clear" w:color="000000" w:fill="FFFFFF"/>
            <w:hideMark/>
          </w:tcPr>
          <w:p w14:paraId="17D9AA2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7.708.820.207,15</w:t>
            </w:r>
          </w:p>
        </w:tc>
        <w:tc>
          <w:tcPr>
            <w:tcW w:w="2177" w:type="dxa"/>
            <w:gridSpan w:val="5"/>
            <w:tcBorders>
              <w:top w:val="nil"/>
              <w:left w:val="nil"/>
              <w:bottom w:val="nil"/>
              <w:right w:val="single" w:sz="4" w:space="0" w:color="000000"/>
            </w:tcBorders>
            <w:shd w:val="clear" w:color="000000" w:fill="FFFFFF"/>
            <w:hideMark/>
          </w:tcPr>
          <w:p w14:paraId="14614F12"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2.961.136.535,74</w:t>
            </w:r>
          </w:p>
        </w:tc>
        <w:tc>
          <w:tcPr>
            <w:tcW w:w="2137" w:type="dxa"/>
            <w:gridSpan w:val="4"/>
            <w:tcBorders>
              <w:top w:val="nil"/>
              <w:left w:val="nil"/>
              <w:bottom w:val="nil"/>
              <w:right w:val="single" w:sz="4" w:space="0" w:color="000000"/>
            </w:tcBorders>
            <w:shd w:val="clear" w:color="000000" w:fill="FFFFFF"/>
            <w:hideMark/>
          </w:tcPr>
          <w:p w14:paraId="7423222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862.346.423,83</w:t>
            </w:r>
          </w:p>
        </w:tc>
        <w:tc>
          <w:tcPr>
            <w:tcW w:w="2216" w:type="dxa"/>
            <w:gridSpan w:val="3"/>
            <w:tcBorders>
              <w:top w:val="nil"/>
              <w:left w:val="nil"/>
              <w:bottom w:val="nil"/>
              <w:right w:val="single" w:sz="4" w:space="0" w:color="000000"/>
            </w:tcBorders>
            <w:shd w:val="clear" w:color="000000" w:fill="FFFFFF"/>
            <w:hideMark/>
          </w:tcPr>
          <w:p w14:paraId="02E2305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5.303.375.128,13</w:t>
            </w:r>
          </w:p>
        </w:tc>
      </w:tr>
      <w:tr w:rsidR="00103CC2" w:rsidRPr="00103CC2" w14:paraId="4E8233A5"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6712116B"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Investimentos</w:t>
            </w:r>
          </w:p>
        </w:tc>
        <w:tc>
          <w:tcPr>
            <w:tcW w:w="280" w:type="dxa"/>
            <w:tcBorders>
              <w:top w:val="nil"/>
              <w:left w:val="nil"/>
              <w:bottom w:val="nil"/>
              <w:right w:val="single" w:sz="4" w:space="0" w:color="000000"/>
            </w:tcBorders>
            <w:shd w:val="clear" w:color="000000" w:fill="FFFFFF"/>
            <w:hideMark/>
          </w:tcPr>
          <w:p w14:paraId="3B3310FC"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417" w:type="dxa"/>
            <w:gridSpan w:val="4"/>
            <w:tcBorders>
              <w:top w:val="nil"/>
              <w:left w:val="nil"/>
              <w:bottom w:val="nil"/>
              <w:right w:val="single" w:sz="4" w:space="0" w:color="000000"/>
            </w:tcBorders>
            <w:shd w:val="clear" w:color="000000" w:fill="FFFFFF"/>
            <w:hideMark/>
          </w:tcPr>
          <w:p w14:paraId="311F689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715.379.482,60</w:t>
            </w:r>
          </w:p>
        </w:tc>
        <w:tc>
          <w:tcPr>
            <w:tcW w:w="2158" w:type="dxa"/>
            <w:gridSpan w:val="5"/>
            <w:tcBorders>
              <w:top w:val="nil"/>
              <w:left w:val="nil"/>
              <w:bottom w:val="nil"/>
              <w:right w:val="single" w:sz="4" w:space="0" w:color="000000"/>
            </w:tcBorders>
            <w:shd w:val="clear" w:color="000000" w:fill="FFFFFF"/>
            <w:hideMark/>
          </w:tcPr>
          <w:p w14:paraId="1CFC48E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6.207.410.585,78</w:t>
            </w:r>
          </w:p>
        </w:tc>
        <w:tc>
          <w:tcPr>
            <w:tcW w:w="2177" w:type="dxa"/>
            <w:gridSpan w:val="5"/>
            <w:tcBorders>
              <w:top w:val="nil"/>
              <w:left w:val="nil"/>
              <w:bottom w:val="nil"/>
              <w:right w:val="single" w:sz="4" w:space="0" w:color="000000"/>
            </w:tcBorders>
            <w:shd w:val="clear" w:color="000000" w:fill="FFFFFF"/>
            <w:hideMark/>
          </w:tcPr>
          <w:p w14:paraId="15860D9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2.565.634.113,95</w:t>
            </w:r>
          </w:p>
        </w:tc>
        <w:tc>
          <w:tcPr>
            <w:tcW w:w="2137" w:type="dxa"/>
            <w:gridSpan w:val="4"/>
            <w:tcBorders>
              <w:top w:val="nil"/>
              <w:left w:val="nil"/>
              <w:bottom w:val="nil"/>
              <w:right w:val="single" w:sz="4" w:space="0" w:color="000000"/>
            </w:tcBorders>
            <w:shd w:val="clear" w:color="000000" w:fill="FFFFFF"/>
            <w:hideMark/>
          </w:tcPr>
          <w:p w14:paraId="52C4A98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586.850.050,83</w:t>
            </w:r>
          </w:p>
        </w:tc>
        <w:tc>
          <w:tcPr>
            <w:tcW w:w="2216" w:type="dxa"/>
            <w:gridSpan w:val="3"/>
            <w:tcBorders>
              <w:top w:val="nil"/>
              <w:left w:val="nil"/>
              <w:bottom w:val="nil"/>
              <w:right w:val="single" w:sz="4" w:space="0" w:color="000000"/>
            </w:tcBorders>
            <w:shd w:val="clear" w:color="000000" w:fill="FFFFFF"/>
            <w:hideMark/>
          </w:tcPr>
          <w:p w14:paraId="5DA999E8"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3.770.305.903,60</w:t>
            </w:r>
          </w:p>
        </w:tc>
      </w:tr>
      <w:tr w:rsidR="00103CC2" w:rsidRPr="00103CC2" w14:paraId="5A605B81" w14:textId="77777777" w:rsidTr="00103CC2">
        <w:trPr>
          <w:trHeight w:val="199"/>
        </w:trPr>
        <w:tc>
          <w:tcPr>
            <w:tcW w:w="2655" w:type="dxa"/>
            <w:gridSpan w:val="5"/>
            <w:tcBorders>
              <w:top w:val="nil"/>
              <w:left w:val="single" w:sz="4" w:space="0" w:color="000000"/>
              <w:bottom w:val="nil"/>
              <w:right w:val="single" w:sz="4" w:space="0" w:color="000000"/>
            </w:tcBorders>
            <w:shd w:val="clear" w:color="000000" w:fill="FFFFFF"/>
            <w:hideMark/>
          </w:tcPr>
          <w:p w14:paraId="74041D07"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Inversões Financeiras</w:t>
            </w:r>
          </w:p>
        </w:tc>
        <w:tc>
          <w:tcPr>
            <w:tcW w:w="280" w:type="dxa"/>
            <w:tcBorders>
              <w:top w:val="nil"/>
              <w:left w:val="nil"/>
              <w:bottom w:val="nil"/>
              <w:right w:val="single" w:sz="4" w:space="0" w:color="000000"/>
            </w:tcBorders>
            <w:shd w:val="clear" w:color="000000" w:fill="FFFFFF"/>
            <w:hideMark/>
          </w:tcPr>
          <w:p w14:paraId="5CDA7872"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417" w:type="dxa"/>
            <w:gridSpan w:val="4"/>
            <w:tcBorders>
              <w:top w:val="nil"/>
              <w:left w:val="nil"/>
              <w:bottom w:val="nil"/>
              <w:right w:val="single" w:sz="4" w:space="0" w:color="000000"/>
            </w:tcBorders>
            <w:shd w:val="clear" w:color="000000" w:fill="FFFFFF"/>
            <w:hideMark/>
          </w:tcPr>
          <w:p w14:paraId="444BA4A0"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702.658.397,95</w:t>
            </w:r>
          </w:p>
        </w:tc>
        <w:tc>
          <w:tcPr>
            <w:tcW w:w="2158" w:type="dxa"/>
            <w:gridSpan w:val="5"/>
            <w:tcBorders>
              <w:top w:val="nil"/>
              <w:left w:val="nil"/>
              <w:bottom w:val="nil"/>
              <w:right w:val="single" w:sz="4" w:space="0" w:color="000000"/>
            </w:tcBorders>
            <w:shd w:val="clear" w:color="000000" w:fill="FFFFFF"/>
            <w:hideMark/>
          </w:tcPr>
          <w:p w14:paraId="24F7679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1.501.409.621,37</w:t>
            </w:r>
          </w:p>
        </w:tc>
        <w:tc>
          <w:tcPr>
            <w:tcW w:w="2177" w:type="dxa"/>
            <w:gridSpan w:val="5"/>
            <w:tcBorders>
              <w:top w:val="nil"/>
              <w:left w:val="nil"/>
              <w:bottom w:val="nil"/>
              <w:right w:val="single" w:sz="4" w:space="0" w:color="000000"/>
            </w:tcBorders>
            <w:shd w:val="clear" w:color="000000" w:fill="FFFFFF"/>
            <w:hideMark/>
          </w:tcPr>
          <w:p w14:paraId="424DE10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395.502.421,79</w:t>
            </w:r>
          </w:p>
        </w:tc>
        <w:tc>
          <w:tcPr>
            <w:tcW w:w="2137" w:type="dxa"/>
            <w:gridSpan w:val="4"/>
            <w:tcBorders>
              <w:top w:val="nil"/>
              <w:left w:val="nil"/>
              <w:bottom w:val="nil"/>
              <w:right w:val="single" w:sz="4" w:space="0" w:color="000000"/>
            </w:tcBorders>
            <w:shd w:val="clear" w:color="000000" w:fill="FFFFFF"/>
            <w:hideMark/>
          </w:tcPr>
          <w:p w14:paraId="40BF775B"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275.496.373,00</w:t>
            </w:r>
          </w:p>
        </w:tc>
        <w:tc>
          <w:tcPr>
            <w:tcW w:w="2216" w:type="dxa"/>
            <w:gridSpan w:val="3"/>
            <w:tcBorders>
              <w:top w:val="nil"/>
              <w:left w:val="nil"/>
              <w:bottom w:val="nil"/>
              <w:right w:val="single" w:sz="4" w:space="0" w:color="000000"/>
            </w:tcBorders>
            <w:shd w:val="clear" w:color="000000" w:fill="FFFFFF"/>
            <w:hideMark/>
          </w:tcPr>
          <w:p w14:paraId="0C52AA6A"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1.533.069.224,53</w:t>
            </w:r>
          </w:p>
        </w:tc>
      </w:tr>
      <w:tr w:rsidR="00103CC2" w:rsidRPr="00103CC2" w14:paraId="2440B69F" w14:textId="77777777" w:rsidTr="00103CC2">
        <w:trPr>
          <w:trHeight w:val="199"/>
        </w:trPr>
        <w:tc>
          <w:tcPr>
            <w:tcW w:w="2655" w:type="dxa"/>
            <w:gridSpan w:val="5"/>
            <w:tcBorders>
              <w:top w:val="nil"/>
              <w:left w:val="single" w:sz="4" w:space="0" w:color="000000"/>
              <w:bottom w:val="single" w:sz="4" w:space="0" w:color="000000"/>
              <w:right w:val="single" w:sz="4" w:space="0" w:color="000000"/>
            </w:tcBorders>
            <w:shd w:val="clear" w:color="000000" w:fill="FFFFFF"/>
            <w:hideMark/>
          </w:tcPr>
          <w:p w14:paraId="3DA34A24"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xml:space="preserve">    Amortização da Dívida</w:t>
            </w:r>
          </w:p>
        </w:tc>
        <w:tc>
          <w:tcPr>
            <w:tcW w:w="280" w:type="dxa"/>
            <w:tcBorders>
              <w:top w:val="nil"/>
              <w:left w:val="nil"/>
              <w:bottom w:val="single" w:sz="4" w:space="0" w:color="000000"/>
              <w:right w:val="single" w:sz="4" w:space="0" w:color="000000"/>
            </w:tcBorders>
            <w:shd w:val="clear" w:color="000000" w:fill="FFFFFF"/>
            <w:hideMark/>
          </w:tcPr>
          <w:p w14:paraId="3C601E98"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417" w:type="dxa"/>
            <w:gridSpan w:val="4"/>
            <w:tcBorders>
              <w:top w:val="nil"/>
              <w:left w:val="nil"/>
              <w:bottom w:val="single" w:sz="4" w:space="0" w:color="000000"/>
              <w:right w:val="single" w:sz="4" w:space="0" w:color="000000"/>
            </w:tcBorders>
            <w:shd w:val="clear" w:color="000000" w:fill="FFFFFF"/>
            <w:hideMark/>
          </w:tcPr>
          <w:p w14:paraId="4E828D0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58" w:type="dxa"/>
            <w:gridSpan w:val="5"/>
            <w:tcBorders>
              <w:top w:val="nil"/>
              <w:left w:val="nil"/>
              <w:bottom w:val="single" w:sz="4" w:space="0" w:color="000000"/>
              <w:right w:val="single" w:sz="4" w:space="0" w:color="000000"/>
            </w:tcBorders>
            <w:shd w:val="clear" w:color="000000" w:fill="FFFFFF"/>
            <w:hideMark/>
          </w:tcPr>
          <w:p w14:paraId="016A11C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77" w:type="dxa"/>
            <w:gridSpan w:val="5"/>
            <w:tcBorders>
              <w:top w:val="nil"/>
              <w:left w:val="nil"/>
              <w:bottom w:val="single" w:sz="4" w:space="0" w:color="000000"/>
              <w:right w:val="single" w:sz="4" w:space="0" w:color="000000"/>
            </w:tcBorders>
            <w:shd w:val="clear" w:color="000000" w:fill="FFFFFF"/>
            <w:hideMark/>
          </w:tcPr>
          <w:p w14:paraId="5D38C1E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137" w:type="dxa"/>
            <w:gridSpan w:val="4"/>
            <w:tcBorders>
              <w:top w:val="nil"/>
              <w:left w:val="nil"/>
              <w:bottom w:val="single" w:sz="4" w:space="0" w:color="000000"/>
              <w:right w:val="single" w:sz="4" w:space="0" w:color="000000"/>
            </w:tcBorders>
            <w:shd w:val="clear" w:color="000000" w:fill="FFFFFF"/>
            <w:hideMark/>
          </w:tcPr>
          <w:p w14:paraId="6573A71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c>
          <w:tcPr>
            <w:tcW w:w="2216" w:type="dxa"/>
            <w:gridSpan w:val="3"/>
            <w:tcBorders>
              <w:top w:val="nil"/>
              <w:left w:val="nil"/>
              <w:bottom w:val="single" w:sz="4" w:space="0" w:color="000000"/>
              <w:right w:val="single" w:sz="4" w:space="0" w:color="000000"/>
            </w:tcBorders>
            <w:shd w:val="clear" w:color="000000" w:fill="FFFFFF"/>
            <w:hideMark/>
          </w:tcPr>
          <w:p w14:paraId="20DEF3EE"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w:t>
            </w:r>
          </w:p>
        </w:tc>
      </w:tr>
      <w:tr w:rsidR="00103CC2" w:rsidRPr="00103CC2" w14:paraId="7F7DAB6D" w14:textId="77777777" w:rsidTr="00103CC2">
        <w:trPr>
          <w:trHeight w:val="199"/>
        </w:trPr>
        <w:tc>
          <w:tcPr>
            <w:tcW w:w="2655" w:type="dxa"/>
            <w:gridSpan w:val="5"/>
            <w:tcBorders>
              <w:top w:val="single" w:sz="4" w:space="0" w:color="000000"/>
              <w:left w:val="single" w:sz="4" w:space="0" w:color="000000"/>
              <w:bottom w:val="single" w:sz="4" w:space="0" w:color="auto"/>
              <w:right w:val="single" w:sz="4" w:space="0" w:color="000000"/>
            </w:tcBorders>
            <w:shd w:val="clear" w:color="000000" w:fill="FFFFFF"/>
            <w:hideMark/>
          </w:tcPr>
          <w:p w14:paraId="61AABE56"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TOTAL</w:t>
            </w:r>
          </w:p>
        </w:tc>
        <w:tc>
          <w:tcPr>
            <w:tcW w:w="280" w:type="dxa"/>
            <w:tcBorders>
              <w:top w:val="single" w:sz="4" w:space="0" w:color="000000"/>
              <w:left w:val="nil"/>
              <w:bottom w:val="single" w:sz="4" w:space="0" w:color="auto"/>
              <w:right w:val="single" w:sz="4" w:space="0" w:color="000000"/>
            </w:tcBorders>
            <w:shd w:val="clear" w:color="000000" w:fill="FFFFFF"/>
            <w:hideMark/>
          </w:tcPr>
          <w:p w14:paraId="6E54DB81" w14:textId="77777777" w:rsidR="00103CC2" w:rsidRPr="00103CC2" w:rsidRDefault="00103CC2" w:rsidP="00103CC2">
            <w:pPr>
              <w:widowControl/>
              <w:suppressAutoHyphens w:val="0"/>
              <w:autoSpaceDN/>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 </w:t>
            </w:r>
          </w:p>
        </w:tc>
        <w:tc>
          <w:tcPr>
            <w:tcW w:w="2417" w:type="dxa"/>
            <w:gridSpan w:val="4"/>
            <w:tcBorders>
              <w:top w:val="single" w:sz="4" w:space="0" w:color="000000"/>
              <w:left w:val="nil"/>
              <w:bottom w:val="single" w:sz="4" w:space="0" w:color="auto"/>
              <w:right w:val="single" w:sz="4" w:space="0" w:color="000000"/>
            </w:tcBorders>
            <w:shd w:val="clear" w:color="000000" w:fill="FFFFFF"/>
            <w:hideMark/>
          </w:tcPr>
          <w:p w14:paraId="4875E424"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1.455.482.182,12</w:t>
            </w:r>
          </w:p>
        </w:tc>
        <w:tc>
          <w:tcPr>
            <w:tcW w:w="2158" w:type="dxa"/>
            <w:gridSpan w:val="5"/>
            <w:tcBorders>
              <w:top w:val="single" w:sz="4" w:space="0" w:color="000000"/>
              <w:left w:val="nil"/>
              <w:bottom w:val="single" w:sz="4" w:space="0" w:color="auto"/>
              <w:right w:val="single" w:sz="4" w:space="0" w:color="000000"/>
            </w:tcBorders>
            <w:shd w:val="clear" w:color="000000" w:fill="FFFFFF"/>
            <w:hideMark/>
          </w:tcPr>
          <w:p w14:paraId="6DBE11B7"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8.108.814.319,75</w:t>
            </w:r>
          </w:p>
        </w:tc>
        <w:tc>
          <w:tcPr>
            <w:tcW w:w="2177" w:type="dxa"/>
            <w:gridSpan w:val="5"/>
            <w:tcBorders>
              <w:top w:val="single" w:sz="4" w:space="0" w:color="000000"/>
              <w:left w:val="nil"/>
              <w:bottom w:val="single" w:sz="4" w:space="0" w:color="auto"/>
              <w:right w:val="single" w:sz="4" w:space="0" w:color="000000"/>
            </w:tcBorders>
            <w:shd w:val="clear" w:color="000000" w:fill="FFFFFF"/>
            <w:hideMark/>
          </w:tcPr>
          <w:p w14:paraId="2FBA951D"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3.168.794.903,25</w:t>
            </w:r>
          </w:p>
        </w:tc>
        <w:tc>
          <w:tcPr>
            <w:tcW w:w="2137" w:type="dxa"/>
            <w:gridSpan w:val="4"/>
            <w:tcBorders>
              <w:top w:val="single" w:sz="4" w:space="0" w:color="000000"/>
              <w:left w:val="nil"/>
              <w:bottom w:val="single" w:sz="4" w:space="0" w:color="auto"/>
              <w:right w:val="single" w:sz="4" w:space="0" w:color="000000"/>
            </w:tcBorders>
            <w:shd w:val="clear" w:color="000000" w:fill="FFFFFF"/>
            <w:hideMark/>
          </w:tcPr>
          <w:p w14:paraId="23F74849"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863.460.069,49</w:t>
            </w:r>
          </w:p>
        </w:tc>
        <w:tc>
          <w:tcPr>
            <w:tcW w:w="2216" w:type="dxa"/>
            <w:gridSpan w:val="3"/>
            <w:tcBorders>
              <w:top w:val="single" w:sz="4" w:space="0" w:color="000000"/>
              <w:left w:val="nil"/>
              <w:bottom w:val="single" w:sz="4" w:space="0" w:color="auto"/>
              <w:right w:val="single" w:sz="4" w:space="0" w:color="000000"/>
            </w:tcBorders>
            <w:shd w:val="clear" w:color="000000" w:fill="FFFFFF"/>
            <w:hideMark/>
          </w:tcPr>
          <w:p w14:paraId="609CEEAF" w14:textId="77777777" w:rsidR="00103CC2" w:rsidRPr="00103CC2" w:rsidRDefault="00103CC2" w:rsidP="00103CC2">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103CC2">
              <w:rPr>
                <w:rFonts w:ascii="Arial" w:eastAsia="Times New Roman" w:hAnsi="Arial" w:cs="Arial"/>
                <w:b/>
                <w:bCs/>
                <w:color w:val="000000"/>
                <w:kern w:val="0"/>
                <w:sz w:val="14"/>
                <w:szCs w:val="14"/>
                <w:lang w:eastAsia="pt-BR" w:bidi="ar-SA"/>
              </w:rPr>
              <w:t>5.532.041.529,13</w:t>
            </w:r>
          </w:p>
        </w:tc>
      </w:tr>
    </w:tbl>
    <w:p w14:paraId="13267E78" w14:textId="77777777" w:rsidR="00397A9E" w:rsidRPr="00B42317" w:rsidRDefault="00397A9E">
      <w:pPr>
        <w:rPr>
          <w:sz w:val="16"/>
          <w:szCs w:val="16"/>
        </w:rPr>
      </w:pPr>
    </w:p>
    <w:p w14:paraId="46CE7D76" w14:textId="77777777" w:rsidR="00397A9E" w:rsidRPr="00B42317" w:rsidRDefault="00397A9E">
      <w:pPr>
        <w:rPr>
          <w:sz w:val="16"/>
          <w:szCs w:val="16"/>
          <w:lang w:eastAsia="en-US" w:bidi="ar-SA"/>
        </w:rPr>
      </w:pPr>
    </w:p>
    <w:p w14:paraId="7AAFF6B9" w14:textId="77777777" w:rsidR="00397A9E" w:rsidRDefault="00397A9E">
      <w:pPr>
        <w:rPr>
          <w:lang w:eastAsia="en-US" w:bidi="ar-SA"/>
        </w:rPr>
      </w:pPr>
    </w:p>
    <w:p w14:paraId="4B9915C3" w14:textId="77777777" w:rsidR="00397A9E" w:rsidRDefault="00397A9E">
      <w:pPr>
        <w:pStyle w:val="Ttulo2"/>
        <w:jc w:val="center"/>
        <w:rPr>
          <w:rFonts w:ascii="Times New Roman" w:hAnsi="Times New Roman"/>
          <w:sz w:val="24"/>
          <w:szCs w:val="24"/>
        </w:rPr>
      </w:pPr>
    </w:p>
    <w:p w14:paraId="4AE4ABBC" w14:textId="77777777" w:rsidR="00397A9E" w:rsidRDefault="003210ED">
      <w:pPr>
        <w:pStyle w:val="Ttulo2"/>
        <w:jc w:val="center"/>
        <w:rPr>
          <w:rFonts w:ascii="Times New Roman" w:hAnsi="Times New Roman"/>
          <w:sz w:val="24"/>
          <w:szCs w:val="24"/>
        </w:rPr>
      </w:pPr>
      <w:bookmarkStart w:id="3" w:name="_Balanço_Financeiro"/>
      <w:bookmarkEnd w:id="3"/>
      <w:r>
        <w:rPr>
          <w:rFonts w:ascii="Times New Roman" w:hAnsi="Times New Roman"/>
          <w:sz w:val="24"/>
          <w:szCs w:val="24"/>
        </w:rPr>
        <w:t>Balanço Financeiro</w:t>
      </w:r>
    </w:p>
    <w:p w14:paraId="419D3997" w14:textId="77777777" w:rsidR="00397A9E" w:rsidRDefault="00397A9E">
      <w:pPr>
        <w:rPr>
          <w:lang w:eastAsia="en-US" w:bidi="ar-SA"/>
        </w:rPr>
      </w:pPr>
    </w:p>
    <w:p w14:paraId="47B73E15" w14:textId="77777777" w:rsidR="00866A9B" w:rsidRDefault="003210ED">
      <w:pPr>
        <w:tabs>
          <w:tab w:val="left" w:pos="1005"/>
        </w:tabs>
        <w:rPr>
          <w:lang w:eastAsia="en-US" w:bidi="ar-SA"/>
        </w:rPr>
      </w:pPr>
      <w:r>
        <w:rPr>
          <w:lang w:eastAsia="en-US" w:bidi="ar-SA"/>
        </w:rPr>
        <w:tab/>
      </w:r>
    </w:p>
    <w:tbl>
      <w:tblPr>
        <w:tblW w:w="12340" w:type="dxa"/>
        <w:jc w:val="center"/>
        <w:tblCellMar>
          <w:left w:w="70" w:type="dxa"/>
          <w:right w:w="70" w:type="dxa"/>
        </w:tblCellMar>
        <w:tblLook w:val="04A0" w:firstRow="1" w:lastRow="0" w:firstColumn="1" w:lastColumn="0" w:noHBand="0" w:noVBand="1"/>
      </w:tblPr>
      <w:tblGrid>
        <w:gridCol w:w="605"/>
        <w:gridCol w:w="171"/>
        <w:gridCol w:w="574"/>
        <w:gridCol w:w="171"/>
        <w:gridCol w:w="1737"/>
        <w:gridCol w:w="413"/>
        <w:gridCol w:w="640"/>
        <w:gridCol w:w="758"/>
        <w:gridCol w:w="1386"/>
        <w:gridCol w:w="3113"/>
        <w:gridCol w:w="1386"/>
        <w:gridCol w:w="1386"/>
      </w:tblGrid>
      <w:tr w:rsidR="00F80C6D" w:rsidRPr="00F80C6D" w14:paraId="65BE6515" w14:textId="77777777" w:rsidTr="00F80C6D">
        <w:trPr>
          <w:trHeight w:val="120"/>
          <w:jc w:val="center"/>
        </w:trPr>
        <w:tc>
          <w:tcPr>
            <w:tcW w:w="620" w:type="dxa"/>
            <w:vMerge w:val="restart"/>
            <w:tcBorders>
              <w:top w:val="nil"/>
              <w:left w:val="nil"/>
              <w:bottom w:val="nil"/>
              <w:right w:val="nil"/>
            </w:tcBorders>
            <w:shd w:val="clear" w:color="000000" w:fill="FFFFFF"/>
            <w:hideMark/>
          </w:tcPr>
          <w:p w14:paraId="5BD57881"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noProof/>
                <w:color w:val="000000"/>
                <w:kern w:val="0"/>
                <w:sz w:val="14"/>
                <w:szCs w:val="14"/>
                <w:lang w:eastAsia="pt-BR" w:bidi="ar-SA"/>
              </w:rPr>
              <w:drawing>
                <wp:anchor distT="0" distB="0" distL="114300" distR="114300" simplePos="0" relativeHeight="251673600" behindDoc="0" locked="0" layoutInCell="1" allowOverlap="1" wp14:anchorId="61420452" wp14:editId="3CACAE55">
                  <wp:simplePos x="0" y="0"/>
                  <wp:positionH relativeFrom="column">
                    <wp:posOffset>0</wp:posOffset>
                  </wp:positionH>
                  <wp:positionV relativeFrom="paragraph">
                    <wp:posOffset>0</wp:posOffset>
                  </wp:positionV>
                  <wp:extent cx="333375" cy="390525"/>
                  <wp:effectExtent l="0" t="0" r="9525" b="9525"/>
                  <wp:wrapNone/>
                  <wp:docPr id="7" name="Imagem 7"/>
                  <wp:cNvGraphicFramePr/>
                  <a:graphic xmlns:a="http://schemas.openxmlformats.org/drawingml/2006/main">
                    <a:graphicData uri="http://schemas.openxmlformats.org/drawingml/2006/picture">
                      <pic:pic xmlns:pic="http://schemas.openxmlformats.org/drawingml/2006/picture">
                        <pic:nvPicPr>
                          <pic:cNvPr id="205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0" w:type="dxa"/>
            <w:tcBorders>
              <w:top w:val="nil"/>
              <w:left w:val="nil"/>
              <w:bottom w:val="nil"/>
              <w:right w:val="nil"/>
            </w:tcBorders>
            <w:shd w:val="clear" w:color="000000" w:fill="FFFFFF"/>
            <w:hideMark/>
          </w:tcPr>
          <w:p w14:paraId="277CD4A4"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600" w:type="dxa"/>
            <w:tcBorders>
              <w:top w:val="nil"/>
              <w:left w:val="nil"/>
              <w:bottom w:val="nil"/>
              <w:right w:val="nil"/>
            </w:tcBorders>
            <w:shd w:val="clear" w:color="000000" w:fill="FFFFFF"/>
            <w:hideMark/>
          </w:tcPr>
          <w:p w14:paraId="7AF66101"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58F463DD"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920" w:type="dxa"/>
            <w:tcBorders>
              <w:top w:val="nil"/>
              <w:left w:val="nil"/>
              <w:bottom w:val="nil"/>
              <w:right w:val="nil"/>
            </w:tcBorders>
            <w:shd w:val="clear" w:color="000000" w:fill="FFFFFF"/>
            <w:hideMark/>
          </w:tcPr>
          <w:p w14:paraId="32A802E8"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360" w:type="dxa"/>
            <w:tcBorders>
              <w:top w:val="nil"/>
              <w:left w:val="nil"/>
              <w:bottom w:val="nil"/>
              <w:right w:val="nil"/>
            </w:tcBorders>
            <w:shd w:val="clear" w:color="000000" w:fill="FFFFFF"/>
            <w:hideMark/>
          </w:tcPr>
          <w:p w14:paraId="72844E27"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640" w:type="dxa"/>
            <w:tcBorders>
              <w:top w:val="nil"/>
              <w:left w:val="nil"/>
              <w:bottom w:val="nil"/>
              <w:right w:val="nil"/>
            </w:tcBorders>
            <w:shd w:val="clear" w:color="000000" w:fill="FFFFFF"/>
            <w:hideMark/>
          </w:tcPr>
          <w:p w14:paraId="58B72022"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760" w:type="dxa"/>
            <w:tcBorders>
              <w:top w:val="nil"/>
              <w:left w:val="nil"/>
              <w:bottom w:val="nil"/>
              <w:right w:val="nil"/>
            </w:tcBorders>
            <w:shd w:val="clear" w:color="000000" w:fill="FFFFFF"/>
            <w:hideMark/>
          </w:tcPr>
          <w:p w14:paraId="04589CD6"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280" w:type="dxa"/>
            <w:tcBorders>
              <w:top w:val="nil"/>
              <w:left w:val="nil"/>
              <w:bottom w:val="nil"/>
              <w:right w:val="nil"/>
            </w:tcBorders>
            <w:shd w:val="clear" w:color="000000" w:fill="FFFFFF"/>
            <w:hideMark/>
          </w:tcPr>
          <w:p w14:paraId="5685611B"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3320" w:type="dxa"/>
            <w:tcBorders>
              <w:top w:val="nil"/>
              <w:left w:val="nil"/>
              <w:bottom w:val="nil"/>
              <w:right w:val="nil"/>
            </w:tcBorders>
            <w:shd w:val="clear" w:color="000000" w:fill="FFFFFF"/>
            <w:hideMark/>
          </w:tcPr>
          <w:p w14:paraId="55EB3ED2"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380" w:type="dxa"/>
            <w:tcBorders>
              <w:top w:val="nil"/>
              <w:left w:val="nil"/>
              <w:bottom w:val="nil"/>
              <w:right w:val="nil"/>
            </w:tcBorders>
            <w:shd w:val="clear" w:color="000000" w:fill="FFFFFF"/>
            <w:hideMark/>
          </w:tcPr>
          <w:p w14:paraId="3CD5DB5A"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300" w:type="dxa"/>
            <w:tcBorders>
              <w:top w:val="nil"/>
              <w:left w:val="nil"/>
              <w:bottom w:val="nil"/>
              <w:right w:val="nil"/>
            </w:tcBorders>
            <w:shd w:val="clear" w:color="000000" w:fill="FFFFFF"/>
            <w:hideMark/>
          </w:tcPr>
          <w:p w14:paraId="734CD619"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r>
      <w:tr w:rsidR="00F80C6D" w:rsidRPr="00F80C6D" w14:paraId="5214DBC3" w14:textId="77777777" w:rsidTr="00F80C6D">
        <w:trPr>
          <w:trHeight w:val="240"/>
          <w:jc w:val="center"/>
        </w:trPr>
        <w:tc>
          <w:tcPr>
            <w:tcW w:w="620" w:type="dxa"/>
            <w:vMerge/>
            <w:tcBorders>
              <w:top w:val="nil"/>
              <w:left w:val="nil"/>
              <w:bottom w:val="nil"/>
              <w:right w:val="nil"/>
            </w:tcBorders>
            <w:vAlign w:val="center"/>
            <w:hideMark/>
          </w:tcPr>
          <w:p w14:paraId="5438B4F6"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1E833582"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3560" w:type="dxa"/>
            <w:gridSpan w:val="5"/>
            <w:tcBorders>
              <w:top w:val="nil"/>
              <w:left w:val="nil"/>
              <w:bottom w:val="nil"/>
              <w:right w:val="nil"/>
            </w:tcBorders>
            <w:shd w:val="clear" w:color="000000" w:fill="FFFFFF"/>
            <w:hideMark/>
          </w:tcPr>
          <w:p w14:paraId="2AA88489" w14:textId="77777777" w:rsidR="00F80C6D" w:rsidRPr="00F80C6D" w:rsidRDefault="00F80C6D" w:rsidP="00F80C6D">
            <w:pPr>
              <w:widowControl/>
              <w:suppressAutoHyphens w:val="0"/>
              <w:autoSpaceDN/>
              <w:textAlignment w:val="auto"/>
              <w:rPr>
                <w:rFonts w:ascii="SansSerif" w:eastAsia="Times New Roman" w:hAnsi="SansSerif" w:cs="Arial"/>
                <w:b/>
                <w:bCs/>
                <w:color w:val="000000"/>
                <w:kern w:val="0"/>
                <w:sz w:val="14"/>
                <w:szCs w:val="14"/>
                <w:lang w:eastAsia="pt-BR" w:bidi="ar-SA"/>
              </w:rPr>
            </w:pPr>
            <w:r w:rsidRPr="00F80C6D">
              <w:rPr>
                <w:rFonts w:ascii="SansSerif" w:eastAsia="Times New Roman" w:hAnsi="SansSerif" w:cs="Arial"/>
                <w:b/>
                <w:bCs/>
                <w:color w:val="000000"/>
                <w:kern w:val="0"/>
                <w:sz w:val="14"/>
                <w:szCs w:val="14"/>
                <w:lang w:eastAsia="pt-BR" w:bidi="ar-SA"/>
              </w:rPr>
              <w:t>MINISTÉRIO DA FAZENDA</w:t>
            </w:r>
          </w:p>
        </w:tc>
        <w:tc>
          <w:tcPr>
            <w:tcW w:w="760" w:type="dxa"/>
            <w:tcBorders>
              <w:top w:val="nil"/>
              <w:left w:val="nil"/>
              <w:bottom w:val="nil"/>
              <w:right w:val="nil"/>
            </w:tcBorders>
            <w:shd w:val="clear" w:color="000000" w:fill="FFFFFF"/>
            <w:hideMark/>
          </w:tcPr>
          <w:p w14:paraId="1DF13A1D"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280" w:type="dxa"/>
            <w:tcBorders>
              <w:top w:val="nil"/>
              <w:left w:val="nil"/>
              <w:bottom w:val="nil"/>
              <w:right w:val="nil"/>
            </w:tcBorders>
            <w:shd w:val="clear" w:color="000000" w:fill="FFFFFF"/>
            <w:hideMark/>
          </w:tcPr>
          <w:p w14:paraId="4A4F22CE"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3320" w:type="dxa"/>
            <w:tcBorders>
              <w:top w:val="nil"/>
              <w:left w:val="nil"/>
              <w:bottom w:val="nil"/>
              <w:right w:val="nil"/>
            </w:tcBorders>
            <w:shd w:val="clear" w:color="000000" w:fill="FFFFFF"/>
            <w:hideMark/>
          </w:tcPr>
          <w:p w14:paraId="58F7227C"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380" w:type="dxa"/>
            <w:tcBorders>
              <w:top w:val="nil"/>
              <w:left w:val="nil"/>
              <w:bottom w:val="nil"/>
              <w:right w:val="nil"/>
            </w:tcBorders>
            <w:shd w:val="clear" w:color="000000" w:fill="FFFFFF"/>
            <w:hideMark/>
          </w:tcPr>
          <w:p w14:paraId="1BF2CD3C"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300" w:type="dxa"/>
            <w:tcBorders>
              <w:top w:val="nil"/>
              <w:left w:val="nil"/>
              <w:bottom w:val="nil"/>
              <w:right w:val="nil"/>
            </w:tcBorders>
            <w:shd w:val="clear" w:color="000000" w:fill="FFFFFF"/>
            <w:hideMark/>
          </w:tcPr>
          <w:p w14:paraId="4CB836A3"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r>
      <w:tr w:rsidR="00F80C6D" w:rsidRPr="00F80C6D" w14:paraId="0BF571A4" w14:textId="77777777" w:rsidTr="00F80C6D">
        <w:trPr>
          <w:trHeight w:val="199"/>
          <w:jc w:val="center"/>
        </w:trPr>
        <w:tc>
          <w:tcPr>
            <w:tcW w:w="620" w:type="dxa"/>
            <w:vMerge/>
            <w:tcBorders>
              <w:top w:val="nil"/>
              <w:left w:val="nil"/>
              <w:bottom w:val="nil"/>
              <w:right w:val="nil"/>
            </w:tcBorders>
            <w:vAlign w:val="center"/>
            <w:hideMark/>
          </w:tcPr>
          <w:p w14:paraId="053FABCC"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76AE706C"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3560" w:type="dxa"/>
            <w:gridSpan w:val="5"/>
            <w:tcBorders>
              <w:top w:val="nil"/>
              <w:left w:val="nil"/>
              <w:bottom w:val="nil"/>
              <w:right w:val="nil"/>
            </w:tcBorders>
            <w:shd w:val="clear" w:color="000000" w:fill="FFFFFF"/>
            <w:hideMark/>
          </w:tcPr>
          <w:p w14:paraId="1D1BCBBC" w14:textId="77777777" w:rsidR="00F80C6D" w:rsidRPr="00F80C6D" w:rsidRDefault="00F80C6D" w:rsidP="00F80C6D">
            <w:pPr>
              <w:widowControl/>
              <w:suppressAutoHyphens w:val="0"/>
              <w:autoSpaceDN/>
              <w:textAlignment w:val="auto"/>
              <w:rPr>
                <w:rFonts w:ascii="SansSerif" w:eastAsia="Times New Roman" w:hAnsi="SansSerif" w:cs="Arial"/>
                <w:b/>
                <w:bCs/>
                <w:color w:val="000000"/>
                <w:kern w:val="0"/>
                <w:sz w:val="14"/>
                <w:szCs w:val="14"/>
                <w:lang w:eastAsia="pt-BR" w:bidi="ar-SA"/>
              </w:rPr>
            </w:pPr>
            <w:r w:rsidRPr="00F80C6D">
              <w:rPr>
                <w:rFonts w:ascii="SansSerif" w:eastAsia="Times New Roman" w:hAnsi="SansSerif" w:cs="Arial"/>
                <w:b/>
                <w:bCs/>
                <w:color w:val="000000"/>
                <w:kern w:val="0"/>
                <w:sz w:val="14"/>
                <w:szCs w:val="14"/>
                <w:lang w:eastAsia="pt-BR" w:bidi="ar-SA"/>
              </w:rPr>
              <w:t>SECRETARIA DO TESOURO NACIONAL</w:t>
            </w:r>
          </w:p>
        </w:tc>
        <w:tc>
          <w:tcPr>
            <w:tcW w:w="760" w:type="dxa"/>
            <w:tcBorders>
              <w:top w:val="nil"/>
              <w:left w:val="nil"/>
              <w:bottom w:val="nil"/>
              <w:right w:val="nil"/>
            </w:tcBorders>
            <w:shd w:val="clear" w:color="000000" w:fill="FFFFFF"/>
            <w:hideMark/>
          </w:tcPr>
          <w:p w14:paraId="4E639F5F"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280" w:type="dxa"/>
            <w:tcBorders>
              <w:top w:val="nil"/>
              <w:left w:val="nil"/>
              <w:bottom w:val="nil"/>
              <w:right w:val="nil"/>
            </w:tcBorders>
            <w:shd w:val="clear" w:color="000000" w:fill="FFFFFF"/>
            <w:hideMark/>
          </w:tcPr>
          <w:p w14:paraId="5EE5E291"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3320" w:type="dxa"/>
            <w:tcBorders>
              <w:top w:val="nil"/>
              <w:left w:val="nil"/>
              <w:bottom w:val="nil"/>
              <w:right w:val="nil"/>
            </w:tcBorders>
            <w:shd w:val="clear" w:color="000000" w:fill="FFFFFF"/>
            <w:hideMark/>
          </w:tcPr>
          <w:p w14:paraId="3431B376"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380" w:type="dxa"/>
            <w:tcBorders>
              <w:top w:val="nil"/>
              <w:left w:val="nil"/>
              <w:bottom w:val="nil"/>
              <w:right w:val="nil"/>
            </w:tcBorders>
            <w:shd w:val="clear" w:color="000000" w:fill="FFFFFF"/>
            <w:hideMark/>
          </w:tcPr>
          <w:p w14:paraId="71BE8716"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300" w:type="dxa"/>
            <w:tcBorders>
              <w:top w:val="nil"/>
              <w:left w:val="nil"/>
              <w:bottom w:val="nil"/>
              <w:right w:val="nil"/>
            </w:tcBorders>
            <w:shd w:val="clear" w:color="000000" w:fill="FFFFFF"/>
            <w:hideMark/>
          </w:tcPr>
          <w:p w14:paraId="3551534D"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r>
      <w:tr w:rsidR="00F80C6D" w:rsidRPr="00F80C6D" w14:paraId="2CC50370" w14:textId="77777777" w:rsidTr="00F80C6D">
        <w:trPr>
          <w:trHeight w:val="60"/>
          <w:jc w:val="center"/>
        </w:trPr>
        <w:tc>
          <w:tcPr>
            <w:tcW w:w="620" w:type="dxa"/>
            <w:vMerge/>
            <w:tcBorders>
              <w:top w:val="nil"/>
              <w:left w:val="nil"/>
              <w:bottom w:val="nil"/>
              <w:right w:val="nil"/>
            </w:tcBorders>
            <w:vAlign w:val="center"/>
            <w:hideMark/>
          </w:tcPr>
          <w:p w14:paraId="62154AB0"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65DF1EEC"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600" w:type="dxa"/>
            <w:tcBorders>
              <w:top w:val="nil"/>
              <w:left w:val="nil"/>
              <w:bottom w:val="nil"/>
              <w:right w:val="nil"/>
            </w:tcBorders>
            <w:shd w:val="clear" w:color="000000" w:fill="FFFFFF"/>
            <w:hideMark/>
          </w:tcPr>
          <w:p w14:paraId="3BB22D89"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3D89A687"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920" w:type="dxa"/>
            <w:tcBorders>
              <w:top w:val="nil"/>
              <w:left w:val="nil"/>
              <w:bottom w:val="nil"/>
              <w:right w:val="nil"/>
            </w:tcBorders>
            <w:shd w:val="clear" w:color="000000" w:fill="FFFFFF"/>
            <w:hideMark/>
          </w:tcPr>
          <w:p w14:paraId="64C66700"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360" w:type="dxa"/>
            <w:tcBorders>
              <w:top w:val="nil"/>
              <w:left w:val="nil"/>
              <w:bottom w:val="nil"/>
              <w:right w:val="nil"/>
            </w:tcBorders>
            <w:shd w:val="clear" w:color="000000" w:fill="FFFFFF"/>
            <w:hideMark/>
          </w:tcPr>
          <w:p w14:paraId="2A6A62AA"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640" w:type="dxa"/>
            <w:tcBorders>
              <w:top w:val="nil"/>
              <w:left w:val="nil"/>
              <w:bottom w:val="nil"/>
              <w:right w:val="nil"/>
            </w:tcBorders>
            <w:shd w:val="clear" w:color="000000" w:fill="FFFFFF"/>
            <w:hideMark/>
          </w:tcPr>
          <w:p w14:paraId="4E57CA4E"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760" w:type="dxa"/>
            <w:tcBorders>
              <w:top w:val="nil"/>
              <w:left w:val="nil"/>
              <w:bottom w:val="nil"/>
              <w:right w:val="nil"/>
            </w:tcBorders>
            <w:shd w:val="clear" w:color="000000" w:fill="FFFFFF"/>
            <w:hideMark/>
          </w:tcPr>
          <w:p w14:paraId="18F8F52B"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280" w:type="dxa"/>
            <w:tcBorders>
              <w:top w:val="nil"/>
              <w:left w:val="nil"/>
              <w:bottom w:val="nil"/>
              <w:right w:val="nil"/>
            </w:tcBorders>
            <w:shd w:val="clear" w:color="000000" w:fill="FFFFFF"/>
            <w:hideMark/>
          </w:tcPr>
          <w:p w14:paraId="21E23C81"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3320" w:type="dxa"/>
            <w:tcBorders>
              <w:top w:val="nil"/>
              <w:left w:val="nil"/>
              <w:bottom w:val="nil"/>
              <w:right w:val="nil"/>
            </w:tcBorders>
            <w:shd w:val="clear" w:color="000000" w:fill="FFFFFF"/>
            <w:hideMark/>
          </w:tcPr>
          <w:p w14:paraId="7F37D815"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380" w:type="dxa"/>
            <w:tcBorders>
              <w:top w:val="nil"/>
              <w:left w:val="nil"/>
              <w:bottom w:val="nil"/>
              <w:right w:val="nil"/>
            </w:tcBorders>
            <w:shd w:val="clear" w:color="000000" w:fill="FFFFFF"/>
            <w:hideMark/>
          </w:tcPr>
          <w:p w14:paraId="1C6998D0"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300" w:type="dxa"/>
            <w:tcBorders>
              <w:top w:val="nil"/>
              <w:left w:val="nil"/>
              <w:bottom w:val="nil"/>
              <w:right w:val="nil"/>
            </w:tcBorders>
            <w:shd w:val="clear" w:color="000000" w:fill="FFFFFF"/>
            <w:hideMark/>
          </w:tcPr>
          <w:p w14:paraId="1A182EB8"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r>
      <w:tr w:rsidR="00F80C6D" w:rsidRPr="00F80C6D" w14:paraId="6C2DEA03" w14:textId="77777777" w:rsidTr="00F80C6D">
        <w:trPr>
          <w:trHeight w:val="102"/>
          <w:jc w:val="center"/>
        </w:trPr>
        <w:tc>
          <w:tcPr>
            <w:tcW w:w="620" w:type="dxa"/>
            <w:tcBorders>
              <w:top w:val="nil"/>
              <w:left w:val="nil"/>
              <w:bottom w:val="nil"/>
              <w:right w:val="nil"/>
            </w:tcBorders>
            <w:shd w:val="clear" w:color="000000" w:fill="FFFFFF"/>
            <w:hideMark/>
          </w:tcPr>
          <w:p w14:paraId="1D21BB2D"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20" w:type="dxa"/>
            <w:tcBorders>
              <w:top w:val="nil"/>
              <w:left w:val="nil"/>
              <w:bottom w:val="nil"/>
              <w:right w:val="nil"/>
            </w:tcBorders>
            <w:shd w:val="clear" w:color="000000" w:fill="FFFFFF"/>
            <w:hideMark/>
          </w:tcPr>
          <w:p w14:paraId="32167EDF"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600" w:type="dxa"/>
            <w:tcBorders>
              <w:top w:val="nil"/>
              <w:left w:val="nil"/>
              <w:bottom w:val="nil"/>
              <w:right w:val="nil"/>
            </w:tcBorders>
            <w:shd w:val="clear" w:color="000000" w:fill="FFFFFF"/>
            <w:hideMark/>
          </w:tcPr>
          <w:p w14:paraId="240DFC77"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479B37B3"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920" w:type="dxa"/>
            <w:tcBorders>
              <w:top w:val="nil"/>
              <w:left w:val="nil"/>
              <w:bottom w:val="nil"/>
              <w:right w:val="nil"/>
            </w:tcBorders>
            <w:shd w:val="clear" w:color="000000" w:fill="FFFFFF"/>
            <w:hideMark/>
          </w:tcPr>
          <w:p w14:paraId="28B49908"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360" w:type="dxa"/>
            <w:tcBorders>
              <w:top w:val="nil"/>
              <w:left w:val="nil"/>
              <w:bottom w:val="nil"/>
              <w:right w:val="nil"/>
            </w:tcBorders>
            <w:shd w:val="clear" w:color="000000" w:fill="FFFFFF"/>
            <w:hideMark/>
          </w:tcPr>
          <w:p w14:paraId="335F9AEE"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640" w:type="dxa"/>
            <w:tcBorders>
              <w:top w:val="nil"/>
              <w:left w:val="nil"/>
              <w:bottom w:val="nil"/>
              <w:right w:val="nil"/>
            </w:tcBorders>
            <w:shd w:val="clear" w:color="000000" w:fill="FFFFFF"/>
            <w:hideMark/>
          </w:tcPr>
          <w:p w14:paraId="75C759D3"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760" w:type="dxa"/>
            <w:tcBorders>
              <w:top w:val="nil"/>
              <w:left w:val="nil"/>
              <w:bottom w:val="nil"/>
              <w:right w:val="nil"/>
            </w:tcBorders>
            <w:shd w:val="clear" w:color="000000" w:fill="FFFFFF"/>
            <w:hideMark/>
          </w:tcPr>
          <w:p w14:paraId="7BCDEAC9"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280" w:type="dxa"/>
            <w:tcBorders>
              <w:top w:val="nil"/>
              <w:left w:val="nil"/>
              <w:bottom w:val="nil"/>
              <w:right w:val="nil"/>
            </w:tcBorders>
            <w:shd w:val="clear" w:color="000000" w:fill="FFFFFF"/>
            <w:hideMark/>
          </w:tcPr>
          <w:p w14:paraId="25B51A08"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3320" w:type="dxa"/>
            <w:tcBorders>
              <w:top w:val="nil"/>
              <w:left w:val="nil"/>
              <w:bottom w:val="nil"/>
              <w:right w:val="nil"/>
            </w:tcBorders>
            <w:shd w:val="clear" w:color="000000" w:fill="FFFFFF"/>
            <w:hideMark/>
          </w:tcPr>
          <w:p w14:paraId="2FB465DF"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380" w:type="dxa"/>
            <w:tcBorders>
              <w:top w:val="nil"/>
              <w:left w:val="nil"/>
              <w:bottom w:val="nil"/>
              <w:right w:val="nil"/>
            </w:tcBorders>
            <w:shd w:val="clear" w:color="000000" w:fill="FFFFFF"/>
            <w:hideMark/>
          </w:tcPr>
          <w:p w14:paraId="36B4E1FF"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300" w:type="dxa"/>
            <w:tcBorders>
              <w:top w:val="nil"/>
              <w:left w:val="nil"/>
              <w:bottom w:val="nil"/>
              <w:right w:val="nil"/>
            </w:tcBorders>
            <w:shd w:val="clear" w:color="000000" w:fill="FFFFFF"/>
            <w:hideMark/>
          </w:tcPr>
          <w:p w14:paraId="544EC023"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r>
      <w:tr w:rsidR="00F80C6D" w:rsidRPr="00F80C6D" w14:paraId="034DAB80" w14:textId="77777777" w:rsidTr="00F80C6D">
        <w:trPr>
          <w:trHeight w:val="199"/>
          <w:jc w:val="center"/>
        </w:trPr>
        <w:tc>
          <w:tcPr>
            <w:tcW w:w="1340" w:type="dxa"/>
            <w:gridSpan w:val="3"/>
            <w:tcBorders>
              <w:top w:val="nil"/>
              <w:left w:val="nil"/>
              <w:bottom w:val="nil"/>
              <w:right w:val="nil"/>
            </w:tcBorders>
            <w:shd w:val="clear" w:color="000000" w:fill="FFFFFF"/>
            <w:vAlign w:val="center"/>
            <w:hideMark/>
          </w:tcPr>
          <w:p w14:paraId="38775320"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TITULO</w:t>
            </w:r>
          </w:p>
        </w:tc>
        <w:tc>
          <w:tcPr>
            <w:tcW w:w="40" w:type="dxa"/>
            <w:tcBorders>
              <w:top w:val="nil"/>
              <w:left w:val="nil"/>
              <w:bottom w:val="nil"/>
              <w:right w:val="nil"/>
            </w:tcBorders>
            <w:shd w:val="clear" w:color="000000" w:fill="FFFFFF"/>
            <w:hideMark/>
          </w:tcPr>
          <w:p w14:paraId="54BCCAF7"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0960" w:type="dxa"/>
            <w:gridSpan w:val="8"/>
            <w:tcBorders>
              <w:top w:val="nil"/>
              <w:left w:val="nil"/>
              <w:bottom w:val="nil"/>
              <w:right w:val="nil"/>
            </w:tcBorders>
            <w:shd w:val="clear" w:color="000000" w:fill="FFFFFF"/>
            <w:vAlign w:val="center"/>
            <w:hideMark/>
          </w:tcPr>
          <w:p w14:paraId="69C3457D"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BALANÇO FINANCEIRO - TODOS OS ORÇAMENTOS</w:t>
            </w:r>
          </w:p>
        </w:tc>
      </w:tr>
      <w:tr w:rsidR="00F80C6D" w:rsidRPr="00F80C6D" w14:paraId="4C0A2513" w14:textId="77777777" w:rsidTr="00F80C6D">
        <w:trPr>
          <w:trHeight w:val="199"/>
          <w:jc w:val="center"/>
        </w:trPr>
        <w:tc>
          <w:tcPr>
            <w:tcW w:w="1340" w:type="dxa"/>
            <w:gridSpan w:val="3"/>
            <w:tcBorders>
              <w:top w:val="nil"/>
              <w:left w:val="nil"/>
              <w:bottom w:val="nil"/>
              <w:right w:val="nil"/>
            </w:tcBorders>
            <w:shd w:val="clear" w:color="000000" w:fill="FFFFFF"/>
            <w:vAlign w:val="center"/>
            <w:hideMark/>
          </w:tcPr>
          <w:p w14:paraId="55B8EDDE"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SUBTITULO</w:t>
            </w:r>
          </w:p>
        </w:tc>
        <w:tc>
          <w:tcPr>
            <w:tcW w:w="40" w:type="dxa"/>
            <w:tcBorders>
              <w:top w:val="nil"/>
              <w:left w:val="nil"/>
              <w:bottom w:val="nil"/>
              <w:right w:val="nil"/>
            </w:tcBorders>
            <w:shd w:val="clear" w:color="000000" w:fill="FFFFFF"/>
            <w:hideMark/>
          </w:tcPr>
          <w:p w14:paraId="328A4979"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0960" w:type="dxa"/>
            <w:gridSpan w:val="8"/>
            <w:tcBorders>
              <w:top w:val="nil"/>
              <w:left w:val="nil"/>
              <w:bottom w:val="nil"/>
              <w:right w:val="nil"/>
            </w:tcBorders>
            <w:shd w:val="clear" w:color="000000" w:fill="FFFFFF"/>
            <w:vAlign w:val="center"/>
            <w:hideMark/>
          </w:tcPr>
          <w:p w14:paraId="7E31800B"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53000 - MINISTERIO DO DESENVOLVIMENTO REGIONAL (SUPERIOR) - ADMINISTRAÇÃO DIRETA</w:t>
            </w:r>
          </w:p>
        </w:tc>
      </w:tr>
      <w:tr w:rsidR="00F80C6D" w:rsidRPr="00F80C6D" w14:paraId="0E6F64CE" w14:textId="77777777" w:rsidTr="00F80C6D">
        <w:trPr>
          <w:trHeight w:val="199"/>
          <w:jc w:val="center"/>
        </w:trPr>
        <w:tc>
          <w:tcPr>
            <w:tcW w:w="1340" w:type="dxa"/>
            <w:gridSpan w:val="3"/>
            <w:tcBorders>
              <w:top w:val="nil"/>
              <w:left w:val="nil"/>
              <w:bottom w:val="nil"/>
              <w:right w:val="nil"/>
            </w:tcBorders>
            <w:shd w:val="clear" w:color="000000" w:fill="FFFFFF"/>
            <w:vAlign w:val="center"/>
            <w:hideMark/>
          </w:tcPr>
          <w:p w14:paraId="3C3D2624"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ORGÃO SUPERIOR</w:t>
            </w:r>
          </w:p>
        </w:tc>
        <w:tc>
          <w:tcPr>
            <w:tcW w:w="40" w:type="dxa"/>
            <w:tcBorders>
              <w:top w:val="nil"/>
              <w:left w:val="nil"/>
              <w:bottom w:val="nil"/>
              <w:right w:val="nil"/>
            </w:tcBorders>
            <w:shd w:val="clear" w:color="000000" w:fill="FFFFFF"/>
            <w:hideMark/>
          </w:tcPr>
          <w:p w14:paraId="10ECFD8F"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0960" w:type="dxa"/>
            <w:gridSpan w:val="8"/>
            <w:tcBorders>
              <w:top w:val="nil"/>
              <w:left w:val="nil"/>
              <w:bottom w:val="nil"/>
              <w:right w:val="nil"/>
            </w:tcBorders>
            <w:shd w:val="clear" w:color="000000" w:fill="FFFFFF"/>
            <w:vAlign w:val="center"/>
            <w:hideMark/>
          </w:tcPr>
          <w:p w14:paraId="6EC81F8D"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53000 - MINISTERIO DO DESENVOLVIMENTO REGIONAL</w:t>
            </w:r>
          </w:p>
        </w:tc>
      </w:tr>
      <w:tr w:rsidR="00F80C6D" w:rsidRPr="00F80C6D" w14:paraId="57F15B88" w14:textId="77777777" w:rsidTr="00F80C6D">
        <w:trPr>
          <w:trHeight w:val="199"/>
          <w:jc w:val="center"/>
        </w:trPr>
        <w:tc>
          <w:tcPr>
            <w:tcW w:w="1340" w:type="dxa"/>
            <w:gridSpan w:val="3"/>
            <w:tcBorders>
              <w:top w:val="nil"/>
              <w:left w:val="nil"/>
              <w:bottom w:val="nil"/>
              <w:right w:val="nil"/>
            </w:tcBorders>
            <w:shd w:val="clear" w:color="000000" w:fill="FFFFFF"/>
            <w:vAlign w:val="center"/>
            <w:hideMark/>
          </w:tcPr>
          <w:p w14:paraId="627ADA9F"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EXERCíCIO</w:t>
            </w:r>
          </w:p>
        </w:tc>
        <w:tc>
          <w:tcPr>
            <w:tcW w:w="40" w:type="dxa"/>
            <w:tcBorders>
              <w:top w:val="nil"/>
              <w:left w:val="nil"/>
              <w:bottom w:val="nil"/>
              <w:right w:val="nil"/>
            </w:tcBorders>
            <w:shd w:val="clear" w:color="000000" w:fill="FFFFFF"/>
            <w:hideMark/>
          </w:tcPr>
          <w:p w14:paraId="1E21F0E9"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0960" w:type="dxa"/>
            <w:gridSpan w:val="8"/>
            <w:tcBorders>
              <w:top w:val="nil"/>
              <w:left w:val="nil"/>
              <w:bottom w:val="nil"/>
              <w:right w:val="nil"/>
            </w:tcBorders>
            <w:shd w:val="clear" w:color="000000" w:fill="FFFFFF"/>
            <w:vAlign w:val="center"/>
            <w:hideMark/>
          </w:tcPr>
          <w:p w14:paraId="1723EABF"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2020</w:t>
            </w:r>
          </w:p>
        </w:tc>
      </w:tr>
      <w:tr w:rsidR="00F80C6D" w:rsidRPr="00F80C6D" w14:paraId="158A61F8" w14:textId="77777777" w:rsidTr="00F80C6D">
        <w:trPr>
          <w:trHeight w:val="199"/>
          <w:jc w:val="center"/>
        </w:trPr>
        <w:tc>
          <w:tcPr>
            <w:tcW w:w="1340" w:type="dxa"/>
            <w:gridSpan w:val="3"/>
            <w:tcBorders>
              <w:top w:val="nil"/>
              <w:left w:val="nil"/>
              <w:bottom w:val="nil"/>
              <w:right w:val="nil"/>
            </w:tcBorders>
            <w:shd w:val="clear" w:color="000000" w:fill="FFFFFF"/>
            <w:vAlign w:val="center"/>
            <w:hideMark/>
          </w:tcPr>
          <w:p w14:paraId="61514872"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PERíODO</w:t>
            </w:r>
          </w:p>
        </w:tc>
        <w:tc>
          <w:tcPr>
            <w:tcW w:w="40" w:type="dxa"/>
            <w:tcBorders>
              <w:top w:val="nil"/>
              <w:left w:val="nil"/>
              <w:bottom w:val="nil"/>
              <w:right w:val="nil"/>
            </w:tcBorders>
            <w:shd w:val="clear" w:color="000000" w:fill="FFFFFF"/>
            <w:hideMark/>
          </w:tcPr>
          <w:p w14:paraId="065527AB"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0960" w:type="dxa"/>
            <w:gridSpan w:val="8"/>
            <w:tcBorders>
              <w:top w:val="nil"/>
              <w:left w:val="nil"/>
              <w:bottom w:val="nil"/>
              <w:right w:val="nil"/>
            </w:tcBorders>
            <w:shd w:val="clear" w:color="000000" w:fill="FFFFFF"/>
            <w:vAlign w:val="center"/>
            <w:hideMark/>
          </w:tcPr>
          <w:p w14:paraId="0BDF6DF7"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QUARTO TRIMESTRE (Encerrado) (Fechado)</w:t>
            </w:r>
          </w:p>
        </w:tc>
      </w:tr>
      <w:tr w:rsidR="00F80C6D" w:rsidRPr="00F80C6D" w14:paraId="18923F2A" w14:textId="77777777" w:rsidTr="00F80C6D">
        <w:trPr>
          <w:trHeight w:val="199"/>
          <w:jc w:val="center"/>
        </w:trPr>
        <w:tc>
          <w:tcPr>
            <w:tcW w:w="1340" w:type="dxa"/>
            <w:gridSpan w:val="3"/>
            <w:tcBorders>
              <w:top w:val="nil"/>
              <w:left w:val="nil"/>
              <w:bottom w:val="nil"/>
              <w:right w:val="nil"/>
            </w:tcBorders>
            <w:shd w:val="clear" w:color="000000" w:fill="FFFFFF"/>
            <w:vAlign w:val="center"/>
            <w:hideMark/>
          </w:tcPr>
          <w:p w14:paraId="78DD1446"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EMISSÃO</w:t>
            </w:r>
          </w:p>
        </w:tc>
        <w:tc>
          <w:tcPr>
            <w:tcW w:w="40" w:type="dxa"/>
            <w:tcBorders>
              <w:top w:val="nil"/>
              <w:left w:val="nil"/>
              <w:bottom w:val="nil"/>
              <w:right w:val="nil"/>
            </w:tcBorders>
            <w:shd w:val="clear" w:color="000000" w:fill="FFFFFF"/>
            <w:hideMark/>
          </w:tcPr>
          <w:p w14:paraId="545FAF93"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c>
          <w:tcPr>
            <w:tcW w:w="10960" w:type="dxa"/>
            <w:gridSpan w:val="8"/>
            <w:tcBorders>
              <w:top w:val="nil"/>
              <w:left w:val="nil"/>
              <w:bottom w:val="nil"/>
              <w:right w:val="nil"/>
            </w:tcBorders>
            <w:shd w:val="clear" w:color="000000" w:fill="FFFFFF"/>
            <w:vAlign w:val="center"/>
            <w:hideMark/>
          </w:tcPr>
          <w:p w14:paraId="75DF74D6"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20/01/2021</w:t>
            </w:r>
          </w:p>
        </w:tc>
      </w:tr>
      <w:tr w:rsidR="00F80C6D" w:rsidRPr="00F80C6D" w14:paraId="07DD322E" w14:textId="77777777" w:rsidTr="00F80C6D">
        <w:trPr>
          <w:trHeight w:val="199"/>
          <w:jc w:val="center"/>
        </w:trPr>
        <w:tc>
          <w:tcPr>
            <w:tcW w:w="12340" w:type="dxa"/>
            <w:gridSpan w:val="12"/>
            <w:tcBorders>
              <w:top w:val="nil"/>
              <w:left w:val="nil"/>
              <w:bottom w:val="nil"/>
              <w:right w:val="nil"/>
            </w:tcBorders>
            <w:shd w:val="clear" w:color="000000" w:fill="FFFFFF"/>
            <w:vAlign w:val="center"/>
            <w:hideMark/>
          </w:tcPr>
          <w:p w14:paraId="3D8DE6D4"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VALORES EM UNIDADES DE REAL</w:t>
            </w:r>
          </w:p>
        </w:tc>
      </w:tr>
      <w:tr w:rsidR="00F80C6D" w:rsidRPr="00F80C6D" w14:paraId="2086D210" w14:textId="77777777" w:rsidTr="00F80C6D">
        <w:trPr>
          <w:trHeight w:val="199"/>
          <w:jc w:val="center"/>
        </w:trPr>
        <w:tc>
          <w:tcPr>
            <w:tcW w:w="12340" w:type="dxa"/>
            <w:gridSpan w:val="12"/>
            <w:tcBorders>
              <w:top w:val="nil"/>
              <w:left w:val="nil"/>
              <w:bottom w:val="nil"/>
              <w:right w:val="nil"/>
            </w:tcBorders>
            <w:shd w:val="clear" w:color="000000" w:fill="FFFFFF"/>
            <w:hideMark/>
          </w:tcPr>
          <w:p w14:paraId="4BDAB60C" w14:textId="77777777" w:rsidR="00F80C6D" w:rsidRPr="00F80C6D" w:rsidRDefault="00F80C6D" w:rsidP="00F80C6D">
            <w:pPr>
              <w:widowControl/>
              <w:suppressAutoHyphens w:val="0"/>
              <w:autoSpaceDN/>
              <w:textAlignment w:val="auto"/>
              <w:rPr>
                <w:rFonts w:ascii="SansSerif" w:eastAsia="Times New Roman" w:hAnsi="SansSerif" w:cs="Arial"/>
                <w:color w:val="000000"/>
                <w:kern w:val="0"/>
                <w:sz w:val="14"/>
                <w:szCs w:val="14"/>
                <w:lang w:eastAsia="pt-BR" w:bidi="ar-SA"/>
              </w:rPr>
            </w:pPr>
            <w:r w:rsidRPr="00F80C6D">
              <w:rPr>
                <w:rFonts w:ascii="SansSerif" w:eastAsia="Times New Roman" w:hAnsi="SansSerif" w:cs="Arial"/>
                <w:color w:val="000000"/>
                <w:kern w:val="0"/>
                <w:sz w:val="14"/>
                <w:szCs w:val="14"/>
                <w:lang w:eastAsia="pt-BR" w:bidi="ar-SA"/>
              </w:rPr>
              <w:t> </w:t>
            </w:r>
          </w:p>
        </w:tc>
      </w:tr>
      <w:tr w:rsidR="00F80C6D" w:rsidRPr="00F80C6D" w14:paraId="3E45DE42" w14:textId="77777777" w:rsidTr="00F80C6D">
        <w:trPr>
          <w:trHeight w:val="276"/>
          <w:jc w:val="center"/>
        </w:trPr>
        <w:tc>
          <w:tcPr>
            <w:tcW w:w="6340" w:type="dxa"/>
            <w:gridSpan w:val="9"/>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F357245" w14:textId="77777777" w:rsidR="00F80C6D" w:rsidRPr="00F80C6D" w:rsidRDefault="00F80C6D" w:rsidP="00F80C6D">
            <w:pPr>
              <w:widowControl/>
              <w:suppressAutoHyphens w:val="0"/>
              <w:autoSpaceDN/>
              <w:jc w:val="center"/>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INGRESSOS</w:t>
            </w:r>
          </w:p>
        </w:tc>
        <w:tc>
          <w:tcPr>
            <w:tcW w:w="600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06DC5B0" w14:textId="77777777" w:rsidR="00F80C6D" w:rsidRPr="00F80C6D" w:rsidRDefault="00F80C6D" w:rsidP="00F80C6D">
            <w:pPr>
              <w:widowControl/>
              <w:suppressAutoHyphens w:val="0"/>
              <w:autoSpaceDN/>
              <w:jc w:val="center"/>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DISPÊNDIOS</w:t>
            </w:r>
          </w:p>
        </w:tc>
      </w:tr>
      <w:tr w:rsidR="00F80C6D" w:rsidRPr="00F80C6D" w14:paraId="51C28819" w14:textId="77777777" w:rsidTr="00F80C6D">
        <w:trPr>
          <w:trHeight w:val="276"/>
          <w:jc w:val="center"/>
        </w:trPr>
        <w:tc>
          <w:tcPr>
            <w:tcW w:w="6340" w:type="dxa"/>
            <w:gridSpan w:val="9"/>
            <w:vMerge/>
            <w:tcBorders>
              <w:top w:val="single" w:sz="4" w:space="0" w:color="000000"/>
              <w:left w:val="single" w:sz="4" w:space="0" w:color="000000"/>
              <w:bottom w:val="single" w:sz="4" w:space="0" w:color="000000"/>
              <w:right w:val="single" w:sz="4" w:space="0" w:color="000000"/>
            </w:tcBorders>
            <w:vAlign w:val="center"/>
            <w:hideMark/>
          </w:tcPr>
          <w:p w14:paraId="196C646B"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p>
        </w:tc>
        <w:tc>
          <w:tcPr>
            <w:tcW w:w="6000" w:type="dxa"/>
            <w:gridSpan w:val="3"/>
            <w:vMerge/>
            <w:tcBorders>
              <w:top w:val="single" w:sz="4" w:space="0" w:color="000000"/>
              <w:left w:val="single" w:sz="4" w:space="0" w:color="000000"/>
              <w:bottom w:val="single" w:sz="4" w:space="0" w:color="000000"/>
              <w:right w:val="single" w:sz="4" w:space="0" w:color="000000"/>
            </w:tcBorders>
            <w:vAlign w:val="center"/>
            <w:hideMark/>
          </w:tcPr>
          <w:p w14:paraId="6E55198F"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p>
        </w:tc>
      </w:tr>
      <w:tr w:rsidR="00F80C6D" w:rsidRPr="00F80C6D" w14:paraId="1A885AA3" w14:textId="77777777" w:rsidTr="00F80C6D">
        <w:trPr>
          <w:trHeight w:val="276"/>
          <w:jc w:val="center"/>
        </w:trPr>
        <w:tc>
          <w:tcPr>
            <w:tcW w:w="6340" w:type="dxa"/>
            <w:gridSpan w:val="9"/>
            <w:vMerge/>
            <w:tcBorders>
              <w:top w:val="single" w:sz="4" w:space="0" w:color="000000"/>
              <w:left w:val="single" w:sz="4" w:space="0" w:color="000000"/>
              <w:bottom w:val="single" w:sz="4" w:space="0" w:color="000000"/>
              <w:right w:val="single" w:sz="4" w:space="0" w:color="000000"/>
            </w:tcBorders>
            <w:vAlign w:val="center"/>
            <w:hideMark/>
          </w:tcPr>
          <w:p w14:paraId="2EEBF861"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p>
        </w:tc>
        <w:tc>
          <w:tcPr>
            <w:tcW w:w="6000" w:type="dxa"/>
            <w:gridSpan w:val="3"/>
            <w:vMerge/>
            <w:tcBorders>
              <w:top w:val="single" w:sz="4" w:space="0" w:color="000000"/>
              <w:left w:val="single" w:sz="4" w:space="0" w:color="000000"/>
              <w:bottom w:val="single" w:sz="4" w:space="0" w:color="000000"/>
              <w:right w:val="single" w:sz="4" w:space="0" w:color="000000"/>
            </w:tcBorders>
            <w:vAlign w:val="center"/>
            <w:hideMark/>
          </w:tcPr>
          <w:p w14:paraId="2DA47E27"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p>
        </w:tc>
      </w:tr>
      <w:tr w:rsidR="00F80C6D" w:rsidRPr="00F80C6D" w14:paraId="33F84FD7" w14:textId="77777777" w:rsidTr="00F80C6D">
        <w:trPr>
          <w:trHeight w:val="240"/>
          <w:jc w:val="center"/>
        </w:trPr>
        <w:tc>
          <w:tcPr>
            <w:tcW w:w="330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C09E917" w14:textId="77777777" w:rsidR="00F80C6D" w:rsidRPr="00F80C6D" w:rsidRDefault="00F80C6D" w:rsidP="00F80C6D">
            <w:pPr>
              <w:widowControl/>
              <w:suppressAutoHyphens w:val="0"/>
              <w:autoSpaceDN/>
              <w:jc w:val="center"/>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ESPECIFICAÇÃO</w:t>
            </w:r>
          </w:p>
        </w:tc>
        <w:tc>
          <w:tcPr>
            <w:tcW w:w="360" w:type="dxa"/>
            <w:tcBorders>
              <w:top w:val="nil"/>
              <w:left w:val="nil"/>
              <w:bottom w:val="single" w:sz="4" w:space="0" w:color="000000"/>
              <w:right w:val="single" w:sz="4" w:space="0" w:color="000000"/>
            </w:tcBorders>
            <w:shd w:val="clear" w:color="000000" w:fill="FFFFFF"/>
            <w:vAlign w:val="center"/>
            <w:hideMark/>
          </w:tcPr>
          <w:p w14:paraId="23401B4E" w14:textId="77777777" w:rsidR="00F80C6D" w:rsidRPr="00F80C6D" w:rsidRDefault="00F80C6D" w:rsidP="00F80C6D">
            <w:pPr>
              <w:widowControl/>
              <w:suppressAutoHyphens w:val="0"/>
              <w:autoSpaceDN/>
              <w:jc w:val="center"/>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N.E.</w:t>
            </w:r>
          </w:p>
        </w:tc>
        <w:tc>
          <w:tcPr>
            <w:tcW w:w="140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D64543A" w14:textId="77777777" w:rsidR="00F80C6D" w:rsidRPr="00F80C6D" w:rsidRDefault="00F80C6D" w:rsidP="00F80C6D">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2020</w:t>
            </w:r>
          </w:p>
        </w:tc>
        <w:tc>
          <w:tcPr>
            <w:tcW w:w="1280" w:type="dxa"/>
            <w:tcBorders>
              <w:top w:val="nil"/>
              <w:left w:val="nil"/>
              <w:bottom w:val="single" w:sz="4" w:space="0" w:color="000000"/>
              <w:right w:val="single" w:sz="4" w:space="0" w:color="000000"/>
            </w:tcBorders>
            <w:shd w:val="clear" w:color="000000" w:fill="FFFFFF"/>
            <w:vAlign w:val="center"/>
            <w:hideMark/>
          </w:tcPr>
          <w:p w14:paraId="3D002D8E" w14:textId="77777777" w:rsidR="00F80C6D" w:rsidRPr="00F80C6D" w:rsidRDefault="00F80C6D" w:rsidP="00F80C6D">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2019</w:t>
            </w:r>
          </w:p>
        </w:tc>
        <w:tc>
          <w:tcPr>
            <w:tcW w:w="3320" w:type="dxa"/>
            <w:tcBorders>
              <w:top w:val="nil"/>
              <w:left w:val="nil"/>
              <w:bottom w:val="single" w:sz="4" w:space="0" w:color="000000"/>
              <w:right w:val="single" w:sz="4" w:space="0" w:color="000000"/>
            </w:tcBorders>
            <w:shd w:val="clear" w:color="000000" w:fill="FFFFFF"/>
            <w:vAlign w:val="center"/>
            <w:hideMark/>
          </w:tcPr>
          <w:p w14:paraId="4AE07D6C" w14:textId="77777777" w:rsidR="00F80C6D" w:rsidRPr="00F80C6D" w:rsidRDefault="00F80C6D" w:rsidP="00F80C6D">
            <w:pPr>
              <w:widowControl/>
              <w:suppressAutoHyphens w:val="0"/>
              <w:autoSpaceDN/>
              <w:jc w:val="center"/>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ESPECIFICAÇÃO</w:t>
            </w:r>
          </w:p>
        </w:tc>
        <w:tc>
          <w:tcPr>
            <w:tcW w:w="1380" w:type="dxa"/>
            <w:tcBorders>
              <w:top w:val="nil"/>
              <w:left w:val="nil"/>
              <w:bottom w:val="single" w:sz="4" w:space="0" w:color="000000"/>
              <w:right w:val="single" w:sz="4" w:space="0" w:color="000000"/>
            </w:tcBorders>
            <w:shd w:val="clear" w:color="000000" w:fill="FFFFFF"/>
            <w:vAlign w:val="center"/>
            <w:hideMark/>
          </w:tcPr>
          <w:p w14:paraId="21387419" w14:textId="77777777" w:rsidR="00F80C6D" w:rsidRPr="00F80C6D" w:rsidRDefault="00F80C6D" w:rsidP="00F80C6D">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2020</w:t>
            </w:r>
          </w:p>
        </w:tc>
        <w:tc>
          <w:tcPr>
            <w:tcW w:w="1300" w:type="dxa"/>
            <w:tcBorders>
              <w:top w:val="nil"/>
              <w:left w:val="nil"/>
              <w:bottom w:val="single" w:sz="4" w:space="0" w:color="000000"/>
              <w:right w:val="single" w:sz="4" w:space="0" w:color="000000"/>
            </w:tcBorders>
            <w:shd w:val="clear" w:color="000000" w:fill="FFFFFF"/>
            <w:vAlign w:val="center"/>
            <w:hideMark/>
          </w:tcPr>
          <w:p w14:paraId="0DCAB116" w14:textId="77777777" w:rsidR="00F80C6D" w:rsidRPr="00F80C6D" w:rsidRDefault="00F80C6D" w:rsidP="00F80C6D">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2019</w:t>
            </w:r>
          </w:p>
        </w:tc>
      </w:tr>
      <w:tr w:rsidR="00F80C6D" w:rsidRPr="00F80C6D" w14:paraId="03CA409E"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581BC372"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Receitas Orçamentárias</w:t>
            </w:r>
          </w:p>
        </w:tc>
        <w:tc>
          <w:tcPr>
            <w:tcW w:w="360" w:type="dxa"/>
            <w:tcBorders>
              <w:top w:val="nil"/>
              <w:left w:val="nil"/>
              <w:bottom w:val="nil"/>
              <w:right w:val="single" w:sz="4" w:space="0" w:color="000000"/>
            </w:tcBorders>
            <w:shd w:val="clear" w:color="000000" w:fill="FFFFFF"/>
            <w:hideMark/>
          </w:tcPr>
          <w:p w14:paraId="3C25CC2C" w14:textId="77777777" w:rsidR="00F80C6D" w:rsidRPr="00F80C6D" w:rsidRDefault="00F80C6D" w:rsidP="00F80C6D">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19</w:t>
            </w:r>
          </w:p>
        </w:tc>
        <w:tc>
          <w:tcPr>
            <w:tcW w:w="1400" w:type="dxa"/>
            <w:gridSpan w:val="2"/>
            <w:tcBorders>
              <w:top w:val="nil"/>
              <w:left w:val="nil"/>
              <w:bottom w:val="nil"/>
              <w:right w:val="single" w:sz="4" w:space="0" w:color="000000"/>
            </w:tcBorders>
            <w:shd w:val="clear" w:color="000000" w:fill="FFFFFF"/>
            <w:hideMark/>
          </w:tcPr>
          <w:p w14:paraId="11169312"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3.540.753.283,25</w:t>
            </w:r>
          </w:p>
        </w:tc>
        <w:tc>
          <w:tcPr>
            <w:tcW w:w="1280" w:type="dxa"/>
            <w:tcBorders>
              <w:top w:val="nil"/>
              <w:left w:val="nil"/>
              <w:bottom w:val="nil"/>
              <w:right w:val="single" w:sz="4" w:space="0" w:color="000000"/>
            </w:tcBorders>
            <w:shd w:val="clear" w:color="000000" w:fill="FFFFFF"/>
            <w:hideMark/>
          </w:tcPr>
          <w:p w14:paraId="2A14E046"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2.294.174.395,49</w:t>
            </w:r>
          </w:p>
        </w:tc>
        <w:tc>
          <w:tcPr>
            <w:tcW w:w="3320" w:type="dxa"/>
            <w:tcBorders>
              <w:top w:val="nil"/>
              <w:left w:val="nil"/>
              <w:bottom w:val="nil"/>
              <w:right w:val="single" w:sz="4" w:space="0" w:color="000000"/>
            </w:tcBorders>
            <w:shd w:val="clear" w:color="000000" w:fill="FFFFFF"/>
            <w:hideMark/>
          </w:tcPr>
          <w:p w14:paraId="7DECA2E2"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Despesas Orçamentárias</w:t>
            </w:r>
          </w:p>
        </w:tc>
        <w:tc>
          <w:tcPr>
            <w:tcW w:w="1380" w:type="dxa"/>
            <w:tcBorders>
              <w:top w:val="nil"/>
              <w:left w:val="nil"/>
              <w:bottom w:val="nil"/>
              <w:right w:val="single" w:sz="4" w:space="0" w:color="000000"/>
            </w:tcBorders>
            <w:shd w:val="clear" w:color="000000" w:fill="FFFFFF"/>
            <w:hideMark/>
          </w:tcPr>
          <w:p w14:paraId="7A31C6E9"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33.083.053.299,40</w:t>
            </w:r>
          </w:p>
        </w:tc>
        <w:tc>
          <w:tcPr>
            <w:tcW w:w="1300" w:type="dxa"/>
            <w:tcBorders>
              <w:top w:val="nil"/>
              <w:left w:val="nil"/>
              <w:bottom w:val="nil"/>
              <w:right w:val="single" w:sz="4" w:space="0" w:color="000000"/>
            </w:tcBorders>
            <w:shd w:val="clear" w:color="000000" w:fill="FFFFFF"/>
            <w:hideMark/>
          </w:tcPr>
          <w:p w14:paraId="62A8E0F0"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32.522.853.659,60</w:t>
            </w:r>
          </w:p>
        </w:tc>
      </w:tr>
      <w:tr w:rsidR="00F80C6D" w:rsidRPr="00F80C6D" w14:paraId="0F9BEF3C"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011D9052"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 xml:space="preserve">    Ordinárias</w:t>
            </w:r>
          </w:p>
        </w:tc>
        <w:tc>
          <w:tcPr>
            <w:tcW w:w="360" w:type="dxa"/>
            <w:tcBorders>
              <w:top w:val="nil"/>
              <w:left w:val="nil"/>
              <w:bottom w:val="nil"/>
              <w:right w:val="single" w:sz="4" w:space="0" w:color="000000"/>
            </w:tcBorders>
            <w:shd w:val="clear" w:color="000000" w:fill="FFFFFF"/>
            <w:hideMark/>
          </w:tcPr>
          <w:p w14:paraId="66363FA0"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4A33D2EA"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w:t>
            </w:r>
          </w:p>
        </w:tc>
        <w:tc>
          <w:tcPr>
            <w:tcW w:w="1280" w:type="dxa"/>
            <w:tcBorders>
              <w:top w:val="nil"/>
              <w:left w:val="nil"/>
              <w:bottom w:val="nil"/>
              <w:right w:val="single" w:sz="4" w:space="0" w:color="000000"/>
            </w:tcBorders>
            <w:shd w:val="clear" w:color="000000" w:fill="FFFFFF"/>
            <w:hideMark/>
          </w:tcPr>
          <w:p w14:paraId="412F2EA1"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w:t>
            </w:r>
          </w:p>
        </w:tc>
        <w:tc>
          <w:tcPr>
            <w:tcW w:w="3320" w:type="dxa"/>
            <w:tcBorders>
              <w:top w:val="nil"/>
              <w:left w:val="nil"/>
              <w:bottom w:val="nil"/>
              <w:right w:val="single" w:sz="4" w:space="0" w:color="000000"/>
            </w:tcBorders>
            <w:shd w:val="clear" w:color="000000" w:fill="FFFFFF"/>
            <w:hideMark/>
          </w:tcPr>
          <w:p w14:paraId="4A1CA53D"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 xml:space="preserve">    Ordinárias</w:t>
            </w:r>
          </w:p>
        </w:tc>
        <w:tc>
          <w:tcPr>
            <w:tcW w:w="1380" w:type="dxa"/>
            <w:tcBorders>
              <w:top w:val="nil"/>
              <w:left w:val="nil"/>
              <w:bottom w:val="nil"/>
              <w:right w:val="single" w:sz="4" w:space="0" w:color="000000"/>
            </w:tcBorders>
            <w:shd w:val="clear" w:color="000000" w:fill="FFFFFF"/>
            <w:hideMark/>
          </w:tcPr>
          <w:p w14:paraId="47FBEB54"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10.649.935.715,43</w:t>
            </w:r>
          </w:p>
        </w:tc>
        <w:tc>
          <w:tcPr>
            <w:tcW w:w="1300" w:type="dxa"/>
            <w:tcBorders>
              <w:top w:val="nil"/>
              <w:left w:val="nil"/>
              <w:bottom w:val="nil"/>
              <w:right w:val="single" w:sz="4" w:space="0" w:color="000000"/>
            </w:tcBorders>
            <w:shd w:val="clear" w:color="000000" w:fill="FFFFFF"/>
            <w:hideMark/>
          </w:tcPr>
          <w:p w14:paraId="267FCB03"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13.748.230.175,01</w:t>
            </w:r>
          </w:p>
        </w:tc>
      </w:tr>
      <w:tr w:rsidR="00F80C6D" w:rsidRPr="00F80C6D" w14:paraId="00887A70"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6C358CAA"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 xml:space="preserve">    Vinculadas</w:t>
            </w:r>
          </w:p>
        </w:tc>
        <w:tc>
          <w:tcPr>
            <w:tcW w:w="360" w:type="dxa"/>
            <w:tcBorders>
              <w:top w:val="nil"/>
              <w:left w:val="nil"/>
              <w:bottom w:val="nil"/>
              <w:right w:val="single" w:sz="4" w:space="0" w:color="000000"/>
            </w:tcBorders>
            <w:shd w:val="clear" w:color="000000" w:fill="FFFFFF"/>
            <w:hideMark/>
          </w:tcPr>
          <w:p w14:paraId="5D62349E"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1B8969BE"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4.449.075.987,52</w:t>
            </w:r>
          </w:p>
        </w:tc>
        <w:tc>
          <w:tcPr>
            <w:tcW w:w="1280" w:type="dxa"/>
            <w:tcBorders>
              <w:top w:val="nil"/>
              <w:left w:val="nil"/>
              <w:bottom w:val="nil"/>
              <w:right w:val="single" w:sz="4" w:space="0" w:color="000000"/>
            </w:tcBorders>
            <w:shd w:val="clear" w:color="000000" w:fill="FFFFFF"/>
            <w:hideMark/>
          </w:tcPr>
          <w:p w14:paraId="01AA576C"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2.587.552.600,88</w:t>
            </w:r>
          </w:p>
        </w:tc>
        <w:tc>
          <w:tcPr>
            <w:tcW w:w="3320" w:type="dxa"/>
            <w:tcBorders>
              <w:top w:val="nil"/>
              <w:left w:val="nil"/>
              <w:bottom w:val="nil"/>
              <w:right w:val="single" w:sz="4" w:space="0" w:color="000000"/>
            </w:tcBorders>
            <w:shd w:val="clear" w:color="000000" w:fill="FFFFFF"/>
            <w:hideMark/>
          </w:tcPr>
          <w:p w14:paraId="7EE882F4"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 xml:space="preserve">    Vinculadas</w:t>
            </w:r>
          </w:p>
        </w:tc>
        <w:tc>
          <w:tcPr>
            <w:tcW w:w="1380" w:type="dxa"/>
            <w:tcBorders>
              <w:top w:val="nil"/>
              <w:left w:val="nil"/>
              <w:bottom w:val="nil"/>
              <w:right w:val="single" w:sz="4" w:space="0" w:color="000000"/>
            </w:tcBorders>
            <w:shd w:val="clear" w:color="000000" w:fill="FFFFFF"/>
            <w:hideMark/>
          </w:tcPr>
          <w:p w14:paraId="38F4B7BD"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22.433.117.583,97</w:t>
            </w:r>
          </w:p>
        </w:tc>
        <w:tc>
          <w:tcPr>
            <w:tcW w:w="1300" w:type="dxa"/>
            <w:tcBorders>
              <w:top w:val="nil"/>
              <w:left w:val="nil"/>
              <w:bottom w:val="nil"/>
              <w:right w:val="single" w:sz="4" w:space="0" w:color="000000"/>
            </w:tcBorders>
            <w:shd w:val="clear" w:color="000000" w:fill="FFFFFF"/>
            <w:hideMark/>
          </w:tcPr>
          <w:p w14:paraId="1F399EA9"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18.774.623.484,59</w:t>
            </w:r>
          </w:p>
        </w:tc>
      </w:tr>
      <w:tr w:rsidR="00F80C6D" w:rsidRPr="00F80C6D" w14:paraId="1EE02452"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0ECDC147"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Previdência Social (RPPS)</w:t>
            </w:r>
          </w:p>
        </w:tc>
        <w:tc>
          <w:tcPr>
            <w:tcW w:w="360" w:type="dxa"/>
            <w:tcBorders>
              <w:top w:val="nil"/>
              <w:left w:val="nil"/>
              <w:bottom w:val="nil"/>
              <w:right w:val="single" w:sz="4" w:space="0" w:color="000000"/>
            </w:tcBorders>
            <w:shd w:val="clear" w:color="000000" w:fill="FFFFFF"/>
            <w:hideMark/>
          </w:tcPr>
          <w:p w14:paraId="067C892E"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72A75428"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w:t>
            </w:r>
          </w:p>
        </w:tc>
        <w:tc>
          <w:tcPr>
            <w:tcW w:w="1280" w:type="dxa"/>
            <w:tcBorders>
              <w:top w:val="nil"/>
              <w:left w:val="nil"/>
              <w:bottom w:val="nil"/>
              <w:right w:val="single" w:sz="4" w:space="0" w:color="000000"/>
            </w:tcBorders>
            <w:shd w:val="clear" w:color="000000" w:fill="FFFFFF"/>
            <w:hideMark/>
          </w:tcPr>
          <w:p w14:paraId="18546BB2"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w:t>
            </w:r>
          </w:p>
        </w:tc>
        <w:tc>
          <w:tcPr>
            <w:tcW w:w="3320" w:type="dxa"/>
            <w:tcBorders>
              <w:top w:val="nil"/>
              <w:left w:val="nil"/>
              <w:bottom w:val="nil"/>
              <w:right w:val="single" w:sz="4" w:space="0" w:color="000000"/>
            </w:tcBorders>
            <w:shd w:val="clear" w:color="000000" w:fill="FFFFFF"/>
            <w:hideMark/>
          </w:tcPr>
          <w:p w14:paraId="79B44FC5"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Seguridade Social (Exceto Previdência)</w:t>
            </w:r>
          </w:p>
        </w:tc>
        <w:tc>
          <w:tcPr>
            <w:tcW w:w="1380" w:type="dxa"/>
            <w:tcBorders>
              <w:top w:val="nil"/>
              <w:left w:val="nil"/>
              <w:bottom w:val="nil"/>
              <w:right w:val="single" w:sz="4" w:space="0" w:color="000000"/>
            </w:tcBorders>
            <w:shd w:val="clear" w:color="000000" w:fill="FFFFFF"/>
            <w:hideMark/>
          </w:tcPr>
          <w:p w14:paraId="15653D0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219.938.300,40</w:t>
            </w:r>
          </w:p>
        </w:tc>
        <w:tc>
          <w:tcPr>
            <w:tcW w:w="1300" w:type="dxa"/>
            <w:tcBorders>
              <w:top w:val="nil"/>
              <w:left w:val="nil"/>
              <w:bottom w:val="nil"/>
              <w:right w:val="single" w:sz="4" w:space="0" w:color="000000"/>
            </w:tcBorders>
            <w:shd w:val="clear" w:color="000000" w:fill="FFFFFF"/>
            <w:hideMark/>
          </w:tcPr>
          <w:p w14:paraId="67E387DD"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487.484.365,90</w:t>
            </w:r>
          </w:p>
        </w:tc>
      </w:tr>
      <w:tr w:rsidR="00F80C6D" w:rsidRPr="00F80C6D" w14:paraId="7A7163FC"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17DE1B02"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Receitas Financeiras</w:t>
            </w:r>
          </w:p>
        </w:tc>
        <w:tc>
          <w:tcPr>
            <w:tcW w:w="360" w:type="dxa"/>
            <w:tcBorders>
              <w:top w:val="nil"/>
              <w:left w:val="nil"/>
              <w:bottom w:val="nil"/>
              <w:right w:val="single" w:sz="4" w:space="0" w:color="000000"/>
            </w:tcBorders>
            <w:shd w:val="clear" w:color="000000" w:fill="FFFFFF"/>
            <w:hideMark/>
          </w:tcPr>
          <w:p w14:paraId="3EBEDE90"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3B6D150D"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280" w:type="dxa"/>
            <w:tcBorders>
              <w:top w:val="nil"/>
              <w:left w:val="nil"/>
              <w:bottom w:val="nil"/>
              <w:right w:val="single" w:sz="4" w:space="0" w:color="000000"/>
            </w:tcBorders>
            <w:shd w:val="clear" w:color="000000" w:fill="FFFFFF"/>
            <w:hideMark/>
          </w:tcPr>
          <w:p w14:paraId="62CD6C49"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5.087.997,40</w:t>
            </w:r>
          </w:p>
        </w:tc>
        <w:tc>
          <w:tcPr>
            <w:tcW w:w="3320" w:type="dxa"/>
            <w:tcBorders>
              <w:top w:val="nil"/>
              <w:left w:val="nil"/>
              <w:bottom w:val="nil"/>
              <w:right w:val="single" w:sz="4" w:space="0" w:color="000000"/>
            </w:tcBorders>
            <w:shd w:val="clear" w:color="000000" w:fill="FFFFFF"/>
            <w:hideMark/>
          </w:tcPr>
          <w:p w14:paraId="7DC0212E"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Previdência Social (RPPS)</w:t>
            </w:r>
          </w:p>
        </w:tc>
        <w:tc>
          <w:tcPr>
            <w:tcW w:w="1380" w:type="dxa"/>
            <w:tcBorders>
              <w:top w:val="nil"/>
              <w:left w:val="nil"/>
              <w:bottom w:val="nil"/>
              <w:right w:val="single" w:sz="4" w:space="0" w:color="000000"/>
            </w:tcBorders>
            <w:shd w:val="clear" w:color="000000" w:fill="FFFFFF"/>
            <w:hideMark/>
          </w:tcPr>
          <w:p w14:paraId="4EC5DAC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373.620.564,70</w:t>
            </w:r>
          </w:p>
        </w:tc>
        <w:tc>
          <w:tcPr>
            <w:tcW w:w="1300" w:type="dxa"/>
            <w:tcBorders>
              <w:top w:val="nil"/>
              <w:left w:val="nil"/>
              <w:bottom w:val="nil"/>
              <w:right w:val="single" w:sz="4" w:space="0" w:color="000000"/>
            </w:tcBorders>
            <w:shd w:val="clear" w:color="000000" w:fill="FFFFFF"/>
            <w:hideMark/>
          </w:tcPr>
          <w:p w14:paraId="17678BF8"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117.791.883,68</w:t>
            </w:r>
          </w:p>
        </w:tc>
      </w:tr>
      <w:tr w:rsidR="00F80C6D" w:rsidRPr="00F80C6D" w14:paraId="219B0D4B"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6B15B1E8"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Dívida Pública</w:t>
            </w:r>
          </w:p>
        </w:tc>
        <w:tc>
          <w:tcPr>
            <w:tcW w:w="360" w:type="dxa"/>
            <w:tcBorders>
              <w:top w:val="nil"/>
              <w:left w:val="nil"/>
              <w:bottom w:val="nil"/>
              <w:right w:val="single" w:sz="4" w:space="0" w:color="000000"/>
            </w:tcBorders>
            <w:shd w:val="clear" w:color="000000" w:fill="FFFFFF"/>
            <w:hideMark/>
          </w:tcPr>
          <w:p w14:paraId="3A56F8C2"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3591FE79"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280" w:type="dxa"/>
            <w:tcBorders>
              <w:top w:val="nil"/>
              <w:left w:val="nil"/>
              <w:bottom w:val="nil"/>
              <w:right w:val="single" w:sz="4" w:space="0" w:color="000000"/>
            </w:tcBorders>
            <w:shd w:val="clear" w:color="000000" w:fill="FFFFFF"/>
            <w:hideMark/>
          </w:tcPr>
          <w:p w14:paraId="3CDC3330"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2.099.998,00</w:t>
            </w:r>
          </w:p>
        </w:tc>
        <w:tc>
          <w:tcPr>
            <w:tcW w:w="3320" w:type="dxa"/>
            <w:tcBorders>
              <w:top w:val="nil"/>
              <w:left w:val="nil"/>
              <w:bottom w:val="nil"/>
              <w:right w:val="single" w:sz="4" w:space="0" w:color="000000"/>
            </w:tcBorders>
            <w:shd w:val="clear" w:color="000000" w:fill="FFFFFF"/>
            <w:hideMark/>
          </w:tcPr>
          <w:p w14:paraId="66A479FF"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Receitas Financeiras</w:t>
            </w:r>
          </w:p>
        </w:tc>
        <w:tc>
          <w:tcPr>
            <w:tcW w:w="1380" w:type="dxa"/>
            <w:tcBorders>
              <w:top w:val="nil"/>
              <w:left w:val="nil"/>
              <w:bottom w:val="nil"/>
              <w:right w:val="single" w:sz="4" w:space="0" w:color="000000"/>
            </w:tcBorders>
            <w:shd w:val="clear" w:color="000000" w:fill="FFFFFF"/>
            <w:hideMark/>
          </w:tcPr>
          <w:p w14:paraId="4EE9295E"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300" w:type="dxa"/>
            <w:tcBorders>
              <w:top w:val="nil"/>
              <w:left w:val="nil"/>
              <w:bottom w:val="nil"/>
              <w:right w:val="single" w:sz="4" w:space="0" w:color="000000"/>
            </w:tcBorders>
            <w:shd w:val="clear" w:color="000000" w:fill="FFFFFF"/>
            <w:hideMark/>
          </w:tcPr>
          <w:p w14:paraId="61E4CD0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2.592.091.221,71</w:t>
            </w:r>
          </w:p>
        </w:tc>
      </w:tr>
      <w:tr w:rsidR="00F80C6D" w:rsidRPr="00F80C6D" w14:paraId="39F2A1A2"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5459B81B"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Alienação de Bens e Direitos</w:t>
            </w:r>
          </w:p>
        </w:tc>
        <w:tc>
          <w:tcPr>
            <w:tcW w:w="360" w:type="dxa"/>
            <w:tcBorders>
              <w:top w:val="nil"/>
              <w:left w:val="nil"/>
              <w:bottom w:val="nil"/>
              <w:right w:val="single" w:sz="4" w:space="0" w:color="000000"/>
            </w:tcBorders>
            <w:shd w:val="clear" w:color="000000" w:fill="FFFFFF"/>
            <w:hideMark/>
          </w:tcPr>
          <w:p w14:paraId="10F8D70D"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355ECF23"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5.730.677,48</w:t>
            </w:r>
          </w:p>
        </w:tc>
        <w:tc>
          <w:tcPr>
            <w:tcW w:w="1280" w:type="dxa"/>
            <w:tcBorders>
              <w:top w:val="nil"/>
              <w:left w:val="nil"/>
              <w:bottom w:val="nil"/>
              <w:right w:val="single" w:sz="4" w:space="0" w:color="000000"/>
            </w:tcBorders>
            <w:shd w:val="clear" w:color="000000" w:fill="FFFFFF"/>
            <w:hideMark/>
          </w:tcPr>
          <w:p w14:paraId="113D3B26"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15.087.486,89</w:t>
            </w:r>
          </w:p>
        </w:tc>
        <w:tc>
          <w:tcPr>
            <w:tcW w:w="3320" w:type="dxa"/>
            <w:tcBorders>
              <w:top w:val="nil"/>
              <w:left w:val="nil"/>
              <w:bottom w:val="nil"/>
              <w:right w:val="single" w:sz="4" w:space="0" w:color="000000"/>
            </w:tcBorders>
            <w:shd w:val="clear" w:color="000000" w:fill="FFFFFF"/>
            <w:hideMark/>
          </w:tcPr>
          <w:p w14:paraId="7512D494"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Dívida Pública</w:t>
            </w:r>
          </w:p>
        </w:tc>
        <w:tc>
          <w:tcPr>
            <w:tcW w:w="1380" w:type="dxa"/>
            <w:tcBorders>
              <w:top w:val="nil"/>
              <w:left w:val="nil"/>
              <w:bottom w:val="nil"/>
              <w:right w:val="single" w:sz="4" w:space="0" w:color="000000"/>
            </w:tcBorders>
            <w:shd w:val="clear" w:color="000000" w:fill="FFFFFF"/>
            <w:hideMark/>
          </w:tcPr>
          <w:p w14:paraId="6E721F4F"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5.507.281.229,39</w:t>
            </w:r>
          </w:p>
        </w:tc>
        <w:tc>
          <w:tcPr>
            <w:tcW w:w="1300" w:type="dxa"/>
            <w:tcBorders>
              <w:top w:val="nil"/>
              <w:left w:val="nil"/>
              <w:bottom w:val="nil"/>
              <w:right w:val="single" w:sz="4" w:space="0" w:color="000000"/>
            </w:tcBorders>
            <w:shd w:val="clear" w:color="000000" w:fill="FFFFFF"/>
            <w:hideMark/>
          </w:tcPr>
          <w:p w14:paraId="2B28091F"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16.855.369,50</w:t>
            </w:r>
          </w:p>
        </w:tc>
      </w:tr>
      <w:tr w:rsidR="00F80C6D" w:rsidRPr="00F80C6D" w14:paraId="414B1DC6"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2C2FA69C"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Outros Recursos Vinculados a Fundos, Órgãos e Programas</w:t>
            </w:r>
          </w:p>
        </w:tc>
        <w:tc>
          <w:tcPr>
            <w:tcW w:w="360" w:type="dxa"/>
            <w:tcBorders>
              <w:top w:val="nil"/>
              <w:left w:val="nil"/>
              <w:bottom w:val="nil"/>
              <w:right w:val="single" w:sz="4" w:space="0" w:color="000000"/>
            </w:tcBorders>
            <w:shd w:val="clear" w:color="000000" w:fill="FFFFFF"/>
            <w:hideMark/>
          </w:tcPr>
          <w:p w14:paraId="3B177195"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0D6D42D7"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4.438.466.867,53</w:t>
            </w:r>
          </w:p>
        </w:tc>
        <w:tc>
          <w:tcPr>
            <w:tcW w:w="1280" w:type="dxa"/>
            <w:tcBorders>
              <w:top w:val="nil"/>
              <w:left w:val="nil"/>
              <w:bottom w:val="nil"/>
              <w:right w:val="single" w:sz="4" w:space="0" w:color="000000"/>
            </w:tcBorders>
            <w:shd w:val="clear" w:color="000000" w:fill="FFFFFF"/>
            <w:hideMark/>
          </w:tcPr>
          <w:p w14:paraId="33A9E030"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2.562.158.001,82</w:t>
            </w:r>
          </w:p>
        </w:tc>
        <w:tc>
          <w:tcPr>
            <w:tcW w:w="3320" w:type="dxa"/>
            <w:tcBorders>
              <w:top w:val="nil"/>
              <w:left w:val="nil"/>
              <w:bottom w:val="nil"/>
              <w:right w:val="single" w:sz="4" w:space="0" w:color="000000"/>
            </w:tcBorders>
            <w:shd w:val="clear" w:color="000000" w:fill="FFFFFF"/>
            <w:hideMark/>
          </w:tcPr>
          <w:p w14:paraId="170A601D"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Alienação de Bens e Direitos</w:t>
            </w:r>
          </w:p>
        </w:tc>
        <w:tc>
          <w:tcPr>
            <w:tcW w:w="1380" w:type="dxa"/>
            <w:tcBorders>
              <w:top w:val="nil"/>
              <w:left w:val="nil"/>
              <w:bottom w:val="nil"/>
              <w:right w:val="single" w:sz="4" w:space="0" w:color="000000"/>
            </w:tcBorders>
            <w:shd w:val="clear" w:color="000000" w:fill="FFFFFF"/>
            <w:hideMark/>
          </w:tcPr>
          <w:p w14:paraId="041607BD"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2.832.456,13</w:t>
            </w:r>
          </w:p>
        </w:tc>
        <w:tc>
          <w:tcPr>
            <w:tcW w:w="1300" w:type="dxa"/>
            <w:tcBorders>
              <w:top w:val="nil"/>
              <w:left w:val="nil"/>
              <w:bottom w:val="nil"/>
              <w:right w:val="single" w:sz="4" w:space="0" w:color="000000"/>
            </w:tcBorders>
            <w:shd w:val="clear" w:color="000000" w:fill="FFFFFF"/>
            <w:hideMark/>
          </w:tcPr>
          <w:p w14:paraId="5C3390E9"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7.435.520,04</w:t>
            </w:r>
          </w:p>
        </w:tc>
      </w:tr>
      <w:tr w:rsidR="00F80C6D" w:rsidRPr="00F80C6D" w14:paraId="100CD840"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79C21AAE"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Outros Recursos Vinculados</w:t>
            </w:r>
          </w:p>
        </w:tc>
        <w:tc>
          <w:tcPr>
            <w:tcW w:w="360" w:type="dxa"/>
            <w:tcBorders>
              <w:top w:val="nil"/>
              <w:left w:val="nil"/>
              <w:bottom w:val="nil"/>
              <w:right w:val="single" w:sz="4" w:space="0" w:color="000000"/>
            </w:tcBorders>
            <w:shd w:val="clear" w:color="000000" w:fill="FFFFFF"/>
            <w:hideMark/>
          </w:tcPr>
          <w:p w14:paraId="268678AD"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0FD05B3E"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2.580.283,62</w:t>
            </w:r>
          </w:p>
        </w:tc>
        <w:tc>
          <w:tcPr>
            <w:tcW w:w="1280" w:type="dxa"/>
            <w:tcBorders>
              <w:top w:val="nil"/>
              <w:left w:val="nil"/>
              <w:bottom w:val="nil"/>
              <w:right w:val="single" w:sz="4" w:space="0" w:color="000000"/>
            </w:tcBorders>
            <w:shd w:val="clear" w:color="000000" w:fill="FFFFFF"/>
            <w:hideMark/>
          </w:tcPr>
          <w:p w14:paraId="47491D8F"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2.078.226,37</w:t>
            </w:r>
          </w:p>
        </w:tc>
        <w:tc>
          <w:tcPr>
            <w:tcW w:w="3320" w:type="dxa"/>
            <w:tcBorders>
              <w:top w:val="nil"/>
              <w:left w:val="nil"/>
              <w:bottom w:val="nil"/>
              <w:right w:val="single" w:sz="4" w:space="0" w:color="000000"/>
            </w:tcBorders>
            <w:shd w:val="clear" w:color="000000" w:fill="FFFFFF"/>
            <w:hideMark/>
          </w:tcPr>
          <w:p w14:paraId="5AFFCE17"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Transferências Constitucionais e Legais</w:t>
            </w:r>
          </w:p>
        </w:tc>
        <w:tc>
          <w:tcPr>
            <w:tcW w:w="1380" w:type="dxa"/>
            <w:tcBorders>
              <w:top w:val="nil"/>
              <w:left w:val="nil"/>
              <w:bottom w:val="nil"/>
              <w:right w:val="single" w:sz="4" w:space="0" w:color="000000"/>
            </w:tcBorders>
            <w:shd w:val="clear" w:color="000000" w:fill="FFFFFF"/>
            <w:hideMark/>
          </w:tcPr>
          <w:p w14:paraId="22922BB6"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14.098.271.396,00</w:t>
            </w:r>
          </w:p>
        </w:tc>
        <w:tc>
          <w:tcPr>
            <w:tcW w:w="1300" w:type="dxa"/>
            <w:tcBorders>
              <w:top w:val="nil"/>
              <w:left w:val="nil"/>
              <w:bottom w:val="nil"/>
              <w:right w:val="single" w:sz="4" w:space="0" w:color="000000"/>
            </w:tcBorders>
            <w:shd w:val="clear" w:color="000000" w:fill="FFFFFF"/>
            <w:hideMark/>
          </w:tcPr>
          <w:p w14:paraId="5CA3B969"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13.727.052.425,00</w:t>
            </w:r>
          </w:p>
        </w:tc>
      </w:tr>
      <w:tr w:rsidR="00F80C6D" w:rsidRPr="00F80C6D" w14:paraId="45D2C6A5"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57D0C054"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Recursos a Classificar</w:t>
            </w:r>
          </w:p>
        </w:tc>
        <w:tc>
          <w:tcPr>
            <w:tcW w:w="360" w:type="dxa"/>
            <w:tcBorders>
              <w:top w:val="nil"/>
              <w:left w:val="nil"/>
              <w:bottom w:val="nil"/>
              <w:right w:val="single" w:sz="4" w:space="0" w:color="000000"/>
            </w:tcBorders>
            <w:shd w:val="clear" w:color="000000" w:fill="FFFFFF"/>
            <w:hideMark/>
          </w:tcPr>
          <w:p w14:paraId="7E6F2F61"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0A79866A"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2.298.158,89</w:t>
            </w:r>
          </w:p>
        </w:tc>
        <w:tc>
          <w:tcPr>
            <w:tcW w:w="1280" w:type="dxa"/>
            <w:tcBorders>
              <w:top w:val="nil"/>
              <w:left w:val="nil"/>
              <w:bottom w:val="nil"/>
              <w:right w:val="single" w:sz="4" w:space="0" w:color="000000"/>
            </w:tcBorders>
            <w:shd w:val="clear" w:color="000000" w:fill="FFFFFF"/>
            <w:hideMark/>
          </w:tcPr>
          <w:p w14:paraId="732652D1"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1.040.890,40</w:t>
            </w:r>
          </w:p>
        </w:tc>
        <w:tc>
          <w:tcPr>
            <w:tcW w:w="3320" w:type="dxa"/>
            <w:tcBorders>
              <w:top w:val="nil"/>
              <w:left w:val="nil"/>
              <w:bottom w:val="nil"/>
              <w:right w:val="single" w:sz="4" w:space="0" w:color="000000"/>
            </w:tcBorders>
            <w:shd w:val="clear" w:color="000000" w:fill="FFFFFF"/>
            <w:hideMark/>
          </w:tcPr>
          <w:p w14:paraId="2044129D"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Outros Recursos Vinculados a Fundos, Órgãos e Programas</w:t>
            </w:r>
          </w:p>
        </w:tc>
        <w:tc>
          <w:tcPr>
            <w:tcW w:w="1380" w:type="dxa"/>
            <w:tcBorders>
              <w:top w:val="nil"/>
              <w:left w:val="nil"/>
              <w:bottom w:val="nil"/>
              <w:right w:val="single" w:sz="4" w:space="0" w:color="000000"/>
            </w:tcBorders>
            <w:shd w:val="clear" w:color="000000" w:fill="FFFFFF"/>
            <w:hideMark/>
          </w:tcPr>
          <w:p w14:paraId="6E8AE015"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2.231.173.637,35</w:t>
            </w:r>
          </w:p>
        </w:tc>
        <w:tc>
          <w:tcPr>
            <w:tcW w:w="1300" w:type="dxa"/>
            <w:tcBorders>
              <w:top w:val="nil"/>
              <w:left w:val="nil"/>
              <w:bottom w:val="nil"/>
              <w:right w:val="single" w:sz="4" w:space="0" w:color="000000"/>
            </w:tcBorders>
            <w:shd w:val="clear" w:color="000000" w:fill="FFFFFF"/>
            <w:hideMark/>
          </w:tcPr>
          <w:p w14:paraId="60C377A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1.821.303.598,76</w:t>
            </w:r>
          </w:p>
        </w:tc>
      </w:tr>
      <w:tr w:rsidR="00F80C6D" w:rsidRPr="00F80C6D" w14:paraId="496ADB4B"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421B7485"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 xml:space="preserve">    (-) Deduções da Receita Orçamentária</w:t>
            </w:r>
          </w:p>
        </w:tc>
        <w:tc>
          <w:tcPr>
            <w:tcW w:w="360" w:type="dxa"/>
            <w:tcBorders>
              <w:top w:val="nil"/>
              <w:left w:val="nil"/>
              <w:bottom w:val="nil"/>
              <w:right w:val="single" w:sz="4" w:space="0" w:color="000000"/>
            </w:tcBorders>
            <w:shd w:val="clear" w:color="000000" w:fill="FFFFFF"/>
            <w:hideMark/>
          </w:tcPr>
          <w:p w14:paraId="3251DE38" w14:textId="77777777" w:rsidR="00F80C6D" w:rsidRPr="00F80C6D" w:rsidRDefault="00F80C6D" w:rsidP="00F80C6D">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09C6E443"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-908.322.704,27</w:t>
            </w:r>
          </w:p>
        </w:tc>
        <w:tc>
          <w:tcPr>
            <w:tcW w:w="1280" w:type="dxa"/>
            <w:tcBorders>
              <w:top w:val="nil"/>
              <w:left w:val="nil"/>
              <w:bottom w:val="nil"/>
              <w:right w:val="single" w:sz="4" w:space="0" w:color="000000"/>
            </w:tcBorders>
            <w:shd w:val="clear" w:color="000000" w:fill="FFFFFF"/>
            <w:hideMark/>
          </w:tcPr>
          <w:p w14:paraId="2E2F909E"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-293.378.205,39</w:t>
            </w:r>
          </w:p>
        </w:tc>
        <w:tc>
          <w:tcPr>
            <w:tcW w:w="3320" w:type="dxa"/>
            <w:tcBorders>
              <w:top w:val="nil"/>
              <w:left w:val="nil"/>
              <w:bottom w:val="nil"/>
              <w:right w:val="single" w:sz="4" w:space="0" w:color="000000"/>
            </w:tcBorders>
            <w:shd w:val="clear" w:color="000000" w:fill="FFFFFF"/>
            <w:hideMark/>
          </w:tcPr>
          <w:p w14:paraId="71CBD2AA"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Outros Recursos Vinculados</w:t>
            </w:r>
          </w:p>
        </w:tc>
        <w:tc>
          <w:tcPr>
            <w:tcW w:w="1380" w:type="dxa"/>
            <w:tcBorders>
              <w:top w:val="nil"/>
              <w:left w:val="nil"/>
              <w:bottom w:val="nil"/>
              <w:right w:val="single" w:sz="4" w:space="0" w:color="000000"/>
            </w:tcBorders>
            <w:shd w:val="clear" w:color="000000" w:fill="FFFFFF"/>
            <w:hideMark/>
          </w:tcPr>
          <w:p w14:paraId="335DB8B9"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300" w:type="dxa"/>
            <w:tcBorders>
              <w:top w:val="nil"/>
              <w:left w:val="nil"/>
              <w:bottom w:val="nil"/>
              <w:right w:val="single" w:sz="4" w:space="0" w:color="000000"/>
            </w:tcBorders>
            <w:shd w:val="clear" w:color="000000" w:fill="FFFFFF"/>
            <w:hideMark/>
          </w:tcPr>
          <w:p w14:paraId="2D845984"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4.609.100,00</w:t>
            </w:r>
          </w:p>
        </w:tc>
      </w:tr>
      <w:tr w:rsidR="00F80C6D" w:rsidRPr="00F80C6D" w14:paraId="5591A9A8"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236BAAE2"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Transferências Financeiras Recebidas</w:t>
            </w:r>
          </w:p>
        </w:tc>
        <w:tc>
          <w:tcPr>
            <w:tcW w:w="360" w:type="dxa"/>
            <w:tcBorders>
              <w:top w:val="nil"/>
              <w:left w:val="nil"/>
              <w:bottom w:val="nil"/>
              <w:right w:val="single" w:sz="4" w:space="0" w:color="000000"/>
            </w:tcBorders>
            <w:shd w:val="clear" w:color="000000" w:fill="FFFFFF"/>
            <w:hideMark/>
          </w:tcPr>
          <w:p w14:paraId="74876362" w14:textId="77777777" w:rsidR="00F80C6D" w:rsidRPr="00F80C6D" w:rsidRDefault="00F80C6D" w:rsidP="00F80C6D">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20</w:t>
            </w:r>
          </w:p>
        </w:tc>
        <w:tc>
          <w:tcPr>
            <w:tcW w:w="1400" w:type="dxa"/>
            <w:gridSpan w:val="2"/>
            <w:tcBorders>
              <w:top w:val="nil"/>
              <w:left w:val="nil"/>
              <w:bottom w:val="nil"/>
              <w:right w:val="single" w:sz="4" w:space="0" w:color="000000"/>
            </w:tcBorders>
            <w:shd w:val="clear" w:color="000000" w:fill="FFFFFF"/>
            <w:hideMark/>
          </w:tcPr>
          <w:p w14:paraId="08FCAB27"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62.009.664.897,72</w:t>
            </w:r>
          </w:p>
        </w:tc>
        <w:tc>
          <w:tcPr>
            <w:tcW w:w="1280" w:type="dxa"/>
            <w:tcBorders>
              <w:top w:val="nil"/>
              <w:left w:val="nil"/>
              <w:bottom w:val="nil"/>
              <w:right w:val="single" w:sz="4" w:space="0" w:color="000000"/>
            </w:tcBorders>
            <w:shd w:val="clear" w:color="000000" w:fill="FFFFFF"/>
            <w:hideMark/>
          </w:tcPr>
          <w:p w14:paraId="603EB715"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63.766.144.812,64</w:t>
            </w:r>
          </w:p>
        </w:tc>
        <w:tc>
          <w:tcPr>
            <w:tcW w:w="3320" w:type="dxa"/>
            <w:tcBorders>
              <w:top w:val="nil"/>
              <w:left w:val="nil"/>
              <w:bottom w:val="nil"/>
              <w:right w:val="single" w:sz="4" w:space="0" w:color="000000"/>
            </w:tcBorders>
            <w:shd w:val="clear" w:color="000000" w:fill="FFFFFF"/>
            <w:hideMark/>
          </w:tcPr>
          <w:p w14:paraId="61027825"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Transferências Financeiras Concedidas</w:t>
            </w:r>
          </w:p>
        </w:tc>
        <w:tc>
          <w:tcPr>
            <w:tcW w:w="1380" w:type="dxa"/>
            <w:tcBorders>
              <w:top w:val="nil"/>
              <w:left w:val="nil"/>
              <w:bottom w:val="nil"/>
              <w:right w:val="single" w:sz="4" w:space="0" w:color="000000"/>
            </w:tcBorders>
            <w:shd w:val="clear" w:color="000000" w:fill="FFFFFF"/>
            <w:hideMark/>
          </w:tcPr>
          <w:p w14:paraId="36C80347"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34.988.898.718,36</w:t>
            </w:r>
          </w:p>
        </w:tc>
        <w:tc>
          <w:tcPr>
            <w:tcW w:w="1300" w:type="dxa"/>
            <w:tcBorders>
              <w:top w:val="nil"/>
              <w:left w:val="nil"/>
              <w:bottom w:val="nil"/>
              <w:right w:val="single" w:sz="4" w:space="0" w:color="000000"/>
            </w:tcBorders>
            <w:shd w:val="clear" w:color="000000" w:fill="FFFFFF"/>
            <w:hideMark/>
          </w:tcPr>
          <w:p w14:paraId="32327A7C"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35.356.240.118,81</w:t>
            </w:r>
          </w:p>
        </w:tc>
      </w:tr>
      <w:tr w:rsidR="00F80C6D" w:rsidRPr="00F80C6D" w14:paraId="287EB7C3"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50267E3A"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Resultantes da Execução Orçamentária</w:t>
            </w:r>
          </w:p>
        </w:tc>
        <w:tc>
          <w:tcPr>
            <w:tcW w:w="360" w:type="dxa"/>
            <w:tcBorders>
              <w:top w:val="nil"/>
              <w:left w:val="nil"/>
              <w:bottom w:val="nil"/>
              <w:right w:val="single" w:sz="4" w:space="0" w:color="000000"/>
            </w:tcBorders>
            <w:shd w:val="clear" w:color="000000" w:fill="FFFFFF"/>
            <w:hideMark/>
          </w:tcPr>
          <w:p w14:paraId="6FC55BFF"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0167392E"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44.890.116.492,47</w:t>
            </w:r>
          </w:p>
        </w:tc>
        <w:tc>
          <w:tcPr>
            <w:tcW w:w="1280" w:type="dxa"/>
            <w:tcBorders>
              <w:top w:val="nil"/>
              <w:left w:val="nil"/>
              <w:bottom w:val="nil"/>
              <w:right w:val="single" w:sz="4" w:space="0" w:color="000000"/>
            </w:tcBorders>
            <w:shd w:val="clear" w:color="000000" w:fill="FFFFFF"/>
            <w:hideMark/>
          </w:tcPr>
          <w:p w14:paraId="700950C8"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48.825.886.633,28</w:t>
            </w:r>
          </w:p>
        </w:tc>
        <w:tc>
          <w:tcPr>
            <w:tcW w:w="3320" w:type="dxa"/>
            <w:tcBorders>
              <w:top w:val="nil"/>
              <w:left w:val="nil"/>
              <w:bottom w:val="nil"/>
              <w:right w:val="single" w:sz="4" w:space="0" w:color="000000"/>
            </w:tcBorders>
            <w:shd w:val="clear" w:color="000000" w:fill="FFFFFF"/>
            <w:hideMark/>
          </w:tcPr>
          <w:p w14:paraId="306CF5E7"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Resultantes da Execução Orçamentária</w:t>
            </w:r>
          </w:p>
        </w:tc>
        <w:tc>
          <w:tcPr>
            <w:tcW w:w="1380" w:type="dxa"/>
            <w:tcBorders>
              <w:top w:val="nil"/>
              <w:left w:val="nil"/>
              <w:bottom w:val="nil"/>
              <w:right w:val="single" w:sz="4" w:space="0" w:color="000000"/>
            </w:tcBorders>
            <w:shd w:val="clear" w:color="000000" w:fill="FFFFFF"/>
            <w:hideMark/>
          </w:tcPr>
          <w:p w14:paraId="5F227DDA"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24.125.159.308,12</w:t>
            </w:r>
          </w:p>
        </w:tc>
        <w:tc>
          <w:tcPr>
            <w:tcW w:w="1300" w:type="dxa"/>
            <w:tcBorders>
              <w:top w:val="nil"/>
              <w:left w:val="nil"/>
              <w:bottom w:val="nil"/>
              <w:right w:val="single" w:sz="4" w:space="0" w:color="000000"/>
            </w:tcBorders>
            <w:shd w:val="clear" w:color="000000" w:fill="FFFFFF"/>
            <w:hideMark/>
          </w:tcPr>
          <w:p w14:paraId="4942F35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26.463.462.206,26</w:t>
            </w:r>
          </w:p>
        </w:tc>
      </w:tr>
      <w:tr w:rsidR="00F80C6D" w:rsidRPr="00F80C6D" w14:paraId="653A9CD3"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205C752E"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Cota Recebida</w:t>
            </w:r>
          </w:p>
        </w:tc>
        <w:tc>
          <w:tcPr>
            <w:tcW w:w="360" w:type="dxa"/>
            <w:tcBorders>
              <w:top w:val="nil"/>
              <w:left w:val="nil"/>
              <w:bottom w:val="nil"/>
              <w:right w:val="single" w:sz="4" w:space="0" w:color="000000"/>
            </w:tcBorders>
            <w:shd w:val="clear" w:color="000000" w:fill="FFFFFF"/>
            <w:hideMark/>
          </w:tcPr>
          <w:p w14:paraId="1608282D"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51F9FE3E"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21.516.655.352,17</w:t>
            </w:r>
          </w:p>
        </w:tc>
        <w:tc>
          <w:tcPr>
            <w:tcW w:w="1280" w:type="dxa"/>
            <w:tcBorders>
              <w:top w:val="nil"/>
              <w:left w:val="nil"/>
              <w:bottom w:val="nil"/>
              <w:right w:val="single" w:sz="4" w:space="0" w:color="000000"/>
            </w:tcBorders>
            <w:shd w:val="clear" w:color="000000" w:fill="FFFFFF"/>
            <w:hideMark/>
          </w:tcPr>
          <w:p w14:paraId="7E9B7DB1"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23.103.290.931,87</w:t>
            </w:r>
          </w:p>
        </w:tc>
        <w:tc>
          <w:tcPr>
            <w:tcW w:w="3320" w:type="dxa"/>
            <w:tcBorders>
              <w:top w:val="nil"/>
              <w:left w:val="nil"/>
              <w:bottom w:val="nil"/>
              <w:right w:val="single" w:sz="4" w:space="0" w:color="000000"/>
            </w:tcBorders>
            <w:shd w:val="clear" w:color="000000" w:fill="FFFFFF"/>
            <w:hideMark/>
          </w:tcPr>
          <w:p w14:paraId="2E31E218"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Repasse Concedido</w:t>
            </w:r>
          </w:p>
        </w:tc>
        <w:tc>
          <w:tcPr>
            <w:tcW w:w="1380" w:type="dxa"/>
            <w:tcBorders>
              <w:top w:val="nil"/>
              <w:left w:val="nil"/>
              <w:bottom w:val="nil"/>
              <w:right w:val="single" w:sz="4" w:space="0" w:color="000000"/>
            </w:tcBorders>
            <w:shd w:val="clear" w:color="000000" w:fill="FFFFFF"/>
            <w:hideMark/>
          </w:tcPr>
          <w:p w14:paraId="4ABB70AF"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16.130.456.514,26</w:t>
            </w:r>
          </w:p>
        </w:tc>
        <w:tc>
          <w:tcPr>
            <w:tcW w:w="1300" w:type="dxa"/>
            <w:tcBorders>
              <w:top w:val="nil"/>
              <w:left w:val="nil"/>
              <w:bottom w:val="nil"/>
              <w:right w:val="single" w:sz="4" w:space="0" w:color="000000"/>
            </w:tcBorders>
            <w:shd w:val="clear" w:color="000000" w:fill="FFFFFF"/>
            <w:hideMark/>
          </w:tcPr>
          <w:p w14:paraId="13DECBBC"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17.247.334.902,38</w:t>
            </w:r>
          </w:p>
        </w:tc>
      </w:tr>
      <w:tr w:rsidR="00F80C6D" w:rsidRPr="00F80C6D" w14:paraId="32DBF23F"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149F26F8"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Repasse Recebido</w:t>
            </w:r>
          </w:p>
        </w:tc>
        <w:tc>
          <w:tcPr>
            <w:tcW w:w="360" w:type="dxa"/>
            <w:tcBorders>
              <w:top w:val="nil"/>
              <w:left w:val="nil"/>
              <w:bottom w:val="nil"/>
              <w:right w:val="single" w:sz="4" w:space="0" w:color="000000"/>
            </w:tcBorders>
            <w:shd w:val="clear" w:color="000000" w:fill="FFFFFF"/>
            <w:hideMark/>
          </w:tcPr>
          <w:p w14:paraId="38A6A32E"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6BCEE031"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15.544.054.628,28</w:t>
            </w:r>
          </w:p>
        </w:tc>
        <w:tc>
          <w:tcPr>
            <w:tcW w:w="1280" w:type="dxa"/>
            <w:tcBorders>
              <w:top w:val="nil"/>
              <w:left w:val="nil"/>
              <w:bottom w:val="nil"/>
              <w:right w:val="single" w:sz="4" w:space="0" w:color="000000"/>
            </w:tcBorders>
            <w:shd w:val="clear" w:color="000000" w:fill="FFFFFF"/>
            <w:hideMark/>
          </w:tcPr>
          <w:p w14:paraId="7A7BB8C0"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16.584.313.821,16</w:t>
            </w:r>
          </w:p>
        </w:tc>
        <w:tc>
          <w:tcPr>
            <w:tcW w:w="3320" w:type="dxa"/>
            <w:tcBorders>
              <w:top w:val="nil"/>
              <w:left w:val="nil"/>
              <w:bottom w:val="nil"/>
              <w:right w:val="single" w:sz="4" w:space="0" w:color="000000"/>
            </w:tcBorders>
            <w:shd w:val="clear" w:color="000000" w:fill="FFFFFF"/>
            <w:hideMark/>
          </w:tcPr>
          <w:p w14:paraId="776B8ED0"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Sub-repasse Concedido</w:t>
            </w:r>
          </w:p>
        </w:tc>
        <w:tc>
          <w:tcPr>
            <w:tcW w:w="1380" w:type="dxa"/>
            <w:tcBorders>
              <w:top w:val="nil"/>
              <w:left w:val="nil"/>
              <w:bottom w:val="nil"/>
              <w:right w:val="single" w:sz="4" w:space="0" w:color="000000"/>
            </w:tcBorders>
            <w:shd w:val="clear" w:color="000000" w:fill="FFFFFF"/>
            <w:hideMark/>
          </w:tcPr>
          <w:p w14:paraId="7452C582"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7.781.359.036,03</w:t>
            </w:r>
          </w:p>
        </w:tc>
        <w:tc>
          <w:tcPr>
            <w:tcW w:w="1300" w:type="dxa"/>
            <w:tcBorders>
              <w:top w:val="nil"/>
              <w:left w:val="nil"/>
              <w:bottom w:val="nil"/>
              <w:right w:val="single" w:sz="4" w:space="0" w:color="000000"/>
            </w:tcBorders>
            <w:shd w:val="clear" w:color="000000" w:fill="FFFFFF"/>
            <w:hideMark/>
          </w:tcPr>
          <w:p w14:paraId="2670077C"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9.133.196.175,17</w:t>
            </w:r>
          </w:p>
        </w:tc>
      </w:tr>
      <w:tr w:rsidR="00F80C6D" w:rsidRPr="00F80C6D" w14:paraId="1EB49EE7"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3AE91854"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Sub-repasse Recebido</w:t>
            </w:r>
          </w:p>
        </w:tc>
        <w:tc>
          <w:tcPr>
            <w:tcW w:w="360" w:type="dxa"/>
            <w:tcBorders>
              <w:top w:val="nil"/>
              <w:left w:val="nil"/>
              <w:bottom w:val="nil"/>
              <w:right w:val="single" w:sz="4" w:space="0" w:color="000000"/>
            </w:tcBorders>
            <w:shd w:val="clear" w:color="000000" w:fill="FFFFFF"/>
            <w:hideMark/>
          </w:tcPr>
          <w:p w14:paraId="1B572642"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79638059"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7.781.359.036,03</w:t>
            </w:r>
          </w:p>
        </w:tc>
        <w:tc>
          <w:tcPr>
            <w:tcW w:w="1280" w:type="dxa"/>
            <w:tcBorders>
              <w:top w:val="nil"/>
              <w:left w:val="nil"/>
              <w:bottom w:val="nil"/>
              <w:right w:val="single" w:sz="4" w:space="0" w:color="000000"/>
            </w:tcBorders>
            <w:shd w:val="clear" w:color="000000" w:fill="FFFFFF"/>
            <w:hideMark/>
          </w:tcPr>
          <w:p w14:paraId="793FD662"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9.133.196.175,17</w:t>
            </w:r>
          </w:p>
        </w:tc>
        <w:tc>
          <w:tcPr>
            <w:tcW w:w="3320" w:type="dxa"/>
            <w:tcBorders>
              <w:top w:val="nil"/>
              <w:left w:val="nil"/>
              <w:bottom w:val="nil"/>
              <w:right w:val="single" w:sz="4" w:space="0" w:color="000000"/>
            </w:tcBorders>
            <w:shd w:val="clear" w:color="000000" w:fill="FFFFFF"/>
            <w:hideMark/>
          </w:tcPr>
          <w:p w14:paraId="211057C7"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Cota Devolvida</w:t>
            </w:r>
          </w:p>
        </w:tc>
        <w:tc>
          <w:tcPr>
            <w:tcW w:w="1380" w:type="dxa"/>
            <w:tcBorders>
              <w:top w:val="nil"/>
              <w:left w:val="nil"/>
              <w:bottom w:val="nil"/>
              <w:right w:val="single" w:sz="4" w:space="0" w:color="000000"/>
            </w:tcBorders>
            <w:shd w:val="clear" w:color="000000" w:fill="FFFFFF"/>
            <w:hideMark/>
          </w:tcPr>
          <w:p w14:paraId="0B042F9C"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165.296.281,84</w:t>
            </w:r>
          </w:p>
        </w:tc>
        <w:tc>
          <w:tcPr>
            <w:tcW w:w="1300" w:type="dxa"/>
            <w:tcBorders>
              <w:top w:val="nil"/>
              <w:left w:val="nil"/>
              <w:bottom w:val="nil"/>
              <w:right w:val="single" w:sz="4" w:space="0" w:color="000000"/>
            </w:tcBorders>
            <w:shd w:val="clear" w:color="000000" w:fill="FFFFFF"/>
            <w:hideMark/>
          </w:tcPr>
          <w:p w14:paraId="3AA31DA2"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77.596.869,65</w:t>
            </w:r>
          </w:p>
        </w:tc>
      </w:tr>
      <w:tr w:rsidR="00F80C6D" w:rsidRPr="00F80C6D" w14:paraId="661E91DA"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1240CF99"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Repasse Devolvido</w:t>
            </w:r>
          </w:p>
        </w:tc>
        <w:tc>
          <w:tcPr>
            <w:tcW w:w="360" w:type="dxa"/>
            <w:tcBorders>
              <w:top w:val="nil"/>
              <w:left w:val="nil"/>
              <w:bottom w:val="nil"/>
              <w:right w:val="single" w:sz="4" w:space="0" w:color="000000"/>
            </w:tcBorders>
            <w:shd w:val="clear" w:color="000000" w:fill="FFFFFF"/>
            <w:hideMark/>
          </w:tcPr>
          <w:p w14:paraId="5B68E597"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623CB6D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7.199.750,69</w:t>
            </w:r>
          </w:p>
        </w:tc>
        <w:tc>
          <w:tcPr>
            <w:tcW w:w="1280" w:type="dxa"/>
            <w:tcBorders>
              <w:top w:val="nil"/>
              <w:left w:val="nil"/>
              <w:bottom w:val="nil"/>
              <w:right w:val="single" w:sz="4" w:space="0" w:color="000000"/>
            </w:tcBorders>
            <w:shd w:val="clear" w:color="000000" w:fill="FFFFFF"/>
            <w:hideMark/>
          </w:tcPr>
          <w:p w14:paraId="4E3FEA11"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4.380.808,39</w:t>
            </w:r>
          </w:p>
        </w:tc>
        <w:tc>
          <w:tcPr>
            <w:tcW w:w="3320" w:type="dxa"/>
            <w:tcBorders>
              <w:top w:val="nil"/>
              <w:left w:val="nil"/>
              <w:bottom w:val="nil"/>
              <w:right w:val="single" w:sz="4" w:space="0" w:color="000000"/>
            </w:tcBorders>
            <w:shd w:val="clear" w:color="000000" w:fill="FFFFFF"/>
            <w:hideMark/>
          </w:tcPr>
          <w:p w14:paraId="05036758"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Repasse Devolvido</w:t>
            </w:r>
          </w:p>
        </w:tc>
        <w:tc>
          <w:tcPr>
            <w:tcW w:w="1380" w:type="dxa"/>
            <w:tcBorders>
              <w:top w:val="nil"/>
              <w:left w:val="nil"/>
              <w:bottom w:val="nil"/>
              <w:right w:val="single" w:sz="4" w:space="0" w:color="000000"/>
            </w:tcBorders>
            <w:shd w:val="clear" w:color="000000" w:fill="FFFFFF"/>
            <w:hideMark/>
          </w:tcPr>
          <w:p w14:paraId="6EA05449"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7.199.750,69</w:t>
            </w:r>
          </w:p>
        </w:tc>
        <w:tc>
          <w:tcPr>
            <w:tcW w:w="1300" w:type="dxa"/>
            <w:tcBorders>
              <w:top w:val="nil"/>
              <w:left w:val="nil"/>
              <w:bottom w:val="nil"/>
              <w:right w:val="single" w:sz="4" w:space="0" w:color="000000"/>
            </w:tcBorders>
            <w:shd w:val="clear" w:color="000000" w:fill="FFFFFF"/>
            <w:hideMark/>
          </w:tcPr>
          <w:p w14:paraId="17CE7300"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4.629.362,37</w:t>
            </w:r>
          </w:p>
        </w:tc>
      </w:tr>
      <w:tr w:rsidR="00F80C6D" w:rsidRPr="00F80C6D" w14:paraId="6A2ECC12"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3DCE43A5"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Sub-repasse Devolvido</w:t>
            </w:r>
          </w:p>
        </w:tc>
        <w:tc>
          <w:tcPr>
            <w:tcW w:w="360" w:type="dxa"/>
            <w:tcBorders>
              <w:top w:val="nil"/>
              <w:left w:val="nil"/>
              <w:bottom w:val="nil"/>
              <w:right w:val="single" w:sz="4" w:space="0" w:color="000000"/>
            </w:tcBorders>
            <w:shd w:val="clear" w:color="000000" w:fill="FFFFFF"/>
            <w:hideMark/>
          </w:tcPr>
          <w:p w14:paraId="2D05D68D"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5404AF3F"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40.847.725,30</w:t>
            </w:r>
          </w:p>
        </w:tc>
        <w:tc>
          <w:tcPr>
            <w:tcW w:w="1280" w:type="dxa"/>
            <w:tcBorders>
              <w:top w:val="nil"/>
              <w:left w:val="nil"/>
              <w:bottom w:val="nil"/>
              <w:right w:val="single" w:sz="4" w:space="0" w:color="000000"/>
            </w:tcBorders>
            <w:shd w:val="clear" w:color="000000" w:fill="FFFFFF"/>
            <w:hideMark/>
          </w:tcPr>
          <w:p w14:paraId="52C3DD6D"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704.896,69</w:t>
            </w:r>
          </w:p>
        </w:tc>
        <w:tc>
          <w:tcPr>
            <w:tcW w:w="3320" w:type="dxa"/>
            <w:tcBorders>
              <w:top w:val="nil"/>
              <w:left w:val="nil"/>
              <w:bottom w:val="nil"/>
              <w:right w:val="single" w:sz="4" w:space="0" w:color="000000"/>
            </w:tcBorders>
            <w:shd w:val="clear" w:color="000000" w:fill="FFFFFF"/>
            <w:hideMark/>
          </w:tcPr>
          <w:p w14:paraId="3F127AC3"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Sub-repasse Devolvido</w:t>
            </w:r>
          </w:p>
        </w:tc>
        <w:tc>
          <w:tcPr>
            <w:tcW w:w="1380" w:type="dxa"/>
            <w:tcBorders>
              <w:top w:val="nil"/>
              <w:left w:val="nil"/>
              <w:bottom w:val="nil"/>
              <w:right w:val="single" w:sz="4" w:space="0" w:color="000000"/>
            </w:tcBorders>
            <w:shd w:val="clear" w:color="000000" w:fill="FFFFFF"/>
            <w:hideMark/>
          </w:tcPr>
          <w:p w14:paraId="42FC4E5A"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40.847.725,30</w:t>
            </w:r>
          </w:p>
        </w:tc>
        <w:tc>
          <w:tcPr>
            <w:tcW w:w="1300" w:type="dxa"/>
            <w:tcBorders>
              <w:top w:val="nil"/>
              <w:left w:val="nil"/>
              <w:bottom w:val="nil"/>
              <w:right w:val="single" w:sz="4" w:space="0" w:color="000000"/>
            </w:tcBorders>
            <w:shd w:val="clear" w:color="000000" w:fill="FFFFFF"/>
            <w:hideMark/>
          </w:tcPr>
          <w:p w14:paraId="64569F6C"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704.896,69</w:t>
            </w:r>
          </w:p>
        </w:tc>
      </w:tr>
      <w:tr w:rsidR="00F80C6D" w:rsidRPr="00F80C6D" w14:paraId="4DD0F828"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2057C694"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Independentes da Execução Orçamentária</w:t>
            </w:r>
          </w:p>
        </w:tc>
        <w:tc>
          <w:tcPr>
            <w:tcW w:w="360" w:type="dxa"/>
            <w:tcBorders>
              <w:top w:val="nil"/>
              <w:left w:val="nil"/>
              <w:bottom w:val="nil"/>
              <w:right w:val="single" w:sz="4" w:space="0" w:color="000000"/>
            </w:tcBorders>
            <w:shd w:val="clear" w:color="000000" w:fill="FFFFFF"/>
            <w:hideMark/>
          </w:tcPr>
          <w:p w14:paraId="6269CECA"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102F0FF9"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17.119.548.405,25</w:t>
            </w:r>
          </w:p>
        </w:tc>
        <w:tc>
          <w:tcPr>
            <w:tcW w:w="1280" w:type="dxa"/>
            <w:tcBorders>
              <w:top w:val="nil"/>
              <w:left w:val="nil"/>
              <w:bottom w:val="nil"/>
              <w:right w:val="single" w:sz="4" w:space="0" w:color="000000"/>
            </w:tcBorders>
            <w:shd w:val="clear" w:color="000000" w:fill="FFFFFF"/>
            <w:hideMark/>
          </w:tcPr>
          <w:p w14:paraId="78848F35"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14.940.258.179,36</w:t>
            </w:r>
          </w:p>
        </w:tc>
        <w:tc>
          <w:tcPr>
            <w:tcW w:w="3320" w:type="dxa"/>
            <w:tcBorders>
              <w:top w:val="nil"/>
              <w:left w:val="nil"/>
              <w:bottom w:val="nil"/>
              <w:right w:val="single" w:sz="4" w:space="0" w:color="000000"/>
            </w:tcBorders>
            <w:shd w:val="clear" w:color="000000" w:fill="FFFFFF"/>
            <w:hideMark/>
          </w:tcPr>
          <w:p w14:paraId="1076D699"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Independentes da Execução Orçamentária</w:t>
            </w:r>
          </w:p>
        </w:tc>
        <w:tc>
          <w:tcPr>
            <w:tcW w:w="1380" w:type="dxa"/>
            <w:tcBorders>
              <w:top w:val="nil"/>
              <w:left w:val="nil"/>
              <w:bottom w:val="nil"/>
              <w:right w:val="single" w:sz="4" w:space="0" w:color="000000"/>
            </w:tcBorders>
            <w:shd w:val="clear" w:color="000000" w:fill="FFFFFF"/>
            <w:hideMark/>
          </w:tcPr>
          <w:p w14:paraId="3A136640"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10.863.739.410,24</w:t>
            </w:r>
          </w:p>
        </w:tc>
        <w:tc>
          <w:tcPr>
            <w:tcW w:w="1300" w:type="dxa"/>
            <w:tcBorders>
              <w:top w:val="nil"/>
              <w:left w:val="nil"/>
              <w:bottom w:val="nil"/>
              <w:right w:val="single" w:sz="4" w:space="0" w:color="000000"/>
            </w:tcBorders>
            <w:shd w:val="clear" w:color="000000" w:fill="FFFFFF"/>
            <w:hideMark/>
          </w:tcPr>
          <w:p w14:paraId="154687B5"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8.892.777.912,55</w:t>
            </w:r>
          </w:p>
        </w:tc>
      </w:tr>
      <w:tr w:rsidR="00F80C6D" w:rsidRPr="00F80C6D" w14:paraId="724635C7"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64CCE25B"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Transferências Recebidas para Pagamento de RP</w:t>
            </w:r>
          </w:p>
        </w:tc>
        <w:tc>
          <w:tcPr>
            <w:tcW w:w="360" w:type="dxa"/>
            <w:tcBorders>
              <w:top w:val="nil"/>
              <w:left w:val="nil"/>
              <w:bottom w:val="nil"/>
              <w:right w:val="single" w:sz="4" w:space="0" w:color="000000"/>
            </w:tcBorders>
            <w:shd w:val="clear" w:color="000000" w:fill="FFFFFF"/>
            <w:hideMark/>
          </w:tcPr>
          <w:p w14:paraId="2314B65F"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6CA510E8"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15.826.633.354,24</w:t>
            </w:r>
          </w:p>
        </w:tc>
        <w:tc>
          <w:tcPr>
            <w:tcW w:w="1280" w:type="dxa"/>
            <w:tcBorders>
              <w:top w:val="nil"/>
              <w:left w:val="nil"/>
              <w:bottom w:val="nil"/>
              <w:right w:val="single" w:sz="4" w:space="0" w:color="000000"/>
            </w:tcBorders>
            <w:shd w:val="clear" w:color="000000" w:fill="FFFFFF"/>
            <w:hideMark/>
          </w:tcPr>
          <w:p w14:paraId="13868F8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14.271.907.335,02</w:t>
            </w:r>
          </w:p>
        </w:tc>
        <w:tc>
          <w:tcPr>
            <w:tcW w:w="3320" w:type="dxa"/>
            <w:tcBorders>
              <w:top w:val="nil"/>
              <w:left w:val="nil"/>
              <w:bottom w:val="nil"/>
              <w:right w:val="single" w:sz="4" w:space="0" w:color="000000"/>
            </w:tcBorders>
            <w:shd w:val="clear" w:color="000000" w:fill="FFFFFF"/>
            <w:hideMark/>
          </w:tcPr>
          <w:p w14:paraId="2C3D7355"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Transferências Concedidas para Pag</w:t>
            </w:r>
            <w:r w:rsidRPr="00F80C6D">
              <w:rPr>
                <w:rFonts w:ascii="Arial" w:eastAsia="Times New Roman" w:hAnsi="Arial" w:cs="Arial"/>
                <w:color w:val="000000"/>
                <w:kern w:val="0"/>
                <w:sz w:val="14"/>
                <w:szCs w:val="14"/>
                <w:lang w:eastAsia="pt-BR" w:bidi="ar-SA"/>
              </w:rPr>
              <w:t>a</w:t>
            </w:r>
            <w:r w:rsidRPr="00F80C6D">
              <w:rPr>
                <w:rFonts w:ascii="Arial" w:eastAsia="Times New Roman" w:hAnsi="Arial" w:cs="Arial"/>
                <w:color w:val="000000"/>
                <w:kern w:val="0"/>
                <w:sz w:val="14"/>
                <w:szCs w:val="14"/>
                <w:lang w:eastAsia="pt-BR" w:bidi="ar-SA"/>
              </w:rPr>
              <w:t>mento de RP</w:t>
            </w:r>
          </w:p>
        </w:tc>
        <w:tc>
          <w:tcPr>
            <w:tcW w:w="1380" w:type="dxa"/>
            <w:tcBorders>
              <w:top w:val="nil"/>
              <w:left w:val="nil"/>
              <w:bottom w:val="nil"/>
              <w:right w:val="single" w:sz="4" w:space="0" w:color="000000"/>
            </w:tcBorders>
            <w:shd w:val="clear" w:color="000000" w:fill="FFFFFF"/>
            <w:hideMark/>
          </w:tcPr>
          <w:p w14:paraId="4C7E4152"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8.997.283.944,47</w:t>
            </w:r>
          </w:p>
        </w:tc>
        <w:tc>
          <w:tcPr>
            <w:tcW w:w="1300" w:type="dxa"/>
            <w:tcBorders>
              <w:top w:val="nil"/>
              <w:left w:val="nil"/>
              <w:bottom w:val="nil"/>
              <w:right w:val="single" w:sz="4" w:space="0" w:color="000000"/>
            </w:tcBorders>
            <w:shd w:val="clear" w:color="000000" w:fill="FFFFFF"/>
            <w:hideMark/>
          </w:tcPr>
          <w:p w14:paraId="229CBE88"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7.634.115.201,01</w:t>
            </w:r>
          </w:p>
        </w:tc>
      </w:tr>
      <w:tr w:rsidR="00F80C6D" w:rsidRPr="00F80C6D" w14:paraId="4EBD5E22"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0A8A1359"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Demais Transferências Recebidas</w:t>
            </w:r>
          </w:p>
        </w:tc>
        <w:tc>
          <w:tcPr>
            <w:tcW w:w="360" w:type="dxa"/>
            <w:tcBorders>
              <w:top w:val="nil"/>
              <w:left w:val="nil"/>
              <w:bottom w:val="nil"/>
              <w:right w:val="single" w:sz="4" w:space="0" w:color="000000"/>
            </w:tcBorders>
            <w:shd w:val="clear" w:color="000000" w:fill="FFFFFF"/>
            <w:hideMark/>
          </w:tcPr>
          <w:p w14:paraId="6E150124"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36D9AAAE"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53.873.706,59</w:t>
            </w:r>
          </w:p>
        </w:tc>
        <w:tc>
          <w:tcPr>
            <w:tcW w:w="1280" w:type="dxa"/>
            <w:tcBorders>
              <w:top w:val="nil"/>
              <w:left w:val="nil"/>
              <w:bottom w:val="nil"/>
              <w:right w:val="single" w:sz="4" w:space="0" w:color="000000"/>
            </w:tcBorders>
            <w:shd w:val="clear" w:color="000000" w:fill="FFFFFF"/>
            <w:hideMark/>
          </w:tcPr>
          <w:p w14:paraId="57759E91"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21.163.680,10</w:t>
            </w:r>
          </w:p>
        </w:tc>
        <w:tc>
          <w:tcPr>
            <w:tcW w:w="3320" w:type="dxa"/>
            <w:tcBorders>
              <w:top w:val="nil"/>
              <w:left w:val="nil"/>
              <w:bottom w:val="nil"/>
              <w:right w:val="single" w:sz="4" w:space="0" w:color="000000"/>
            </w:tcBorders>
            <w:shd w:val="clear" w:color="000000" w:fill="FFFFFF"/>
            <w:hideMark/>
          </w:tcPr>
          <w:p w14:paraId="5650F3D8"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Demais Transferências Concedidas</w:t>
            </w:r>
          </w:p>
        </w:tc>
        <w:tc>
          <w:tcPr>
            <w:tcW w:w="1380" w:type="dxa"/>
            <w:tcBorders>
              <w:top w:val="nil"/>
              <w:left w:val="nil"/>
              <w:bottom w:val="nil"/>
              <w:right w:val="single" w:sz="4" w:space="0" w:color="000000"/>
            </w:tcBorders>
            <w:shd w:val="clear" w:color="000000" w:fill="FFFFFF"/>
            <w:hideMark/>
          </w:tcPr>
          <w:p w14:paraId="7AA79722"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44.259.562,74</w:t>
            </w:r>
          </w:p>
        </w:tc>
        <w:tc>
          <w:tcPr>
            <w:tcW w:w="1300" w:type="dxa"/>
            <w:tcBorders>
              <w:top w:val="nil"/>
              <w:left w:val="nil"/>
              <w:bottom w:val="nil"/>
              <w:right w:val="single" w:sz="4" w:space="0" w:color="000000"/>
            </w:tcBorders>
            <w:shd w:val="clear" w:color="000000" w:fill="FFFFFF"/>
            <w:hideMark/>
          </w:tcPr>
          <w:p w14:paraId="0A5DE240"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11.381.310,42</w:t>
            </w:r>
          </w:p>
        </w:tc>
      </w:tr>
      <w:tr w:rsidR="00F80C6D" w:rsidRPr="00F80C6D" w14:paraId="6E2B5F78"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51D1109F"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lastRenderedPageBreak/>
              <w:t xml:space="preserve">        Movimentação de Saldos Patrimoniais</w:t>
            </w:r>
          </w:p>
        </w:tc>
        <w:tc>
          <w:tcPr>
            <w:tcW w:w="360" w:type="dxa"/>
            <w:tcBorders>
              <w:top w:val="nil"/>
              <w:left w:val="nil"/>
              <w:bottom w:val="nil"/>
              <w:right w:val="single" w:sz="4" w:space="0" w:color="000000"/>
            </w:tcBorders>
            <w:shd w:val="clear" w:color="000000" w:fill="FFFFFF"/>
            <w:hideMark/>
          </w:tcPr>
          <w:p w14:paraId="5C778E88"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71A3F163"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1.238.921.317,02</w:t>
            </w:r>
          </w:p>
        </w:tc>
        <w:tc>
          <w:tcPr>
            <w:tcW w:w="1280" w:type="dxa"/>
            <w:tcBorders>
              <w:top w:val="nil"/>
              <w:left w:val="nil"/>
              <w:bottom w:val="nil"/>
              <w:right w:val="single" w:sz="4" w:space="0" w:color="000000"/>
            </w:tcBorders>
            <w:shd w:val="clear" w:color="000000" w:fill="FFFFFF"/>
            <w:hideMark/>
          </w:tcPr>
          <w:p w14:paraId="39705814"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642.419.105,78</w:t>
            </w:r>
          </w:p>
        </w:tc>
        <w:tc>
          <w:tcPr>
            <w:tcW w:w="3320" w:type="dxa"/>
            <w:tcBorders>
              <w:top w:val="nil"/>
              <w:left w:val="nil"/>
              <w:bottom w:val="nil"/>
              <w:right w:val="single" w:sz="4" w:space="0" w:color="000000"/>
            </w:tcBorders>
            <w:shd w:val="clear" w:color="000000" w:fill="FFFFFF"/>
            <w:hideMark/>
          </w:tcPr>
          <w:p w14:paraId="25EFCD83"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Movimento de Saldos Patrimoniais</w:t>
            </w:r>
          </w:p>
        </w:tc>
        <w:tc>
          <w:tcPr>
            <w:tcW w:w="1380" w:type="dxa"/>
            <w:tcBorders>
              <w:top w:val="nil"/>
              <w:left w:val="nil"/>
              <w:bottom w:val="nil"/>
              <w:right w:val="single" w:sz="4" w:space="0" w:color="000000"/>
            </w:tcBorders>
            <w:shd w:val="clear" w:color="000000" w:fill="FFFFFF"/>
            <w:hideMark/>
          </w:tcPr>
          <w:p w14:paraId="7BABD0AF"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1.822.075.875,63</w:t>
            </w:r>
          </w:p>
        </w:tc>
        <w:tc>
          <w:tcPr>
            <w:tcW w:w="1300" w:type="dxa"/>
            <w:tcBorders>
              <w:top w:val="nil"/>
              <w:left w:val="nil"/>
              <w:bottom w:val="nil"/>
              <w:right w:val="single" w:sz="4" w:space="0" w:color="000000"/>
            </w:tcBorders>
            <w:shd w:val="clear" w:color="000000" w:fill="FFFFFF"/>
            <w:hideMark/>
          </w:tcPr>
          <w:p w14:paraId="0971CF53"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1.246.168.712,29</w:t>
            </w:r>
          </w:p>
        </w:tc>
      </w:tr>
      <w:tr w:rsidR="00F80C6D" w:rsidRPr="00F80C6D" w14:paraId="2D70B290"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10FA60E7"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Movimentações para Incorporação de Saldos</w:t>
            </w:r>
          </w:p>
        </w:tc>
        <w:tc>
          <w:tcPr>
            <w:tcW w:w="360" w:type="dxa"/>
            <w:tcBorders>
              <w:top w:val="nil"/>
              <w:left w:val="nil"/>
              <w:bottom w:val="nil"/>
              <w:right w:val="single" w:sz="4" w:space="0" w:color="000000"/>
            </w:tcBorders>
            <w:shd w:val="clear" w:color="000000" w:fill="FFFFFF"/>
            <w:hideMark/>
          </w:tcPr>
          <w:p w14:paraId="70643D61"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5093ACAC"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120.027,40</w:t>
            </w:r>
          </w:p>
        </w:tc>
        <w:tc>
          <w:tcPr>
            <w:tcW w:w="1280" w:type="dxa"/>
            <w:tcBorders>
              <w:top w:val="nil"/>
              <w:left w:val="nil"/>
              <w:bottom w:val="nil"/>
              <w:right w:val="single" w:sz="4" w:space="0" w:color="000000"/>
            </w:tcBorders>
            <w:shd w:val="clear" w:color="000000" w:fill="FFFFFF"/>
            <w:hideMark/>
          </w:tcPr>
          <w:p w14:paraId="4C5414D5"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4.768.058,46</w:t>
            </w:r>
          </w:p>
        </w:tc>
        <w:tc>
          <w:tcPr>
            <w:tcW w:w="3320" w:type="dxa"/>
            <w:tcBorders>
              <w:top w:val="nil"/>
              <w:left w:val="nil"/>
              <w:bottom w:val="nil"/>
              <w:right w:val="single" w:sz="4" w:space="0" w:color="000000"/>
            </w:tcBorders>
            <w:shd w:val="clear" w:color="000000" w:fill="FFFFFF"/>
            <w:hideMark/>
          </w:tcPr>
          <w:p w14:paraId="50AFFAC2"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Movimentações para Incorporação de Saldos</w:t>
            </w:r>
          </w:p>
        </w:tc>
        <w:tc>
          <w:tcPr>
            <w:tcW w:w="1380" w:type="dxa"/>
            <w:tcBorders>
              <w:top w:val="nil"/>
              <w:left w:val="nil"/>
              <w:bottom w:val="nil"/>
              <w:right w:val="single" w:sz="4" w:space="0" w:color="000000"/>
            </w:tcBorders>
            <w:shd w:val="clear" w:color="000000" w:fill="FFFFFF"/>
            <w:hideMark/>
          </w:tcPr>
          <w:p w14:paraId="0A33B3F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120.027,40</w:t>
            </w:r>
          </w:p>
        </w:tc>
        <w:tc>
          <w:tcPr>
            <w:tcW w:w="1300" w:type="dxa"/>
            <w:tcBorders>
              <w:top w:val="nil"/>
              <w:left w:val="nil"/>
              <w:bottom w:val="nil"/>
              <w:right w:val="single" w:sz="4" w:space="0" w:color="000000"/>
            </w:tcBorders>
            <w:shd w:val="clear" w:color="000000" w:fill="FFFFFF"/>
            <w:hideMark/>
          </w:tcPr>
          <w:p w14:paraId="7C8C4CF1"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1.112.688,83</w:t>
            </w:r>
          </w:p>
        </w:tc>
      </w:tr>
      <w:tr w:rsidR="00F80C6D" w:rsidRPr="00F80C6D" w14:paraId="39FCEF23"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577EFF46"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Aporte ao RPPS</w:t>
            </w:r>
          </w:p>
        </w:tc>
        <w:tc>
          <w:tcPr>
            <w:tcW w:w="360" w:type="dxa"/>
            <w:tcBorders>
              <w:top w:val="nil"/>
              <w:left w:val="nil"/>
              <w:bottom w:val="nil"/>
              <w:right w:val="single" w:sz="4" w:space="0" w:color="000000"/>
            </w:tcBorders>
            <w:shd w:val="clear" w:color="000000" w:fill="FFFFFF"/>
            <w:hideMark/>
          </w:tcPr>
          <w:p w14:paraId="3E140CC7"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223AFACC"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w:t>
            </w:r>
          </w:p>
        </w:tc>
        <w:tc>
          <w:tcPr>
            <w:tcW w:w="1280" w:type="dxa"/>
            <w:tcBorders>
              <w:top w:val="nil"/>
              <w:left w:val="nil"/>
              <w:bottom w:val="nil"/>
              <w:right w:val="single" w:sz="4" w:space="0" w:color="000000"/>
            </w:tcBorders>
            <w:shd w:val="clear" w:color="000000" w:fill="FFFFFF"/>
            <w:hideMark/>
          </w:tcPr>
          <w:p w14:paraId="4BB4290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w:t>
            </w:r>
          </w:p>
        </w:tc>
        <w:tc>
          <w:tcPr>
            <w:tcW w:w="3320" w:type="dxa"/>
            <w:tcBorders>
              <w:top w:val="nil"/>
              <w:left w:val="nil"/>
              <w:bottom w:val="nil"/>
              <w:right w:val="single" w:sz="4" w:space="0" w:color="000000"/>
            </w:tcBorders>
            <w:shd w:val="clear" w:color="000000" w:fill="FFFFFF"/>
            <w:hideMark/>
          </w:tcPr>
          <w:p w14:paraId="59976908"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Aporte ao RPPS</w:t>
            </w:r>
          </w:p>
        </w:tc>
        <w:tc>
          <w:tcPr>
            <w:tcW w:w="1380" w:type="dxa"/>
            <w:tcBorders>
              <w:top w:val="nil"/>
              <w:left w:val="nil"/>
              <w:bottom w:val="nil"/>
              <w:right w:val="single" w:sz="4" w:space="0" w:color="000000"/>
            </w:tcBorders>
            <w:shd w:val="clear" w:color="000000" w:fill="FFFFFF"/>
            <w:hideMark/>
          </w:tcPr>
          <w:p w14:paraId="20A5302D"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w:t>
            </w:r>
          </w:p>
        </w:tc>
        <w:tc>
          <w:tcPr>
            <w:tcW w:w="1300" w:type="dxa"/>
            <w:tcBorders>
              <w:top w:val="nil"/>
              <w:left w:val="nil"/>
              <w:bottom w:val="nil"/>
              <w:right w:val="single" w:sz="4" w:space="0" w:color="000000"/>
            </w:tcBorders>
            <w:shd w:val="clear" w:color="000000" w:fill="FFFFFF"/>
            <w:hideMark/>
          </w:tcPr>
          <w:p w14:paraId="7C35E0C5"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w:t>
            </w:r>
          </w:p>
        </w:tc>
      </w:tr>
      <w:tr w:rsidR="00F80C6D" w:rsidRPr="00F80C6D" w14:paraId="69CEB20C"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376ED813"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Aporte ao RGPS</w:t>
            </w:r>
          </w:p>
        </w:tc>
        <w:tc>
          <w:tcPr>
            <w:tcW w:w="360" w:type="dxa"/>
            <w:tcBorders>
              <w:top w:val="nil"/>
              <w:left w:val="nil"/>
              <w:bottom w:val="nil"/>
              <w:right w:val="single" w:sz="4" w:space="0" w:color="000000"/>
            </w:tcBorders>
            <w:shd w:val="clear" w:color="000000" w:fill="FFFFFF"/>
            <w:hideMark/>
          </w:tcPr>
          <w:p w14:paraId="326419E2"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4541C9C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w:t>
            </w:r>
          </w:p>
        </w:tc>
        <w:tc>
          <w:tcPr>
            <w:tcW w:w="1280" w:type="dxa"/>
            <w:tcBorders>
              <w:top w:val="nil"/>
              <w:left w:val="nil"/>
              <w:bottom w:val="nil"/>
              <w:right w:val="single" w:sz="4" w:space="0" w:color="000000"/>
            </w:tcBorders>
            <w:shd w:val="clear" w:color="000000" w:fill="FFFFFF"/>
            <w:hideMark/>
          </w:tcPr>
          <w:p w14:paraId="07E750A8"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w:t>
            </w:r>
          </w:p>
        </w:tc>
        <w:tc>
          <w:tcPr>
            <w:tcW w:w="3320" w:type="dxa"/>
            <w:tcBorders>
              <w:top w:val="nil"/>
              <w:left w:val="nil"/>
              <w:bottom w:val="nil"/>
              <w:right w:val="single" w:sz="4" w:space="0" w:color="000000"/>
            </w:tcBorders>
            <w:shd w:val="clear" w:color="000000" w:fill="FFFFFF"/>
            <w:hideMark/>
          </w:tcPr>
          <w:p w14:paraId="500E03B0"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Aporte ao RGPS</w:t>
            </w:r>
          </w:p>
        </w:tc>
        <w:tc>
          <w:tcPr>
            <w:tcW w:w="1380" w:type="dxa"/>
            <w:tcBorders>
              <w:top w:val="nil"/>
              <w:left w:val="nil"/>
              <w:bottom w:val="nil"/>
              <w:right w:val="single" w:sz="4" w:space="0" w:color="000000"/>
            </w:tcBorders>
            <w:shd w:val="clear" w:color="000000" w:fill="FFFFFF"/>
            <w:hideMark/>
          </w:tcPr>
          <w:p w14:paraId="44B05BC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w:t>
            </w:r>
          </w:p>
        </w:tc>
        <w:tc>
          <w:tcPr>
            <w:tcW w:w="1300" w:type="dxa"/>
            <w:tcBorders>
              <w:top w:val="nil"/>
              <w:left w:val="nil"/>
              <w:bottom w:val="nil"/>
              <w:right w:val="single" w:sz="4" w:space="0" w:color="000000"/>
            </w:tcBorders>
            <w:shd w:val="clear" w:color="000000" w:fill="FFFFFF"/>
            <w:hideMark/>
          </w:tcPr>
          <w:p w14:paraId="3CBE40F4"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w:t>
            </w:r>
          </w:p>
        </w:tc>
      </w:tr>
      <w:tr w:rsidR="00F80C6D" w:rsidRPr="00F80C6D" w14:paraId="1F456D5D"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3991554B"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Recebimentos Extraorçamentários</w:t>
            </w:r>
          </w:p>
        </w:tc>
        <w:tc>
          <w:tcPr>
            <w:tcW w:w="360" w:type="dxa"/>
            <w:tcBorders>
              <w:top w:val="nil"/>
              <w:left w:val="nil"/>
              <w:bottom w:val="nil"/>
              <w:right w:val="single" w:sz="4" w:space="0" w:color="000000"/>
            </w:tcBorders>
            <w:shd w:val="clear" w:color="000000" w:fill="FFFFFF"/>
            <w:hideMark/>
          </w:tcPr>
          <w:p w14:paraId="1781FD68" w14:textId="77777777" w:rsidR="00F80C6D" w:rsidRPr="00F80C6D" w:rsidRDefault="00F80C6D" w:rsidP="00F80C6D">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21</w:t>
            </w:r>
          </w:p>
        </w:tc>
        <w:tc>
          <w:tcPr>
            <w:tcW w:w="1400" w:type="dxa"/>
            <w:gridSpan w:val="2"/>
            <w:tcBorders>
              <w:top w:val="nil"/>
              <w:left w:val="nil"/>
              <w:bottom w:val="nil"/>
              <w:right w:val="single" w:sz="4" w:space="0" w:color="000000"/>
            </w:tcBorders>
            <w:shd w:val="clear" w:color="000000" w:fill="FFFFFF"/>
            <w:hideMark/>
          </w:tcPr>
          <w:p w14:paraId="70E34C7B"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19.863.401.307,66</w:t>
            </w:r>
          </w:p>
        </w:tc>
        <w:tc>
          <w:tcPr>
            <w:tcW w:w="1280" w:type="dxa"/>
            <w:tcBorders>
              <w:top w:val="nil"/>
              <w:left w:val="nil"/>
              <w:bottom w:val="nil"/>
              <w:right w:val="single" w:sz="4" w:space="0" w:color="000000"/>
            </w:tcBorders>
            <w:shd w:val="clear" w:color="000000" w:fill="FFFFFF"/>
            <w:hideMark/>
          </w:tcPr>
          <w:p w14:paraId="5AF9F262"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16.889.594.172,55</w:t>
            </w:r>
          </w:p>
        </w:tc>
        <w:tc>
          <w:tcPr>
            <w:tcW w:w="3320" w:type="dxa"/>
            <w:tcBorders>
              <w:top w:val="nil"/>
              <w:left w:val="nil"/>
              <w:bottom w:val="nil"/>
              <w:right w:val="single" w:sz="4" w:space="0" w:color="000000"/>
            </w:tcBorders>
            <w:shd w:val="clear" w:color="000000" w:fill="FFFFFF"/>
            <w:hideMark/>
          </w:tcPr>
          <w:p w14:paraId="41D4826D"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Pagamentos Extraorçamentários</w:t>
            </w:r>
          </w:p>
        </w:tc>
        <w:tc>
          <w:tcPr>
            <w:tcW w:w="1380" w:type="dxa"/>
            <w:tcBorders>
              <w:top w:val="nil"/>
              <w:left w:val="nil"/>
              <w:bottom w:val="nil"/>
              <w:right w:val="single" w:sz="4" w:space="0" w:color="000000"/>
            </w:tcBorders>
            <w:shd w:val="clear" w:color="000000" w:fill="FFFFFF"/>
            <w:hideMark/>
          </w:tcPr>
          <w:p w14:paraId="109C6DDC"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26.309.806.467,32</w:t>
            </w:r>
          </w:p>
        </w:tc>
        <w:tc>
          <w:tcPr>
            <w:tcW w:w="1300" w:type="dxa"/>
            <w:tcBorders>
              <w:top w:val="nil"/>
              <w:left w:val="nil"/>
              <w:bottom w:val="nil"/>
              <w:right w:val="single" w:sz="4" w:space="0" w:color="000000"/>
            </w:tcBorders>
            <w:shd w:val="clear" w:color="000000" w:fill="FFFFFF"/>
            <w:hideMark/>
          </w:tcPr>
          <w:p w14:paraId="5C2F57BA"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14.497.743.710,07</w:t>
            </w:r>
          </w:p>
        </w:tc>
      </w:tr>
      <w:tr w:rsidR="00F80C6D" w:rsidRPr="00F80C6D" w14:paraId="583B1CE0"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458146C0"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Inscrição dos Restos a Pagar Processados</w:t>
            </w:r>
          </w:p>
        </w:tc>
        <w:tc>
          <w:tcPr>
            <w:tcW w:w="360" w:type="dxa"/>
            <w:tcBorders>
              <w:top w:val="nil"/>
              <w:left w:val="nil"/>
              <w:bottom w:val="nil"/>
              <w:right w:val="single" w:sz="4" w:space="0" w:color="000000"/>
            </w:tcBorders>
            <w:shd w:val="clear" w:color="000000" w:fill="FFFFFF"/>
            <w:hideMark/>
          </w:tcPr>
          <w:p w14:paraId="0B8415E9"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65493D2C"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273.049.370,52</w:t>
            </w:r>
          </w:p>
        </w:tc>
        <w:tc>
          <w:tcPr>
            <w:tcW w:w="1280" w:type="dxa"/>
            <w:tcBorders>
              <w:top w:val="nil"/>
              <w:left w:val="nil"/>
              <w:bottom w:val="nil"/>
              <w:right w:val="single" w:sz="4" w:space="0" w:color="000000"/>
            </w:tcBorders>
            <w:shd w:val="clear" w:color="000000" w:fill="FFFFFF"/>
            <w:hideMark/>
          </w:tcPr>
          <w:p w14:paraId="45BC9D4C"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244.470.931,62</w:t>
            </w:r>
          </w:p>
        </w:tc>
        <w:tc>
          <w:tcPr>
            <w:tcW w:w="3320" w:type="dxa"/>
            <w:tcBorders>
              <w:top w:val="nil"/>
              <w:left w:val="nil"/>
              <w:bottom w:val="nil"/>
              <w:right w:val="single" w:sz="4" w:space="0" w:color="000000"/>
            </w:tcBorders>
            <w:shd w:val="clear" w:color="000000" w:fill="FFFFFF"/>
            <w:hideMark/>
          </w:tcPr>
          <w:p w14:paraId="6FEB3E0E"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Pagamento dos Restos a Pagar Process</w:t>
            </w:r>
            <w:r w:rsidRPr="00F80C6D">
              <w:rPr>
                <w:rFonts w:ascii="Arial" w:eastAsia="Times New Roman" w:hAnsi="Arial" w:cs="Arial"/>
                <w:color w:val="000000"/>
                <w:kern w:val="0"/>
                <w:sz w:val="14"/>
                <w:szCs w:val="14"/>
                <w:lang w:eastAsia="pt-BR" w:bidi="ar-SA"/>
              </w:rPr>
              <w:t>a</w:t>
            </w:r>
            <w:r w:rsidRPr="00F80C6D">
              <w:rPr>
                <w:rFonts w:ascii="Arial" w:eastAsia="Times New Roman" w:hAnsi="Arial" w:cs="Arial"/>
                <w:color w:val="000000"/>
                <w:kern w:val="0"/>
                <w:sz w:val="14"/>
                <w:szCs w:val="14"/>
                <w:lang w:eastAsia="pt-BR" w:bidi="ar-SA"/>
              </w:rPr>
              <w:t>dos</w:t>
            </w:r>
          </w:p>
        </w:tc>
        <w:tc>
          <w:tcPr>
            <w:tcW w:w="1380" w:type="dxa"/>
            <w:tcBorders>
              <w:top w:val="nil"/>
              <w:left w:val="nil"/>
              <w:bottom w:val="nil"/>
              <w:right w:val="single" w:sz="4" w:space="0" w:color="000000"/>
            </w:tcBorders>
            <w:shd w:val="clear" w:color="000000" w:fill="FFFFFF"/>
            <w:hideMark/>
          </w:tcPr>
          <w:p w14:paraId="2EB889EF"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3.168.794.903,25</w:t>
            </w:r>
          </w:p>
        </w:tc>
        <w:tc>
          <w:tcPr>
            <w:tcW w:w="1300" w:type="dxa"/>
            <w:tcBorders>
              <w:top w:val="nil"/>
              <w:left w:val="nil"/>
              <w:bottom w:val="nil"/>
              <w:right w:val="single" w:sz="4" w:space="0" w:color="000000"/>
            </w:tcBorders>
            <w:shd w:val="clear" w:color="000000" w:fill="FFFFFF"/>
            <w:hideMark/>
          </w:tcPr>
          <w:p w14:paraId="7890708F"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585.972.815,61</w:t>
            </w:r>
          </w:p>
        </w:tc>
      </w:tr>
      <w:tr w:rsidR="00F80C6D" w:rsidRPr="00F80C6D" w14:paraId="09F94020"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6ECFB230"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Inscrição dos Restos a Pagar Não Process</w:t>
            </w:r>
            <w:r w:rsidRPr="00F80C6D">
              <w:rPr>
                <w:rFonts w:ascii="Arial" w:eastAsia="Times New Roman" w:hAnsi="Arial" w:cs="Arial"/>
                <w:color w:val="000000"/>
                <w:kern w:val="0"/>
                <w:sz w:val="14"/>
                <w:szCs w:val="14"/>
                <w:lang w:eastAsia="pt-BR" w:bidi="ar-SA"/>
              </w:rPr>
              <w:t>a</w:t>
            </w:r>
            <w:r w:rsidRPr="00F80C6D">
              <w:rPr>
                <w:rFonts w:ascii="Arial" w:eastAsia="Times New Roman" w:hAnsi="Arial" w:cs="Arial"/>
                <w:color w:val="000000"/>
                <w:kern w:val="0"/>
                <w:sz w:val="14"/>
                <w:szCs w:val="14"/>
                <w:lang w:eastAsia="pt-BR" w:bidi="ar-SA"/>
              </w:rPr>
              <w:t>dos</w:t>
            </w:r>
          </w:p>
        </w:tc>
        <w:tc>
          <w:tcPr>
            <w:tcW w:w="360" w:type="dxa"/>
            <w:tcBorders>
              <w:top w:val="nil"/>
              <w:left w:val="nil"/>
              <w:bottom w:val="nil"/>
              <w:right w:val="single" w:sz="4" w:space="0" w:color="000000"/>
            </w:tcBorders>
            <w:shd w:val="clear" w:color="000000" w:fill="FFFFFF"/>
            <w:hideMark/>
          </w:tcPr>
          <w:p w14:paraId="30F3BC19"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1183CAD9"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11.731.733.307,72</w:t>
            </w:r>
          </w:p>
        </w:tc>
        <w:tc>
          <w:tcPr>
            <w:tcW w:w="1280" w:type="dxa"/>
            <w:tcBorders>
              <w:top w:val="nil"/>
              <w:left w:val="nil"/>
              <w:bottom w:val="nil"/>
              <w:right w:val="single" w:sz="4" w:space="0" w:color="000000"/>
            </w:tcBorders>
            <w:shd w:val="clear" w:color="000000" w:fill="FFFFFF"/>
            <w:hideMark/>
          </w:tcPr>
          <w:p w14:paraId="0809B06A"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8.958.037.133,52</w:t>
            </w:r>
          </w:p>
        </w:tc>
        <w:tc>
          <w:tcPr>
            <w:tcW w:w="3320" w:type="dxa"/>
            <w:tcBorders>
              <w:top w:val="nil"/>
              <w:left w:val="nil"/>
              <w:bottom w:val="nil"/>
              <w:right w:val="single" w:sz="4" w:space="0" w:color="000000"/>
            </w:tcBorders>
            <w:shd w:val="clear" w:color="000000" w:fill="FFFFFF"/>
            <w:hideMark/>
          </w:tcPr>
          <w:p w14:paraId="76C19438"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Pagamento dos Restos a Pagar Não Pr</w:t>
            </w:r>
            <w:r w:rsidRPr="00F80C6D">
              <w:rPr>
                <w:rFonts w:ascii="Arial" w:eastAsia="Times New Roman" w:hAnsi="Arial" w:cs="Arial"/>
                <w:color w:val="000000"/>
                <w:kern w:val="0"/>
                <w:sz w:val="14"/>
                <w:szCs w:val="14"/>
                <w:lang w:eastAsia="pt-BR" w:bidi="ar-SA"/>
              </w:rPr>
              <w:t>o</w:t>
            </w:r>
            <w:r w:rsidRPr="00F80C6D">
              <w:rPr>
                <w:rFonts w:ascii="Arial" w:eastAsia="Times New Roman" w:hAnsi="Arial" w:cs="Arial"/>
                <w:color w:val="000000"/>
                <w:kern w:val="0"/>
                <w:sz w:val="14"/>
                <w:szCs w:val="14"/>
                <w:lang w:eastAsia="pt-BR" w:bidi="ar-SA"/>
              </w:rPr>
              <w:t>cessados</w:t>
            </w:r>
          </w:p>
        </w:tc>
        <w:tc>
          <w:tcPr>
            <w:tcW w:w="1380" w:type="dxa"/>
            <w:tcBorders>
              <w:top w:val="nil"/>
              <w:left w:val="nil"/>
              <w:bottom w:val="nil"/>
              <w:right w:val="single" w:sz="4" w:space="0" w:color="000000"/>
            </w:tcBorders>
            <w:shd w:val="clear" w:color="000000" w:fill="FFFFFF"/>
            <w:hideMark/>
          </w:tcPr>
          <w:p w14:paraId="7B600DA5"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4.281.600.349,52</w:t>
            </w:r>
          </w:p>
        </w:tc>
        <w:tc>
          <w:tcPr>
            <w:tcW w:w="1300" w:type="dxa"/>
            <w:tcBorders>
              <w:top w:val="nil"/>
              <w:left w:val="nil"/>
              <w:bottom w:val="nil"/>
              <w:right w:val="single" w:sz="4" w:space="0" w:color="000000"/>
            </w:tcBorders>
            <w:shd w:val="clear" w:color="000000" w:fill="FFFFFF"/>
            <w:hideMark/>
          </w:tcPr>
          <w:p w14:paraId="2EF862F6"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5.515.605.118,59</w:t>
            </w:r>
          </w:p>
        </w:tc>
      </w:tr>
      <w:tr w:rsidR="00F80C6D" w:rsidRPr="00F80C6D" w14:paraId="040BE4DB"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3A1DCD6A"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Depósitos Restituíveis e Valores Vinculados</w:t>
            </w:r>
          </w:p>
        </w:tc>
        <w:tc>
          <w:tcPr>
            <w:tcW w:w="360" w:type="dxa"/>
            <w:tcBorders>
              <w:top w:val="nil"/>
              <w:left w:val="nil"/>
              <w:bottom w:val="nil"/>
              <w:right w:val="single" w:sz="4" w:space="0" w:color="000000"/>
            </w:tcBorders>
            <w:shd w:val="clear" w:color="000000" w:fill="FFFFFF"/>
            <w:hideMark/>
          </w:tcPr>
          <w:p w14:paraId="245E216B"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4A34CB67"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7.578.426.428,77</w:t>
            </w:r>
          </w:p>
        </w:tc>
        <w:tc>
          <w:tcPr>
            <w:tcW w:w="1280" w:type="dxa"/>
            <w:tcBorders>
              <w:top w:val="nil"/>
              <w:left w:val="nil"/>
              <w:bottom w:val="nil"/>
              <w:right w:val="single" w:sz="4" w:space="0" w:color="000000"/>
            </w:tcBorders>
            <w:shd w:val="clear" w:color="000000" w:fill="FFFFFF"/>
            <w:hideMark/>
          </w:tcPr>
          <w:p w14:paraId="666C1DD6"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7.370.251.317,94</w:t>
            </w:r>
          </w:p>
        </w:tc>
        <w:tc>
          <w:tcPr>
            <w:tcW w:w="3320" w:type="dxa"/>
            <w:tcBorders>
              <w:top w:val="nil"/>
              <w:left w:val="nil"/>
              <w:bottom w:val="nil"/>
              <w:right w:val="single" w:sz="4" w:space="0" w:color="000000"/>
            </w:tcBorders>
            <w:shd w:val="clear" w:color="000000" w:fill="FFFFFF"/>
            <w:hideMark/>
          </w:tcPr>
          <w:p w14:paraId="5CC17867"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Depósitos Restituíveis e Valores Vinculados</w:t>
            </w:r>
          </w:p>
        </w:tc>
        <w:tc>
          <w:tcPr>
            <w:tcW w:w="1380" w:type="dxa"/>
            <w:tcBorders>
              <w:top w:val="nil"/>
              <w:left w:val="nil"/>
              <w:bottom w:val="nil"/>
              <w:right w:val="single" w:sz="4" w:space="0" w:color="000000"/>
            </w:tcBorders>
            <w:shd w:val="clear" w:color="000000" w:fill="FFFFFF"/>
            <w:hideMark/>
          </w:tcPr>
          <w:p w14:paraId="0534E336"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7.605.225.845,46</w:t>
            </w:r>
          </w:p>
        </w:tc>
        <w:tc>
          <w:tcPr>
            <w:tcW w:w="1300" w:type="dxa"/>
            <w:tcBorders>
              <w:top w:val="nil"/>
              <w:left w:val="nil"/>
              <w:bottom w:val="nil"/>
              <w:right w:val="single" w:sz="4" w:space="0" w:color="000000"/>
            </w:tcBorders>
            <w:shd w:val="clear" w:color="000000" w:fill="FFFFFF"/>
            <w:hideMark/>
          </w:tcPr>
          <w:p w14:paraId="58FD2F49"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7.523.833.990,35</w:t>
            </w:r>
          </w:p>
        </w:tc>
      </w:tr>
      <w:tr w:rsidR="00F80C6D" w:rsidRPr="00F80C6D" w14:paraId="198F3EF1"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57575729"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Outros Recebimentos Extraorçamentários</w:t>
            </w:r>
          </w:p>
        </w:tc>
        <w:tc>
          <w:tcPr>
            <w:tcW w:w="360" w:type="dxa"/>
            <w:tcBorders>
              <w:top w:val="nil"/>
              <w:left w:val="nil"/>
              <w:bottom w:val="nil"/>
              <w:right w:val="single" w:sz="4" w:space="0" w:color="000000"/>
            </w:tcBorders>
            <w:shd w:val="clear" w:color="000000" w:fill="FFFFFF"/>
            <w:hideMark/>
          </w:tcPr>
          <w:p w14:paraId="4CB7A32D"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3BFBC2AD"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280.192.200,65</w:t>
            </w:r>
          </w:p>
        </w:tc>
        <w:tc>
          <w:tcPr>
            <w:tcW w:w="1280" w:type="dxa"/>
            <w:tcBorders>
              <w:top w:val="nil"/>
              <w:left w:val="nil"/>
              <w:bottom w:val="nil"/>
              <w:right w:val="single" w:sz="4" w:space="0" w:color="000000"/>
            </w:tcBorders>
            <w:shd w:val="clear" w:color="000000" w:fill="FFFFFF"/>
            <w:hideMark/>
          </w:tcPr>
          <w:p w14:paraId="44682BB5"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316.834.789,47</w:t>
            </w:r>
          </w:p>
        </w:tc>
        <w:tc>
          <w:tcPr>
            <w:tcW w:w="3320" w:type="dxa"/>
            <w:tcBorders>
              <w:top w:val="nil"/>
              <w:left w:val="nil"/>
              <w:bottom w:val="nil"/>
              <w:right w:val="single" w:sz="4" w:space="0" w:color="000000"/>
            </w:tcBorders>
            <w:shd w:val="clear" w:color="000000" w:fill="FFFFFF"/>
            <w:hideMark/>
          </w:tcPr>
          <w:p w14:paraId="6B6195D1"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Outros Pagamentos Extraorçamentários</w:t>
            </w:r>
          </w:p>
        </w:tc>
        <w:tc>
          <w:tcPr>
            <w:tcW w:w="1380" w:type="dxa"/>
            <w:tcBorders>
              <w:top w:val="nil"/>
              <w:left w:val="nil"/>
              <w:bottom w:val="nil"/>
              <w:right w:val="single" w:sz="4" w:space="0" w:color="000000"/>
            </w:tcBorders>
            <w:shd w:val="clear" w:color="000000" w:fill="FFFFFF"/>
            <w:hideMark/>
          </w:tcPr>
          <w:p w14:paraId="19BD75AE"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11.254.185.369,09</w:t>
            </w:r>
          </w:p>
        </w:tc>
        <w:tc>
          <w:tcPr>
            <w:tcW w:w="1300" w:type="dxa"/>
            <w:tcBorders>
              <w:top w:val="nil"/>
              <w:left w:val="nil"/>
              <w:bottom w:val="nil"/>
              <w:right w:val="single" w:sz="4" w:space="0" w:color="000000"/>
            </w:tcBorders>
            <w:shd w:val="clear" w:color="000000" w:fill="FFFFFF"/>
            <w:hideMark/>
          </w:tcPr>
          <w:p w14:paraId="14584657"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872.331.785,52</w:t>
            </w:r>
          </w:p>
        </w:tc>
      </w:tr>
      <w:tr w:rsidR="00F80C6D" w:rsidRPr="00F80C6D" w14:paraId="0AE5750F"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276E5408"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Ordens Bancárias não Sacadas - Cartão de Pagamento</w:t>
            </w:r>
          </w:p>
        </w:tc>
        <w:tc>
          <w:tcPr>
            <w:tcW w:w="360" w:type="dxa"/>
            <w:tcBorders>
              <w:top w:val="nil"/>
              <w:left w:val="nil"/>
              <w:bottom w:val="nil"/>
              <w:right w:val="single" w:sz="4" w:space="0" w:color="000000"/>
            </w:tcBorders>
            <w:shd w:val="clear" w:color="000000" w:fill="FFFFFF"/>
            <w:hideMark/>
          </w:tcPr>
          <w:p w14:paraId="4E9A7E63"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17EF80BF"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15.696,82</w:t>
            </w:r>
          </w:p>
        </w:tc>
        <w:tc>
          <w:tcPr>
            <w:tcW w:w="1280" w:type="dxa"/>
            <w:tcBorders>
              <w:top w:val="nil"/>
              <w:left w:val="nil"/>
              <w:bottom w:val="nil"/>
              <w:right w:val="single" w:sz="4" w:space="0" w:color="000000"/>
            </w:tcBorders>
            <w:shd w:val="clear" w:color="000000" w:fill="FFFFFF"/>
            <w:hideMark/>
          </w:tcPr>
          <w:p w14:paraId="5A2ADEA0"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10.179,53</w:t>
            </w:r>
          </w:p>
        </w:tc>
        <w:tc>
          <w:tcPr>
            <w:tcW w:w="3320" w:type="dxa"/>
            <w:tcBorders>
              <w:top w:val="nil"/>
              <w:left w:val="nil"/>
              <w:bottom w:val="nil"/>
              <w:right w:val="single" w:sz="4" w:space="0" w:color="000000"/>
            </w:tcBorders>
            <w:shd w:val="clear" w:color="000000" w:fill="FFFFFF"/>
            <w:hideMark/>
          </w:tcPr>
          <w:p w14:paraId="39AB85A7"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Pagamento de Restituições de Exercícios Anteriores</w:t>
            </w:r>
          </w:p>
        </w:tc>
        <w:tc>
          <w:tcPr>
            <w:tcW w:w="1380" w:type="dxa"/>
            <w:tcBorders>
              <w:top w:val="nil"/>
              <w:left w:val="nil"/>
              <w:bottom w:val="nil"/>
              <w:right w:val="single" w:sz="4" w:space="0" w:color="000000"/>
            </w:tcBorders>
            <w:shd w:val="clear" w:color="000000" w:fill="FFFFFF"/>
            <w:hideMark/>
          </w:tcPr>
          <w:p w14:paraId="0433363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300" w:type="dxa"/>
            <w:tcBorders>
              <w:top w:val="nil"/>
              <w:left w:val="nil"/>
              <w:bottom w:val="nil"/>
              <w:right w:val="single" w:sz="4" w:space="0" w:color="000000"/>
            </w:tcBorders>
            <w:shd w:val="clear" w:color="000000" w:fill="FFFFFF"/>
            <w:hideMark/>
          </w:tcPr>
          <w:p w14:paraId="3BB431C0"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1.177.455,65</w:t>
            </w:r>
          </w:p>
        </w:tc>
      </w:tr>
      <w:tr w:rsidR="00F80C6D" w:rsidRPr="00F80C6D" w14:paraId="2673E68C"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1FC87FEA"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Restituições a Pagar</w:t>
            </w:r>
          </w:p>
        </w:tc>
        <w:tc>
          <w:tcPr>
            <w:tcW w:w="360" w:type="dxa"/>
            <w:tcBorders>
              <w:top w:val="nil"/>
              <w:left w:val="nil"/>
              <w:bottom w:val="nil"/>
              <w:right w:val="single" w:sz="4" w:space="0" w:color="000000"/>
            </w:tcBorders>
            <w:shd w:val="clear" w:color="000000" w:fill="FFFFFF"/>
            <w:hideMark/>
          </w:tcPr>
          <w:p w14:paraId="69E00813"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52A2B976"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7.708.751,24</w:t>
            </w:r>
          </w:p>
        </w:tc>
        <w:tc>
          <w:tcPr>
            <w:tcW w:w="1280" w:type="dxa"/>
            <w:tcBorders>
              <w:top w:val="nil"/>
              <w:left w:val="nil"/>
              <w:bottom w:val="nil"/>
              <w:right w:val="single" w:sz="4" w:space="0" w:color="000000"/>
            </w:tcBorders>
            <w:shd w:val="clear" w:color="000000" w:fill="FFFFFF"/>
            <w:hideMark/>
          </w:tcPr>
          <w:p w14:paraId="47B1C7AC"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3320" w:type="dxa"/>
            <w:tcBorders>
              <w:top w:val="nil"/>
              <w:left w:val="nil"/>
              <w:bottom w:val="nil"/>
              <w:right w:val="single" w:sz="4" w:space="0" w:color="000000"/>
            </w:tcBorders>
            <w:shd w:val="clear" w:color="000000" w:fill="FFFFFF"/>
            <w:hideMark/>
          </w:tcPr>
          <w:p w14:paraId="0A45E93B"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Valores Compensados</w:t>
            </w:r>
          </w:p>
        </w:tc>
        <w:tc>
          <w:tcPr>
            <w:tcW w:w="1380" w:type="dxa"/>
            <w:tcBorders>
              <w:top w:val="nil"/>
              <w:left w:val="nil"/>
              <w:bottom w:val="nil"/>
              <w:right w:val="single" w:sz="4" w:space="0" w:color="000000"/>
            </w:tcBorders>
            <w:shd w:val="clear" w:color="000000" w:fill="FFFFFF"/>
            <w:hideMark/>
          </w:tcPr>
          <w:p w14:paraId="37112472"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34.141,51</w:t>
            </w:r>
          </w:p>
        </w:tc>
        <w:tc>
          <w:tcPr>
            <w:tcW w:w="1300" w:type="dxa"/>
            <w:tcBorders>
              <w:top w:val="nil"/>
              <w:left w:val="nil"/>
              <w:bottom w:val="nil"/>
              <w:right w:val="single" w:sz="4" w:space="0" w:color="000000"/>
            </w:tcBorders>
            <w:shd w:val="clear" w:color="000000" w:fill="FFFFFF"/>
            <w:hideMark/>
          </w:tcPr>
          <w:p w14:paraId="27B0031B"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r>
      <w:tr w:rsidR="00F80C6D" w:rsidRPr="00F80C6D" w14:paraId="56D1EA76"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47604421"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Cancelamento de Obrigações do Exercício Anterior</w:t>
            </w:r>
          </w:p>
        </w:tc>
        <w:tc>
          <w:tcPr>
            <w:tcW w:w="360" w:type="dxa"/>
            <w:tcBorders>
              <w:top w:val="nil"/>
              <w:left w:val="nil"/>
              <w:bottom w:val="nil"/>
              <w:right w:val="single" w:sz="4" w:space="0" w:color="000000"/>
            </w:tcBorders>
            <w:shd w:val="clear" w:color="000000" w:fill="FFFFFF"/>
            <w:hideMark/>
          </w:tcPr>
          <w:p w14:paraId="53227377"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6BB46F06"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5.882,92</w:t>
            </w:r>
          </w:p>
        </w:tc>
        <w:tc>
          <w:tcPr>
            <w:tcW w:w="1280" w:type="dxa"/>
            <w:tcBorders>
              <w:top w:val="nil"/>
              <w:left w:val="nil"/>
              <w:bottom w:val="nil"/>
              <w:right w:val="single" w:sz="4" w:space="0" w:color="000000"/>
            </w:tcBorders>
            <w:shd w:val="clear" w:color="000000" w:fill="FFFFFF"/>
            <w:hideMark/>
          </w:tcPr>
          <w:p w14:paraId="04142E5F"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279,13</w:t>
            </w:r>
          </w:p>
        </w:tc>
        <w:tc>
          <w:tcPr>
            <w:tcW w:w="3320" w:type="dxa"/>
            <w:tcBorders>
              <w:top w:val="nil"/>
              <w:left w:val="nil"/>
              <w:bottom w:val="nil"/>
              <w:right w:val="single" w:sz="4" w:space="0" w:color="000000"/>
            </w:tcBorders>
            <w:shd w:val="clear" w:color="000000" w:fill="FFFFFF"/>
            <w:hideMark/>
          </w:tcPr>
          <w:p w14:paraId="1543A94A"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Demais Pagamentos</w:t>
            </w:r>
          </w:p>
        </w:tc>
        <w:tc>
          <w:tcPr>
            <w:tcW w:w="1380" w:type="dxa"/>
            <w:tcBorders>
              <w:top w:val="nil"/>
              <w:left w:val="nil"/>
              <w:bottom w:val="nil"/>
              <w:right w:val="single" w:sz="4" w:space="0" w:color="000000"/>
            </w:tcBorders>
            <w:shd w:val="clear" w:color="000000" w:fill="FFFFFF"/>
            <w:hideMark/>
          </w:tcPr>
          <w:p w14:paraId="5FC226E4"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11.254.151.227,58</w:t>
            </w:r>
          </w:p>
        </w:tc>
        <w:tc>
          <w:tcPr>
            <w:tcW w:w="1300" w:type="dxa"/>
            <w:tcBorders>
              <w:top w:val="nil"/>
              <w:left w:val="nil"/>
              <w:bottom w:val="nil"/>
              <w:right w:val="single" w:sz="4" w:space="0" w:color="000000"/>
            </w:tcBorders>
            <w:shd w:val="clear" w:color="000000" w:fill="FFFFFF"/>
            <w:hideMark/>
          </w:tcPr>
          <w:p w14:paraId="365ADCB5"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871.154.329,87</w:t>
            </w:r>
          </w:p>
        </w:tc>
      </w:tr>
      <w:tr w:rsidR="00F80C6D" w:rsidRPr="00F80C6D" w14:paraId="0B32C1E1"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4E1CA17C"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Arrecadação de Outra Unidade</w:t>
            </w:r>
          </w:p>
        </w:tc>
        <w:tc>
          <w:tcPr>
            <w:tcW w:w="360" w:type="dxa"/>
            <w:tcBorders>
              <w:top w:val="nil"/>
              <w:left w:val="nil"/>
              <w:bottom w:val="nil"/>
              <w:right w:val="single" w:sz="4" w:space="0" w:color="000000"/>
            </w:tcBorders>
            <w:shd w:val="clear" w:color="000000" w:fill="FFFFFF"/>
            <w:hideMark/>
          </w:tcPr>
          <w:p w14:paraId="3B6BEC1C"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364DD4C0"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244.965.092,45</w:t>
            </w:r>
          </w:p>
        </w:tc>
        <w:tc>
          <w:tcPr>
            <w:tcW w:w="1280" w:type="dxa"/>
            <w:tcBorders>
              <w:top w:val="nil"/>
              <w:left w:val="nil"/>
              <w:bottom w:val="nil"/>
              <w:right w:val="single" w:sz="4" w:space="0" w:color="000000"/>
            </w:tcBorders>
            <w:shd w:val="clear" w:color="000000" w:fill="FFFFFF"/>
            <w:hideMark/>
          </w:tcPr>
          <w:p w14:paraId="62E796C6"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315.732.726,47</w:t>
            </w:r>
          </w:p>
        </w:tc>
        <w:tc>
          <w:tcPr>
            <w:tcW w:w="3320" w:type="dxa"/>
            <w:tcBorders>
              <w:top w:val="nil"/>
              <w:left w:val="nil"/>
              <w:bottom w:val="nil"/>
              <w:right w:val="single" w:sz="4" w:space="0" w:color="000000"/>
            </w:tcBorders>
            <w:shd w:val="clear" w:color="000000" w:fill="FFFFFF"/>
            <w:hideMark/>
          </w:tcPr>
          <w:p w14:paraId="69901FA4"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380" w:type="dxa"/>
            <w:tcBorders>
              <w:top w:val="nil"/>
              <w:left w:val="nil"/>
              <w:bottom w:val="nil"/>
              <w:right w:val="single" w:sz="4" w:space="0" w:color="000000"/>
            </w:tcBorders>
            <w:shd w:val="clear" w:color="000000" w:fill="FFFFFF"/>
            <w:hideMark/>
          </w:tcPr>
          <w:p w14:paraId="591ABE21"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300" w:type="dxa"/>
            <w:tcBorders>
              <w:top w:val="nil"/>
              <w:left w:val="nil"/>
              <w:bottom w:val="nil"/>
              <w:right w:val="single" w:sz="4" w:space="0" w:color="000000"/>
            </w:tcBorders>
            <w:shd w:val="clear" w:color="000000" w:fill="FFFFFF"/>
            <w:hideMark/>
          </w:tcPr>
          <w:p w14:paraId="71FCD2E0"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r>
      <w:tr w:rsidR="00F80C6D" w:rsidRPr="00F80C6D" w14:paraId="6E8E41BC"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35449ACC"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Valores para Compensação</w:t>
            </w:r>
          </w:p>
        </w:tc>
        <w:tc>
          <w:tcPr>
            <w:tcW w:w="360" w:type="dxa"/>
            <w:tcBorders>
              <w:top w:val="nil"/>
              <w:left w:val="nil"/>
              <w:bottom w:val="nil"/>
              <w:right w:val="single" w:sz="4" w:space="0" w:color="000000"/>
            </w:tcBorders>
            <w:shd w:val="clear" w:color="000000" w:fill="FFFFFF"/>
            <w:hideMark/>
          </w:tcPr>
          <w:p w14:paraId="23F35795"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4973AFF1"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280" w:type="dxa"/>
            <w:tcBorders>
              <w:top w:val="nil"/>
              <w:left w:val="nil"/>
              <w:bottom w:val="nil"/>
              <w:right w:val="single" w:sz="4" w:space="0" w:color="000000"/>
            </w:tcBorders>
            <w:shd w:val="clear" w:color="000000" w:fill="FFFFFF"/>
            <w:hideMark/>
          </w:tcPr>
          <w:p w14:paraId="76318EF5"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309.282,34</w:t>
            </w:r>
          </w:p>
        </w:tc>
        <w:tc>
          <w:tcPr>
            <w:tcW w:w="3320" w:type="dxa"/>
            <w:tcBorders>
              <w:top w:val="nil"/>
              <w:left w:val="nil"/>
              <w:bottom w:val="nil"/>
              <w:right w:val="single" w:sz="4" w:space="0" w:color="000000"/>
            </w:tcBorders>
            <w:shd w:val="clear" w:color="000000" w:fill="FFFFFF"/>
            <w:hideMark/>
          </w:tcPr>
          <w:p w14:paraId="6646481C"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380" w:type="dxa"/>
            <w:tcBorders>
              <w:top w:val="nil"/>
              <w:left w:val="nil"/>
              <w:bottom w:val="nil"/>
              <w:right w:val="single" w:sz="4" w:space="0" w:color="000000"/>
            </w:tcBorders>
            <w:shd w:val="clear" w:color="000000" w:fill="FFFFFF"/>
            <w:hideMark/>
          </w:tcPr>
          <w:p w14:paraId="314944CC"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300" w:type="dxa"/>
            <w:tcBorders>
              <w:top w:val="nil"/>
              <w:left w:val="nil"/>
              <w:bottom w:val="nil"/>
              <w:right w:val="single" w:sz="4" w:space="0" w:color="000000"/>
            </w:tcBorders>
            <w:shd w:val="clear" w:color="000000" w:fill="FFFFFF"/>
            <w:hideMark/>
          </w:tcPr>
          <w:p w14:paraId="62E10BCA"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r>
      <w:tr w:rsidR="00F80C6D" w:rsidRPr="00F80C6D" w14:paraId="63BE5A97"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627CC514"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Valores em Trânsito</w:t>
            </w:r>
          </w:p>
        </w:tc>
        <w:tc>
          <w:tcPr>
            <w:tcW w:w="360" w:type="dxa"/>
            <w:tcBorders>
              <w:top w:val="nil"/>
              <w:left w:val="nil"/>
              <w:bottom w:val="nil"/>
              <w:right w:val="single" w:sz="4" w:space="0" w:color="000000"/>
            </w:tcBorders>
            <w:shd w:val="clear" w:color="000000" w:fill="FFFFFF"/>
            <w:hideMark/>
          </w:tcPr>
          <w:p w14:paraId="67A16CCD"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36D7DAD3"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27.496.777,22</w:t>
            </w:r>
          </w:p>
        </w:tc>
        <w:tc>
          <w:tcPr>
            <w:tcW w:w="1280" w:type="dxa"/>
            <w:tcBorders>
              <w:top w:val="nil"/>
              <w:left w:val="nil"/>
              <w:bottom w:val="nil"/>
              <w:right w:val="single" w:sz="4" w:space="0" w:color="000000"/>
            </w:tcBorders>
            <w:shd w:val="clear" w:color="000000" w:fill="FFFFFF"/>
            <w:hideMark/>
          </w:tcPr>
          <w:p w14:paraId="11F2AF24"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782.322,00</w:t>
            </w:r>
          </w:p>
        </w:tc>
        <w:tc>
          <w:tcPr>
            <w:tcW w:w="3320" w:type="dxa"/>
            <w:tcBorders>
              <w:top w:val="nil"/>
              <w:left w:val="nil"/>
              <w:bottom w:val="nil"/>
              <w:right w:val="single" w:sz="4" w:space="0" w:color="000000"/>
            </w:tcBorders>
            <w:shd w:val="clear" w:color="000000" w:fill="FFFFFF"/>
            <w:hideMark/>
          </w:tcPr>
          <w:p w14:paraId="2635AD6E"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380" w:type="dxa"/>
            <w:tcBorders>
              <w:top w:val="nil"/>
              <w:left w:val="nil"/>
              <w:bottom w:val="nil"/>
              <w:right w:val="single" w:sz="4" w:space="0" w:color="000000"/>
            </w:tcBorders>
            <w:shd w:val="clear" w:color="000000" w:fill="FFFFFF"/>
            <w:hideMark/>
          </w:tcPr>
          <w:p w14:paraId="744B1506"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300" w:type="dxa"/>
            <w:tcBorders>
              <w:top w:val="nil"/>
              <w:left w:val="nil"/>
              <w:bottom w:val="nil"/>
              <w:right w:val="single" w:sz="4" w:space="0" w:color="000000"/>
            </w:tcBorders>
            <w:shd w:val="clear" w:color="000000" w:fill="FFFFFF"/>
            <w:hideMark/>
          </w:tcPr>
          <w:p w14:paraId="7F726CA1"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r>
      <w:tr w:rsidR="00F80C6D" w:rsidRPr="00F80C6D" w14:paraId="7EAE5C36" w14:textId="77777777" w:rsidTr="00F80C6D">
        <w:trPr>
          <w:trHeight w:val="199"/>
          <w:jc w:val="center"/>
        </w:trPr>
        <w:tc>
          <w:tcPr>
            <w:tcW w:w="3300" w:type="dxa"/>
            <w:gridSpan w:val="5"/>
            <w:tcBorders>
              <w:top w:val="nil"/>
              <w:left w:val="single" w:sz="4" w:space="0" w:color="000000"/>
              <w:bottom w:val="nil"/>
              <w:right w:val="single" w:sz="4" w:space="0" w:color="000000"/>
            </w:tcBorders>
            <w:shd w:val="clear" w:color="000000" w:fill="FFFFFF"/>
            <w:hideMark/>
          </w:tcPr>
          <w:p w14:paraId="18A647AC"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Saldo do Exercício Anterior</w:t>
            </w:r>
          </w:p>
        </w:tc>
        <w:tc>
          <w:tcPr>
            <w:tcW w:w="360" w:type="dxa"/>
            <w:tcBorders>
              <w:top w:val="nil"/>
              <w:left w:val="nil"/>
              <w:bottom w:val="nil"/>
              <w:right w:val="single" w:sz="4" w:space="0" w:color="000000"/>
            </w:tcBorders>
            <w:shd w:val="clear" w:color="000000" w:fill="FFFFFF"/>
            <w:hideMark/>
          </w:tcPr>
          <w:p w14:paraId="3E184BC7"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 </w:t>
            </w:r>
          </w:p>
        </w:tc>
        <w:tc>
          <w:tcPr>
            <w:tcW w:w="1400" w:type="dxa"/>
            <w:gridSpan w:val="2"/>
            <w:tcBorders>
              <w:top w:val="nil"/>
              <w:left w:val="nil"/>
              <w:bottom w:val="nil"/>
              <w:right w:val="single" w:sz="4" w:space="0" w:color="000000"/>
            </w:tcBorders>
            <w:shd w:val="clear" w:color="000000" w:fill="FFFFFF"/>
            <w:hideMark/>
          </w:tcPr>
          <w:p w14:paraId="451FF745"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38.418.290.425,43</w:t>
            </w:r>
          </w:p>
        </w:tc>
        <w:tc>
          <w:tcPr>
            <w:tcW w:w="1280" w:type="dxa"/>
            <w:tcBorders>
              <w:top w:val="nil"/>
              <w:left w:val="nil"/>
              <w:bottom w:val="nil"/>
              <w:right w:val="single" w:sz="4" w:space="0" w:color="000000"/>
            </w:tcBorders>
            <w:shd w:val="clear" w:color="000000" w:fill="FFFFFF"/>
            <w:hideMark/>
          </w:tcPr>
          <w:p w14:paraId="765DF412"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37.845.214.533,23</w:t>
            </w:r>
          </w:p>
        </w:tc>
        <w:tc>
          <w:tcPr>
            <w:tcW w:w="3320" w:type="dxa"/>
            <w:tcBorders>
              <w:top w:val="nil"/>
              <w:left w:val="nil"/>
              <w:bottom w:val="nil"/>
              <w:right w:val="single" w:sz="4" w:space="0" w:color="000000"/>
            </w:tcBorders>
            <w:shd w:val="clear" w:color="000000" w:fill="FFFFFF"/>
            <w:hideMark/>
          </w:tcPr>
          <w:p w14:paraId="0D6946DC"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Saldo para o Exercício Seguinte</w:t>
            </w:r>
          </w:p>
        </w:tc>
        <w:tc>
          <w:tcPr>
            <w:tcW w:w="1380" w:type="dxa"/>
            <w:tcBorders>
              <w:top w:val="nil"/>
              <w:left w:val="nil"/>
              <w:bottom w:val="nil"/>
              <w:right w:val="single" w:sz="4" w:space="0" w:color="000000"/>
            </w:tcBorders>
            <w:shd w:val="clear" w:color="000000" w:fill="FFFFFF"/>
            <w:hideMark/>
          </w:tcPr>
          <w:p w14:paraId="1AD02431"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29.450.351.428,98</w:t>
            </w:r>
          </w:p>
        </w:tc>
        <w:tc>
          <w:tcPr>
            <w:tcW w:w="1300" w:type="dxa"/>
            <w:tcBorders>
              <w:top w:val="nil"/>
              <w:left w:val="nil"/>
              <w:bottom w:val="nil"/>
              <w:right w:val="single" w:sz="4" w:space="0" w:color="000000"/>
            </w:tcBorders>
            <w:shd w:val="clear" w:color="000000" w:fill="FFFFFF"/>
            <w:hideMark/>
          </w:tcPr>
          <w:p w14:paraId="3E091D1B"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38.418.290.425,43</w:t>
            </w:r>
          </w:p>
        </w:tc>
      </w:tr>
      <w:tr w:rsidR="00F80C6D" w:rsidRPr="00F80C6D" w14:paraId="626DDED7" w14:textId="77777777" w:rsidTr="00F80C6D">
        <w:trPr>
          <w:trHeight w:val="199"/>
          <w:jc w:val="center"/>
        </w:trPr>
        <w:tc>
          <w:tcPr>
            <w:tcW w:w="3300" w:type="dxa"/>
            <w:gridSpan w:val="5"/>
            <w:tcBorders>
              <w:top w:val="nil"/>
              <w:left w:val="single" w:sz="4" w:space="0" w:color="000000"/>
              <w:bottom w:val="single" w:sz="4" w:space="0" w:color="000000"/>
              <w:right w:val="single" w:sz="4" w:space="0" w:color="000000"/>
            </w:tcBorders>
            <w:shd w:val="clear" w:color="000000" w:fill="FFFFFF"/>
            <w:hideMark/>
          </w:tcPr>
          <w:p w14:paraId="021487CB"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Caixa e Equivalentes de Caixa</w:t>
            </w:r>
          </w:p>
        </w:tc>
        <w:tc>
          <w:tcPr>
            <w:tcW w:w="360" w:type="dxa"/>
            <w:tcBorders>
              <w:top w:val="nil"/>
              <w:left w:val="nil"/>
              <w:bottom w:val="single" w:sz="4" w:space="0" w:color="000000"/>
              <w:right w:val="single" w:sz="4" w:space="0" w:color="000000"/>
            </w:tcBorders>
            <w:shd w:val="clear" w:color="000000" w:fill="FFFFFF"/>
            <w:hideMark/>
          </w:tcPr>
          <w:p w14:paraId="68AA3A1B"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w:t>
            </w:r>
          </w:p>
        </w:tc>
        <w:tc>
          <w:tcPr>
            <w:tcW w:w="1400" w:type="dxa"/>
            <w:gridSpan w:val="2"/>
            <w:tcBorders>
              <w:top w:val="nil"/>
              <w:left w:val="nil"/>
              <w:bottom w:val="single" w:sz="4" w:space="0" w:color="000000"/>
              <w:right w:val="single" w:sz="4" w:space="0" w:color="000000"/>
            </w:tcBorders>
            <w:shd w:val="clear" w:color="000000" w:fill="FFFFFF"/>
            <w:hideMark/>
          </w:tcPr>
          <w:p w14:paraId="658402F6"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38.418.290.425,43</w:t>
            </w:r>
          </w:p>
        </w:tc>
        <w:tc>
          <w:tcPr>
            <w:tcW w:w="1280" w:type="dxa"/>
            <w:tcBorders>
              <w:top w:val="nil"/>
              <w:left w:val="nil"/>
              <w:bottom w:val="single" w:sz="4" w:space="0" w:color="000000"/>
              <w:right w:val="single" w:sz="4" w:space="0" w:color="000000"/>
            </w:tcBorders>
            <w:shd w:val="clear" w:color="000000" w:fill="FFFFFF"/>
            <w:hideMark/>
          </w:tcPr>
          <w:p w14:paraId="14729074"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37.845.214.533,23</w:t>
            </w:r>
          </w:p>
        </w:tc>
        <w:tc>
          <w:tcPr>
            <w:tcW w:w="3320" w:type="dxa"/>
            <w:tcBorders>
              <w:top w:val="nil"/>
              <w:left w:val="nil"/>
              <w:bottom w:val="single" w:sz="4" w:space="0" w:color="000000"/>
              <w:right w:val="single" w:sz="4" w:space="0" w:color="000000"/>
            </w:tcBorders>
            <w:shd w:val="clear" w:color="000000" w:fill="FFFFFF"/>
            <w:hideMark/>
          </w:tcPr>
          <w:p w14:paraId="0A1C7A00" w14:textId="77777777" w:rsidR="00F80C6D" w:rsidRPr="00F80C6D" w:rsidRDefault="00F80C6D" w:rsidP="00F80C6D">
            <w:pPr>
              <w:widowControl/>
              <w:suppressAutoHyphens w:val="0"/>
              <w:autoSpaceDN/>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 xml:space="preserve">    Caixa e Equivalentes de Caixa</w:t>
            </w:r>
          </w:p>
        </w:tc>
        <w:tc>
          <w:tcPr>
            <w:tcW w:w="1380" w:type="dxa"/>
            <w:tcBorders>
              <w:top w:val="nil"/>
              <w:left w:val="nil"/>
              <w:bottom w:val="single" w:sz="4" w:space="0" w:color="000000"/>
              <w:right w:val="single" w:sz="4" w:space="0" w:color="000000"/>
            </w:tcBorders>
            <w:shd w:val="clear" w:color="000000" w:fill="FFFFFF"/>
            <w:hideMark/>
          </w:tcPr>
          <w:p w14:paraId="01810CE6"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29.450.351.428,98</w:t>
            </w:r>
          </w:p>
        </w:tc>
        <w:tc>
          <w:tcPr>
            <w:tcW w:w="1300" w:type="dxa"/>
            <w:tcBorders>
              <w:top w:val="nil"/>
              <w:left w:val="nil"/>
              <w:bottom w:val="single" w:sz="4" w:space="0" w:color="000000"/>
              <w:right w:val="single" w:sz="4" w:space="0" w:color="000000"/>
            </w:tcBorders>
            <w:shd w:val="clear" w:color="000000" w:fill="FFFFFF"/>
            <w:hideMark/>
          </w:tcPr>
          <w:p w14:paraId="4ED87E30" w14:textId="77777777" w:rsidR="00F80C6D" w:rsidRPr="00F80C6D" w:rsidRDefault="00F80C6D" w:rsidP="00F80C6D">
            <w:pPr>
              <w:widowControl/>
              <w:suppressAutoHyphens w:val="0"/>
              <w:autoSpaceDN/>
              <w:jc w:val="right"/>
              <w:textAlignment w:val="auto"/>
              <w:rPr>
                <w:rFonts w:ascii="Arial" w:eastAsia="Times New Roman" w:hAnsi="Arial" w:cs="Arial"/>
                <w:color w:val="000000"/>
                <w:kern w:val="0"/>
                <w:sz w:val="14"/>
                <w:szCs w:val="14"/>
                <w:lang w:eastAsia="pt-BR" w:bidi="ar-SA"/>
              </w:rPr>
            </w:pPr>
            <w:r w:rsidRPr="00F80C6D">
              <w:rPr>
                <w:rFonts w:ascii="Arial" w:eastAsia="Times New Roman" w:hAnsi="Arial" w:cs="Arial"/>
                <w:color w:val="000000"/>
                <w:kern w:val="0"/>
                <w:sz w:val="14"/>
                <w:szCs w:val="14"/>
                <w:lang w:eastAsia="pt-BR" w:bidi="ar-SA"/>
              </w:rPr>
              <w:t>38.418.290.425,43</w:t>
            </w:r>
          </w:p>
        </w:tc>
      </w:tr>
      <w:tr w:rsidR="00F80C6D" w:rsidRPr="00F80C6D" w14:paraId="6E6B1CB7" w14:textId="77777777" w:rsidTr="00F80C6D">
        <w:trPr>
          <w:trHeight w:val="199"/>
          <w:jc w:val="center"/>
        </w:trPr>
        <w:tc>
          <w:tcPr>
            <w:tcW w:w="3300" w:type="dxa"/>
            <w:gridSpan w:val="5"/>
            <w:tcBorders>
              <w:top w:val="single" w:sz="4" w:space="0" w:color="000000"/>
              <w:left w:val="single" w:sz="4" w:space="0" w:color="000000"/>
              <w:bottom w:val="single" w:sz="4" w:space="0" w:color="auto"/>
              <w:right w:val="single" w:sz="4" w:space="0" w:color="000000"/>
            </w:tcBorders>
            <w:shd w:val="clear" w:color="000000" w:fill="FFFFFF"/>
            <w:hideMark/>
          </w:tcPr>
          <w:p w14:paraId="2C0AB686"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TOTAL</w:t>
            </w:r>
          </w:p>
        </w:tc>
        <w:tc>
          <w:tcPr>
            <w:tcW w:w="360" w:type="dxa"/>
            <w:tcBorders>
              <w:top w:val="single" w:sz="4" w:space="0" w:color="000000"/>
              <w:left w:val="nil"/>
              <w:bottom w:val="single" w:sz="4" w:space="0" w:color="auto"/>
              <w:right w:val="single" w:sz="4" w:space="0" w:color="000000"/>
            </w:tcBorders>
            <w:shd w:val="clear" w:color="000000" w:fill="FFFFFF"/>
            <w:hideMark/>
          </w:tcPr>
          <w:p w14:paraId="3208F30B" w14:textId="77777777" w:rsidR="00F80C6D" w:rsidRPr="00F80C6D" w:rsidRDefault="00F80C6D" w:rsidP="00F80C6D">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18</w:t>
            </w:r>
          </w:p>
        </w:tc>
        <w:tc>
          <w:tcPr>
            <w:tcW w:w="1400" w:type="dxa"/>
            <w:gridSpan w:val="2"/>
            <w:tcBorders>
              <w:top w:val="single" w:sz="4" w:space="0" w:color="000000"/>
              <w:left w:val="nil"/>
              <w:bottom w:val="single" w:sz="4" w:space="0" w:color="auto"/>
              <w:right w:val="single" w:sz="4" w:space="0" w:color="000000"/>
            </w:tcBorders>
            <w:shd w:val="clear" w:color="000000" w:fill="FFFFFF"/>
            <w:hideMark/>
          </w:tcPr>
          <w:p w14:paraId="1C60C7F6"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123.832.109.914,06</w:t>
            </w:r>
          </w:p>
        </w:tc>
        <w:tc>
          <w:tcPr>
            <w:tcW w:w="1280" w:type="dxa"/>
            <w:tcBorders>
              <w:top w:val="single" w:sz="4" w:space="0" w:color="000000"/>
              <w:left w:val="nil"/>
              <w:bottom w:val="single" w:sz="4" w:space="0" w:color="auto"/>
              <w:right w:val="single" w:sz="4" w:space="0" w:color="000000"/>
            </w:tcBorders>
            <w:shd w:val="clear" w:color="000000" w:fill="FFFFFF"/>
            <w:hideMark/>
          </w:tcPr>
          <w:p w14:paraId="47E3EF79"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120.795.127.913,91</w:t>
            </w:r>
          </w:p>
        </w:tc>
        <w:tc>
          <w:tcPr>
            <w:tcW w:w="3320" w:type="dxa"/>
            <w:tcBorders>
              <w:top w:val="single" w:sz="4" w:space="0" w:color="000000"/>
              <w:left w:val="nil"/>
              <w:bottom w:val="single" w:sz="4" w:space="0" w:color="auto"/>
              <w:right w:val="single" w:sz="4" w:space="0" w:color="000000"/>
            </w:tcBorders>
            <w:shd w:val="clear" w:color="000000" w:fill="FFFFFF"/>
            <w:hideMark/>
          </w:tcPr>
          <w:p w14:paraId="0E66DD43" w14:textId="77777777" w:rsidR="00F80C6D" w:rsidRPr="00F80C6D" w:rsidRDefault="00F80C6D" w:rsidP="00F80C6D">
            <w:pPr>
              <w:widowControl/>
              <w:suppressAutoHyphens w:val="0"/>
              <w:autoSpaceDN/>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TOTAL</w:t>
            </w:r>
          </w:p>
        </w:tc>
        <w:tc>
          <w:tcPr>
            <w:tcW w:w="1380" w:type="dxa"/>
            <w:tcBorders>
              <w:top w:val="single" w:sz="4" w:space="0" w:color="000000"/>
              <w:left w:val="nil"/>
              <w:bottom w:val="single" w:sz="4" w:space="0" w:color="auto"/>
              <w:right w:val="single" w:sz="4" w:space="0" w:color="000000"/>
            </w:tcBorders>
            <w:shd w:val="clear" w:color="000000" w:fill="FFFFFF"/>
            <w:hideMark/>
          </w:tcPr>
          <w:p w14:paraId="1B4300D3"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123.832.109.914,06</w:t>
            </w:r>
          </w:p>
        </w:tc>
        <w:tc>
          <w:tcPr>
            <w:tcW w:w="1300" w:type="dxa"/>
            <w:tcBorders>
              <w:top w:val="single" w:sz="4" w:space="0" w:color="000000"/>
              <w:left w:val="nil"/>
              <w:bottom w:val="single" w:sz="4" w:space="0" w:color="auto"/>
              <w:right w:val="single" w:sz="4" w:space="0" w:color="000000"/>
            </w:tcBorders>
            <w:shd w:val="clear" w:color="000000" w:fill="FFFFFF"/>
            <w:hideMark/>
          </w:tcPr>
          <w:p w14:paraId="74835BF1" w14:textId="77777777" w:rsidR="00F80C6D" w:rsidRPr="00F80C6D" w:rsidRDefault="00F80C6D" w:rsidP="00F80C6D">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F80C6D">
              <w:rPr>
                <w:rFonts w:ascii="Arial" w:eastAsia="Times New Roman" w:hAnsi="Arial" w:cs="Arial"/>
                <w:b/>
                <w:bCs/>
                <w:color w:val="000000"/>
                <w:kern w:val="0"/>
                <w:sz w:val="14"/>
                <w:szCs w:val="14"/>
                <w:lang w:eastAsia="pt-BR" w:bidi="ar-SA"/>
              </w:rPr>
              <w:t>120.795.127.913,91</w:t>
            </w:r>
          </w:p>
        </w:tc>
      </w:tr>
    </w:tbl>
    <w:p w14:paraId="1E39958A" w14:textId="77777777" w:rsidR="00397A9E" w:rsidRPr="00F84F0E" w:rsidRDefault="003210ED">
      <w:pPr>
        <w:tabs>
          <w:tab w:val="left" w:pos="1005"/>
        </w:tabs>
        <w:rPr>
          <w:sz w:val="16"/>
          <w:szCs w:val="16"/>
        </w:rPr>
      </w:pPr>
      <w:r w:rsidRPr="00F84F0E">
        <w:rPr>
          <w:sz w:val="16"/>
          <w:szCs w:val="16"/>
          <w:lang w:eastAsia="en-US" w:bidi="ar-SA"/>
        </w:rPr>
        <w:br/>
      </w:r>
    </w:p>
    <w:p w14:paraId="222A88C1" w14:textId="77777777" w:rsidR="00397A9E" w:rsidRDefault="00397A9E">
      <w:pPr>
        <w:tabs>
          <w:tab w:val="left" w:pos="1005"/>
        </w:tabs>
      </w:pPr>
    </w:p>
    <w:p w14:paraId="54CD21BD" w14:textId="77777777" w:rsidR="00397A9E" w:rsidRDefault="00397A9E">
      <w:pPr>
        <w:rPr>
          <w:lang w:eastAsia="en-US" w:bidi="ar-SA"/>
        </w:rPr>
      </w:pPr>
    </w:p>
    <w:p w14:paraId="5C943064" w14:textId="77777777" w:rsidR="00397A9E" w:rsidRDefault="00397A9E">
      <w:pPr>
        <w:rPr>
          <w:lang w:eastAsia="en-US" w:bidi="ar-SA"/>
        </w:rPr>
      </w:pPr>
    </w:p>
    <w:p w14:paraId="3C115946" w14:textId="77777777" w:rsidR="00397A9E" w:rsidRDefault="00397A9E">
      <w:pPr>
        <w:rPr>
          <w:lang w:eastAsia="en-US" w:bidi="ar-SA"/>
        </w:rPr>
      </w:pPr>
    </w:p>
    <w:p w14:paraId="009AB052" w14:textId="77777777" w:rsidR="00397A9E" w:rsidRDefault="003210ED">
      <w:pPr>
        <w:pStyle w:val="Ttulo2"/>
        <w:jc w:val="center"/>
        <w:rPr>
          <w:rFonts w:ascii="Times New Roman" w:hAnsi="Times New Roman"/>
          <w:sz w:val="24"/>
          <w:szCs w:val="24"/>
        </w:rPr>
      </w:pPr>
      <w:bookmarkStart w:id="4" w:name="_Demonstração_dos_Fluxos"/>
      <w:bookmarkEnd w:id="4"/>
      <w:r>
        <w:rPr>
          <w:rFonts w:ascii="Times New Roman" w:hAnsi="Times New Roman"/>
          <w:sz w:val="24"/>
          <w:szCs w:val="24"/>
        </w:rPr>
        <w:t>Demonstração dos Fluxos de Caixa</w:t>
      </w:r>
      <w:bookmarkEnd w:id="1"/>
      <w:bookmarkEnd w:id="2"/>
    </w:p>
    <w:p w14:paraId="496ADDC1" w14:textId="77777777" w:rsidR="00397A9E" w:rsidRDefault="00397A9E">
      <w:pPr>
        <w:rPr>
          <w:lang w:eastAsia="en-US" w:bidi="ar-SA"/>
        </w:rPr>
      </w:pPr>
      <w:bookmarkStart w:id="5" w:name="_Toc445286274"/>
      <w:bookmarkStart w:id="6" w:name="_Toc456950379"/>
    </w:p>
    <w:tbl>
      <w:tblPr>
        <w:tblW w:w="6780" w:type="dxa"/>
        <w:jc w:val="center"/>
        <w:tblCellMar>
          <w:left w:w="70" w:type="dxa"/>
          <w:right w:w="70" w:type="dxa"/>
        </w:tblCellMar>
        <w:tblLook w:val="04A0" w:firstRow="1" w:lastRow="0" w:firstColumn="1" w:lastColumn="0" w:noHBand="0" w:noVBand="1"/>
      </w:tblPr>
      <w:tblGrid>
        <w:gridCol w:w="580"/>
        <w:gridCol w:w="171"/>
        <w:gridCol w:w="578"/>
        <w:gridCol w:w="171"/>
        <w:gridCol w:w="1876"/>
        <w:gridCol w:w="413"/>
        <w:gridCol w:w="1460"/>
        <w:gridCol w:w="1531"/>
      </w:tblGrid>
      <w:tr w:rsidR="00E83EFB" w:rsidRPr="00E83EFB" w14:paraId="2AC491C8" w14:textId="77777777" w:rsidTr="00E83EFB">
        <w:trPr>
          <w:trHeight w:val="120"/>
          <w:jc w:val="center"/>
        </w:trPr>
        <w:tc>
          <w:tcPr>
            <w:tcW w:w="620" w:type="dxa"/>
            <w:vMerge w:val="restart"/>
            <w:tcBorders>
              <w:top w:val="nil"/>
              <w:left w:val="nil"/>
              <w:bottom w:val="nil"/>
              <w:right w:val="nil"/>
            </w:tcBorders>
            <w:shd w:val="clear" w:color="000000" w:fill="FFFFFF"/>
            <w:hideMark/>
          </w:tcPr>
          <w:p w14:paraId="23CA1626"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noProof/>
                <w:color w:val="000000"/>
                <w:kern w:val="0"/>
                <w:sz w:val="14"/>
                <w:szCs w:val="14"/>
                <w:lang w:eastAsia="pt-BR" w:bidi="ar-SA"/>
              </w:rPr>
              <w:drawing>
                <wp:anchor distT="0" distB="0" distL="114300" distR="114300" simplePos="0" relativeHeight="251675648" behindDoc="0" locked="0" layoutInCell="1" allowOverlap="1" wp14:anchorId="47A8C5F9" wp14:editId="30BFCC28">
                  <wp:simplePos x="0" y="0"/>
                  <wp:positionH relativeFrom="column">
                    <wp:posOffset>0</wp:posOffset>
                  </wp:positionH>
                  <wp:positionV relativeFrom="paragraph">
                    <wp:posOffset>0</wp:posOffset>
                  </wp:positionV>
                  <wp:extent cx="333375" cy="390525"/>
                  <wp:effectExtent l="0" t="0" r="9525" b="9525"/>
                  <wp:wrapNone/>
                  <wp:docPr id="10" name="Imagem 10"/>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0" w:type="dxa"/>
            <w:tcBorders>
              <w:top w:val="nil"/>
              <w:left w:val="nil"/>
              <w:bottom w:val="nil"/>
              <w:right w:val="nil"/>
            </w:tcBorders>
            <w:shd w:val="clear" w:color="000000" w:fill="FFFFFF"/>
            <w:hideMark/>
          </w:tcPr>
          <w:p w14:paraId="1AC0775D"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600" w:type="dxa"/>
            <w:tcBorders>
              <w:top w:val="nil"/>
              <w:left w:val="nil"/>
              <w:bottom w:val="nil"/>
              <w:right w:val="nil"/>
            </w:tcBorders>
            <w:shd w:val="clear" w:color="000000" w:fill="FFFFFF"/>
            <w:hideMark/>
          </w:tcPr>
          <w:p w14:paraId="64AFF02B"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4C9D831A"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2060" w:type="dxa"/>
            <w:tcBorders>
              <w:top w:val="nil"/>
              <w:left w:val="nil"/>
              <w:bottom w:val="nil"/>
              <w:right w:val="nil"/>
            </w:tcBorders>
            <w:shd w:val="clear" w:color="000000" w:fill="FFFFFF"/>
            <w:hideMark/>
          </w:tcPr>
          <w:p w14:paraId="51BB6259"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300" w:type="dxa"/>
            <w:tcBorders>
              <w:top w:val="nil"/>
              <w:left w:val="nil"/>
              <w:bottom w:val="nil"/>
              <w:right w:val="nil"/>
            </w:tcBorders>
            <w:shd w:val="clear" w:color="000000" w:fill="FFFFFF"/>
            <w:hideMark/>
          </w:tcPr>
          <w:p w14:paraId="1CB8CB5F"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1480" w:type="dxa"/>
            <w:tcBorders>
              <w:top w:val="nil"/>
              <w:left w:val="nil"/>
              <w:bottom w:val="nil"/>
              <w:right w:val="nil"/>
            </w:tcBorders>
            <w:shd w:val="clear" w:color="000000" w:fill="FFFFFF"/>
            <w:hideMark/>
          </w:tcPr>
          <w:p w14:paraId="785EC995"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1560" w:type="dxa"/>
            <w:tcBorders>
              <w:top w:val="nil"/>
              <w:left w:val="nil"/>
              <w:bottom w:val="nil"/>
              <w:right w:val="nil"/>
            </w:tcBorders>
            <w:shd w:val="clear" w:color="000000" w:fill="FFFFFF"/>
            <w:hideMark/>
          </w:tcPr>
          <w:p w14:paraId="676863AB"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r>
      <w:tr w:rsidR="00E83EFB" w:rsidRPr="00E83EFB" w14:paraId="3701A1CC" w14:textId="77777777" w:rsidTr="00E83EFB">
        <w:trPr>
          <w:trHeight w:val="240"/>
          <w:jc w:val="center"/>
        </w:trPr>
        <w:tc>
          <w:tcPr>
            <w:tcW w:w="620" w:type="dxa"/>
            <w:vMerge/>
            <w:tcBorders>
              <w:top w:val="nil"/>
              <w:left w:val="nil"/>
              <w:bottom w:val="nil"/>
              <w:right w:val="nil"/>
            </w:tcBorders>
            <w:vAlign w:val="center"/>
            <w:hideMark/>
          </w:tcPr>
          <w:p w14:paraId="52196665"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337A0822"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2700" w:type="dxa"/>
            <w:gridSpan w:val="3"/>
            <w:tcBorders>
              <w:top w:val="nil"/>
              <w:left w:val="nil"/>
              <w:bottom w:val="nil"/>
              <w:right w:val="nil"/>
            </w:tcBorders>
            <w:shd w:val="clear" w:color="000000" w:fill="FFFFFF"/>
            <w:hideMark/>
          </w:tcPr>
          <w:p w14:paraId="6B96D937" w14:textId="77777777" w:rsidR="00E83EFB" w:rsidRPr="00E83EFB" w:rsidRDefault="00E83EFB" w:rsidP="00E83EFB">
            <w:pPr>
              <w:widowControl/>
              <w:suppressAutoHyphens w:val="0"/>
              <w:autoSpaceDN/>
              <w:textAlignment w:val="auto"/>
              <w:rPr>
                <w:rFonts w:ascii="SansSerif" w:eastAsia="Times New Roman" w:hAnsi="SansSerif" w:cs="Arial"/>
                <w:b/>
                <w:bCs/>
                <w:color w:val="000000"/>
                <w:kern w:val="0"/>
                <w:sz w:val="14"/>
                <w:szCs w:val="14"/>
                <w:lang w:eastAsia="pt-BR" w:bidi="ar-SA"/>
              </w:rPr>
            </w:pPr>
            <w:r w:rsidRPr="00E83EFB">
              <w:rPr>
                <w:rFonts w:ascii="SansSerif" w:eastAsia="Times New Roman" w:hAnsi="SansSerif" w:cs="Arial"/>
                <w:b/>
                <w:bCs/>
                <w:color w:val="000000"/>
                <w:kern w:val="0"/>
                <w:sz w:val="14"/>
                <w:szCs w:val="14"/>
                <w:lang w:eastAsia="pt-BR" w:bidi="ar-SA"/>
              </w:rPr>
              <w:t>MINISTÉRIO DA FAZENDA</w:t>
            </w:r>
          </w:p>
        </w:tc>
        <w:tc>
          <w:tcPr>
            <w:tcW w:w="300" w:type="dxa"/>
            <w:tcBorders>
              <w:top w:val="nil"/>
              <w:left w:val="nil"/>
              <w:bottom w:val="nil"/>
              <w:right w:val="nil"/>
            </w:tcBorders>
            <w:shd w:val="clear" w:color="000000" w:fill="FFFFFF"/>
            <w:hideMark/>
          </w:tcPr>
          <w:p w14:paraId="1517FD28"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1480" w:type="dxa"/>
            <w:tcBorders>
              <w:top w:val="nil"/>
              <w:left w:val="nil"/>
              <w:bottom w:val="nil"/>
              <w:right w:val="nil"/>
            </w:tcBorders>
            <w:shd w:val="clear" w:color="000000" w:fill="FFFFFF"/>
            <w:hideMark/>
          </w:tcPr>
          <w:p w14:paraId="5457A9D8"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1560" w:type="dxa"/>
            <w:tcBorders>
              <w:top w:val="nil"/>
              <w:left w:val="nil"/>
              <w:bottom w:val="nil"/>
              <w:right w:val="nil"/>
            </w:tcBorders>
            <w:shd w:val="clear" w:color="000000" w:fill="FFFFFF"/>
            <w:hideMark/>
          </w:tcPr>
          <w:p w14:paraId="421B93CB"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r>
      <w:tr w:rsidR="00E83EFB" w:rsidRPr="00E83EFB" w14:paraId="79845AC8" w14:textId="77777777" w:rsidTr="00E83EFB">
        <w:trPr>
          <w:trHeight w:val="199"/>
          <w:jc w:val="center"/>
        </w:trPr>
        <w:tc>
          <w:tcPr>
            <w:tcW w:w="620" w:type="dxa"/>
            <w:vMerge/>
            <w:tcBorders>
              <w:top w:val="nil"/>
              <w:left w:val="nil"/>
              <w:bottom w:val="nil"/>
              <w:right w:val="nil"/>
            </w:tcBorders>
            <w:vAlign w:val="center"/>
            <w:hideMark/>
          </w:tcPr>
          <w:p w14:paraId="54A8DAC9"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6CDE3C64"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2700" w:type="dxa"/>
            <w:gridSpan w:val="3"/>
            <w:tcBorders>
              <w:top w:val="nil"/>
              <w:left w:val="nil"/>
              <w:bottom w:val="nil"/>
              <w:right w:val="nil"/>
            </w:tcBorders>
            <w:shd w:val="clear" w:color="000000" w:fill="FFFFFF"/>
            <w:hideMark/>
          </w:tcPr>
          <w:p w14:paraId="24BFAD55" w14:textId="77777777" w:rsidR="00E83EFB" w:rsidRPr="00E83EFB" w:rsidRDefault="00E83EFB" w:rsidP="00E83EFB">
            <w:pPr>
              <w:widowControl/>
              <w:suppressAutoHyphens w:val="0"/>
              <w:autoSpaceDN/>
              <w:textAlignment w:val="auto"/>
              <w:rPr>
                <w:rFonts w:ascii="SansSerif" w:eastAsia="Times New Roman" w:hAnsi="SansSerif" w:cs="Arial"/>
                <w:b/>
                <w:bCs/>
                <w:color w:val="000000"/>
                <w:kern w:val="0"/>
                <w:sz w:val="14"/>
                <w:szCs w:val="14"/>
                <w:lang w:eastAsia="pt-BR" w:bidi="ar-SA"/>
              </w:rPr>
            </w:pPr>
            <w:r w:rsidRPr="00E83EFB">
              <w:rPr>
                <w:rFonts w:ascii="SansSerif" w:eastAsia="Times New Roman" w:hAnsi="SansSerif" w:cs="Arial"/>
                <w:b/>
                <w:bCs/>
                <w:color w:val="000000"/>
                <w:kern w:val="0"/>
                <w:sz w:val="14"/>
                <w:szCs w:val="14"/>
                <w:lang w:eastAsia="pt-BR" w:bidi="ar-SA"/>
              </w:rPr>
              <w:t>SECRETARIA DO TESOURO NACIONAL</w:t>
            </w:r>
          </w:p>
        </w:tc>
        <w:tc>
          <w:tcPr>
            <w:tcW w:w="300" w:type="dxa"/>
            <w:tcBorders>
              <w:top w:val="nil"/>
              <w:left w:val="nil"/>
              <w:bottom w:val="nil"/>
              <w:right w:val="nil"/>
            </w:tcBorders>
            <w:shd w:val="clear" w:color="000000" w:fill="FFFFFF"/>
            <w:hideMark/>
          </w:tcPr>
          <w:p w14:paraId="68696A05"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1480" w:type="dxa"/>
            <w:tcBorders>
              <w:top w:val="nil"/>
              <w:left w:val="nil"/>
              <w:bottom w:val="nil"/>
              <w:right w:val="nil"/>
            </w:tcBorders>
            <w:shd w:val="clear" w:color="000000" w:fill="FFFFFF"/>
            <w:hideMark/>
          </w:tcPr>
          <w:p w14:paraId="2F154159"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1560" w:type="dxa"/>
            <w:tcBorders>
              <w:top w:val="nil"/>
              <w:left w:val="nil"/>
              <w:bottom w:val="nil"/>
              <w:right w:val="nil"/>
            </w:tcBorders>
            <w:shd w:val="clear" w:color="000000" w:fill="FFFFFF"/>
            <w:hideMark/>
          </w:tcPr>
          <w:p w14:paraId="5D78ACA7"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r>
      <w:tr w:rsidR="00E83EFB" w:rsidRPr="00E83EFB" w14:paraId="68596808" w14:textId="77777777" w:rsidTr="00E83EFB">
        <w:trPr>
          <w:trHeight w:val="60"/>
          <w:jc w:val="center"/>
        </w:trPr>
        <w:tc>
          <w:tcPr>
            <w:tcW w:w="620" w:type="dxa"/>
            <w:vMerge/>
            <w:tcBorders>
              <w:top w:val="nil"/>
              <w:left w:val="nil"/>
              <w:bottom w:val="nil"/>
              <w:right w:val="nil"/>
            </w:tcBorders>
            <w:vAlign w:val="center"/>
            <w:hideMark/>
          </w:tcPr>
          <w:p w14:paraId="659B9BDF"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p>
        </w:tc>
        <w:tc>
          <w:tcPr>
            <w:tcW w:w="120" w:type="dxa"/>
            <w:tcBorders>
              <w:top w:val="nil"/>
              <w:left w:val="nil"/>
              <w:bottom w:val="nil"/>
              <w:right w:val="nil"/>
            </w:tcBorders>
            <w:shd w:val="clear" w:color="000000" w:fill="FFFFFF"/>
            <w:hideMark/>
          </w:tcPr>
          <w:p w14:paraId="1DB7A589"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600" w:type="dxa"/>
            <w:tcBorders>
              <w:top w:val="nil"/>
              <w:left w:val="nil"/>
              <w:bottom w:val="nil"/>
              <w:right w:val="nil"/>
            </w:tcBorders>
            <w:shd w:val="clear" w:color="000000" w:fill="FFFFFF"/>
            <w:hideMark/>
          </w:tcPr>
          <w:p w14:paraId="29564559"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6DAF333B"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2060" w:type="dxa"/>
            <w:tcBorders>
              <w:top w:val="nil"/>
              <w:left w:val="nil"/>
              <w:bottom w:val="nil"/>
              <w:right w:val="nil"/>
            </w:tcBorders>
            <w:shd w:val="clear" w:color="000000" w:fill="FFFFFF"/>
            <w:hideMark/>
          </w:tcPr>
          <w:p w14:paraId="754D5EB5"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300" w:type="dxa"/>
            <w:tcBorders>
              <w:top w:val="nil"/>
              <w:left w:val="nil"/>
              <w:bottom w:val="nil"/>
              <w:right w:val="nil"/>
            </w:tcBorders>
            <w:shd w:val="clear" w:color="000000" w:fill="FFFFFF"/>
            <w:hideMark/>
          </w:tcPr>
          <w:p w14:paraId="343744C2"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1480" w:type="dxa"/>
            <w:tcBorders>
              <w:top w:val="nil"/>
              <w:left w:val="nil"/>
              <w:bottom w:val="nil"/>
              <w:right w:val="nil"/>
            </w:tcBorders>
            <w:shd w:val="clear" w:color="000000" w:fill="FFFFFF"/>
            <w:hideMark/>
          </w:tcPr>
          <w:p w14:paraId="47559BD2"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1560" w:type="dxa"/>
            <w:tcBorders>
              <w:top w:val="nil"/>
              <w:left w:val="nil"/>
              <w:bottom w:val="nil"/>
              <w:right w:val="nil"/>
            </w:tcBorders>
            <w:shd w:val="clear" w:color="000000" w:fill="FFFFFF"/>
            <w:hideMark/>
          </w:tcPr>
          <w:p w14:paraId="3A479CDC"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r>
      <w:tr w:rsidR="00E83EFB" w:rsidRPr="00E83EFB" w14:paraId="4A1FE305" w14:textId="77777777" w:rsidTr="00E83EFB">
        <w:trPr>
          <w:trHeight w:val="102"/>
          <w:jc w:val="center"/>
        </w:trPr>
        <w:tc>
          <w:tcPr>
            <w:tcW w:w="620" w:type="dxa"/>
            <w:tcBorders>
              <w:top w:val="nil"/>
              <w:left w:val="nil"/>
              <w:bottom w:val="nil"/>
              <w:right w:val="nil"/>
            </w:tcBorders>
            <w:shd w:val="clear" w:color="000000" w:fill="FFFFFF"/>
            <w:hideMark/>
          </w:tcPr>
          <w:p w14:paraId="48F8D904"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120" w:type="dxa"/>
            <w:tcBorders>
              <w:top w:val="nil"/>
              <w:left w:val="nil"/>
              <w:bottom w:val="nil"/>
              <w:right w:val="nil"/>
            </w:tcBorders>
            <w:shd w:val="clear" w:color="000000" w:fill="FFFFFF"/>
            <w:hideMark/>
          </w:tcPr>
          <w:p w14:paraId="0DAA4DB1"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600" w:type="dxa"/>
            <w:tcBorders>
              <w:top w:val="nil"/>
              <w:left w:val="nil"/>
              <w:bottom w:val="nil"/>
              <w:right w:val="nil"/>
            </w:tcBorders>
            <w:shd w:val="clear" w:color="000000" w:fill="FFFFFF"/>
            <w:hideMark/>
          </w:tcPr>
          <w:p w14:paraId="59732D9B"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40" w:type="dxa"/>
            <w:tcBorders>
              <w:top w:val="nil"/>
              <w:left w:val="nil"/>
              <w:bottom w:val="nil"/>
              <w:right w:val="nil"/>
            </w:tcBorders>
            <w:shd w:val="clear" w:color="000000" w:fill="FFFFFF"/>
            <w:hideMark/>
          </w:tcPr>
          <w:p w14:paraId="32A976E4"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2060" w:type="dxa"/>
            <w:tcBorders>
              <w:top w:val="nil"/>
              <w:left w:val="nil"/>
              <w:bottom w:val="nil"/>
              <w:right w:val="nil"/>
            </w:tcBorders>
            <w:shd w:val="clear" w:color="000000" w:fill="FFFFFF"/>
            <w:hideMark/>
          </w:tcPr>
          <w:p w14:paraId="2A42CBAA"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300" w:type="dxa"/>
            <w:tcBorders>
              <w:top w:val="nil"/>
              <w:left w:val="nil"/>
              <w:bottom w:val="nil"/>
              <w:right w:val="nil"/>
            </w:tcBorders>
            <w:shd w:val="clear" w:color="000000" w:fill="FFFFFF"/>
            <w:hideMark/>
          </w:tcPr>
          <w:p w14:paraId="5F8C137F"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1480" w:type="dxa"/>
            <w:tcBorders>
              <w:top w:val="nil"/>
              <w:left w:val="nil"/>
              <w:bottom w:val="nil"/>
              <w:right w:val="nil"/>
            </w:tcBorders>
            <w:shd w:val="clear" w:color="000000" w:fill="FFFFFF"/>
            <w:hideMark/>
          </w:tcPr>
          <w:p w14:paraId="1BD4C7B4"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1560" w:type="dxa"/>
            <w:tcBorders>
              <w:top w:val="nil"/>
              <w:left w:val="nil"/>
              <w:bottom w:val="nil"/>
              <w:right w:val="nil"/>
            </w:tcBorders>
            <w:shd w:val="clear" w:color="000000" w:fill="FFFFFF"/>
            <w:hideMark/>
          </w:tcPr>
          <w:p w14:paraId="4CFE12B1"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r>
      <w:tr w:rsidR="00E83EFB" w:rsidRPr="00E83EFB" w14:paraId="3C670609" w14:textId="77777777" w:rsidTr="00E83EFB">
        <w:trPr>
          <w:trHeight w:val="199"/>
          <w:jc w:val="center"/>
        </w:trPr>
        <w:tc>
          <w:tcPr>
            <w:tcW w:w="1340" w:type="dxa"/>
            <w:gridSpan w:val="3"/>
            <w:tcBorders>
              <w:top w:val="nil"/>
              <w:left w:val="nil"/>
              <w:bottom w:val="nil"/>
              <w:right w:val="nil"/>
            </w:tcBorders>
            <w:shd w:val="clear" w:color="000000" w:fill="FFFFFF"/>
            <w:vAlign w:val="center"/>
            <w:hideMark/>
          </w:tcPr>
          <w:p w14:paraId="44552509"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TITULO</w:t>
            </w:r>
          </w:p>
        </w:tc>
        <w:tc>
          <w:tcPr>
            <w:tcW w:w="40" w:type="dxa"/>
            <w:tcBorders>
              <w:top w:val="nil"/>
              <w:left w:val="nil"/>
              <w:bottom w:val="nil"/>
              <w:right w:val="nil"/>
            </w:tcBorders>
            <w:shd w:val="clear" w:color="000000" w:fill="FFFFFF"/>
            <w:hideMark/>
          </w:tcPr>
          <w:p w14:paraId="117AAB88"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5400" w:type="dxa"/>
            <w:gridSpan w:val="4"/>
            <w:tcBorders>
              <w:top w:val="nil"/>
              <w:left w:val="nil"/>
              <w:bottom w:val="nil"/>
              <w:right w:val="nil"/>
            </w:tcBorders>
            <w:shd w:val="clear" w:color="000000" w:fill="FFFFFF"/>
            <w:vAlign w:val="center"/>
            <w:hideMark/>
          </w:tcPr>
          <w:p w14:paraId="2A132B0B"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DEMONSTRAÇÕES DOS FLUXOS DE CAIXA - TODOS OS ORÇAMENTOS</w:t>
            </w:r>
          </w:p>
        </w:tc>
      </w:tr>
      <w:tr w:rsidR="00E83EFB" w:rsidRPr="00E83EFB" w14:paraId="31B61E59" w14:textId="77777777" w:rsidTr="00E83EFB">
        <w:trPr>
          <w:trHeight w:val="199"/>
          <w:jc w:val="center"/>
        </w:trPr>
        <w:tc>
          <w:tcPr>
            <w:tcW w:w="1340" w:type="dxa"/>
            <w:gridSpan w:val="3"/>
            <w:tcBorders>
              <w:top w:val="nil"/>
              <w:left w:val="nil"/>
              <w:bottom w:val="nil"/>
              <w:right w:val="nil"/>
            </w:tcBorders>
            <w:shd w:val="clear" w:color="000000" w:fill="FFFFFF"/>
            <w:vAlign w:val="center"/>
            <w:hideMark/>
          </w:tcPr>
          <w:p w14:paraId="575F5438"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SUBTITULO</w:t>
            </w:r>
          </w:p>
        </w:tc>
        <w:tc>
          <w:tcPr>
            <w:tcW w:w="40" w:type="dxa"/>
            <w:tcBorders>
              <w:top w:val="nil"/>
              <w:left w:val="nil"/>
              <w:bottom w:val="nil"/>
              <w:right w:val="nil"/>
            </w:tcBorders>
            <w:shd w:val="clear" w:color="000000" w:fill="FFFFFF"/>
            <w:hideMark/>
          </w:tcPr>
          <w:p w14:paraId="7F2ED716"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5400" w:type="dxa"/>
            <w:gridSpan w:val="4"/>
            <w:tcBorders>
              <w:top w:val="nil"/>
              <w:left w:val="nil"/>
              <w:bottom w:val="nil"/>
              <w:right w:val="nil"/>
            </w:tcBorders>
            <w:shd w:val="clear" w:color="000000" w:fill="FFFFFF"/>
            <w:vAlign w:val="center"/>
            <w:hideMark/>
          </w:tcPr>
          <w:p w14:paraId="42FE52AA"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53000 - MINISTERIO DO DESENVOLVIMENTO REGIONAL (SUPERIOR) - ADMINI</w:t>
            </w:r>
            <w:r w:rsidRPr="00E83EFB">
              <w:rPr>
                <w:rFonts w:ascii="SansSerif" w:eastAsia="Times New Roman" w:hAnsi="SansSerif" w:cs="Arial"/>
                <w:color w:val="000000"/>
                <w:kern w:val="0"/>
                <w:sz w:val="14"/>
                <w:szCs w:val="14"/>
                <w:lang w:eastAsia="pt-BR" w:bidi="ar-SA"/>
              </w:rPr>
              <w:t>S</w:t>
            </w:r>
            <w:r w:rsidRPr="00E83EFB">
              <w:rPr>
                <w:rFonts w:ascii="SansSerif" w:eastAsia="Times New Roman" w:hAnsi="SansSerif" w:cs="Arial"/>
                <w:color w:val="000000"/>
                <w:kern w:val="0"/>
                <w:sz w:val="14"/>
                <w:szCs w:val="14"/>
                <w:lang w:eastAsia="pt-BR" w:bidi="ar-SA"/>
              </w:rPr>
              <w:t>TRAÇÃO DIRETA</w:t>
            </w:r>
          </w:p>
        </w:tc>
      </w:tr>
      <w:tr w:rsidR="00E83EFB" w:rsidRPr="00E83EFB" w14:paraId="15D3714D" w14:textId="77777777" w:rsidTr="00E83EFB">
        <w:trPr>
          <w:trHeight w:val="199"/>
          <w:jc w:val="center"/>
        </w:trPr>
        <w:tc>
          <w:tcPr>
            <w:tcW w:w="1340" w:type="dxa"/>
            <w:gridSpan w:val="3"/>
            <w:tcBorders>
              <w:top w:val="nil"/>
              <w:left w:val="nil"/>
              <w:bottom w:val="nil"/>
              <w:right w:val="nil"/>
            </w:tcBorders>
            <w:shd w:val="clear" w:color="000000" w:fill="FFFFFF"/>
            <w:vAlign w:val="center"/>
            <w:hideMark/>
          </w:tcPr>
          <w:p w14:paraId="32B706F6"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ORGÃO SUPERIOR</w:t>
            </w:r>
          </w:p>
        </w:tc>
        <w:tc>
          <w:tcPr>
            <w:tcW w:w="40" w:type="dxa"/>
            <w:tcBorders>
              <w:top w:val="nil"/>
              <w:left w:val="nil"/>
              <w:bottom w:val="nil"/>
              <w:right w:val="nil"/>
            </w:tcBorders>
            <w:shd w:val="clear" w:color="000000" w:fill="FFFFFF"/>
            <w:hideMark/>
          </w:tcPr>
          <w:p w14:paraId="3292E1E9"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5400" w:type="dxa"/>
            <w:gridSpan w:val="4"/>
            <w:tcBorders>
              <w:top w:val="nil"/>
              <w:left w:val="nil"/>
              <w:bottom w:val="nil"/>
              <w:right w:val="nil"/>
            </w:tcBorders>
            <w:shd w:val="clear" w:color="000000" w:fill="FFFFFF"/>
            <w:vAlign w:val="center"/>
            <w:hideMark/>
          </w:tcPr>
          <w:p w14:paraId="47F1799E"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53000 - MINISTERIO DO DESENVOLVIMENTO REGIONAL</w:t>
            </w:r>
          </w:p>
        </w:tc>
      </w:tr>
      <w:tr w:rsidR="00E83EFB" w:rsidRPr="00E83EFB" w14:paraId="1F615380" w14:textId="77777777" w:rsidTr="00E83EFB">
        <w:trPr>
          <w:trHeight w:val="199"/>
          <w:jc w:val="center"/>
        </w:trPr>
        <w:tc>
          <w:tcPr>
            <w:tcW w:w="1340" w:type="dxa"/>
            <w:gridSpan w:val="3"/>
            <w:tcBorders>
              <w:top w:val="nil"/>
              <w:left w:val="nil"/>
              <w:bottom w:val="nil"/>
              <w:right w:val="nil"/>
            </w:tcBorders>
            <w:shd w:val="clear" w:color="000000" w:fill="FFFFFF"/>
            <w:vAlign w:val="center"/>
            <w:hideMark/>
          </w:tcPr>
          <w:p w14:paraId="6BAE54B6"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EXERCíCIO</w:t>
            </w:r>
          </w:p>
        </w:tc>
        <w:tc>
          <w:tcPr>
            <w:tcW w:w="40" w:type="dxa"/>
            <w:tcBorders>
              <w:top w:val="nil"/>
              <w:left w:val="nil"/>
              <w:bottom w:val="nil"/>
              <w:right w:val="nil"/>
            </w:tcBorders>
            <w:shd w:val="clear" w:color="000000" w:fill="FFFFFF"/>
            <w:hideMark/>
          </w:tcPr>
          <w:p w14:paraId="19F4BDBC"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5400" w:type="dxa"/>
            <w:gridSpan w:val="4"/>
            <w:tcBorders>
              <w:top w:val="nil"/>
              <w:left w:val="nil"/>
              <w:bottom w:val="nil"/>
              <w:right w:val="nil"/>
            </w:tcBorders>
            <w:shd w:val="clear" w:color="000000" w:fill="FFFFFF"/>
            <w:vAlign w:val="center"/>
            <w:hideMark/>
          </w:tcPr>
          <w:p w14:paraId="5D1F9343"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2020</w:t>
            </w:r>
          </w:p>
        </w:tc>
      </w:tr>
      <w:tr w:rsidR="00E83EFB" w:rsidRPr="00E83EFB" w14:paraId="107F9337" w14:textId="77777777" w:rsidTr="00E83EFB">
        <w:trPr>
          <w:trHeight w:val="199"/>
          <w:jc w:val="center"/>
        </w:trPr>
        <w:tc>
          <w:tcPr>
            <w:tcW w:w="1340" w:type="dxa"/>
            <w:gridSpan w:val="3"/>
            <w:tcBorders>
              <w:top w:val="nil"/>
              <w:left w:val="nil"/>
              <w:bottom w:val="nil"/>
              <w:right w:val="nil"/>
            </w:tcBorders>
            <w:shd w:val="clear" w:color="000000" w:fill="FFFFFF"/>
            <w:vAlign w:val="center"/>
            <w:hideMark/>
          </w:tcPr>
          <w:p w14:paraId="73CD0706"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PERíODO</w:t>
            </w:r>
          </w:p>
        </w:tc>
        <w:tc>
          <w:tcPr>
            <w:tcW w:w="40" w:type="dxa"/>
            <w:tcBorders>
              <w:top w:val="nil"/>
              <w:left w:val="nil"/>
              <w:bottom w:val="nil"/>
              <w:right w:val="nil"/>
            </w:tcBorders>
            <w:shd w:val="clear" w:color="000000" w:fill="FFFFFF"/>
            <w:hideMark/>
          </w:tcPr>
          <w:p w14:paraId="1B9373DB"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5400" w:type="dxa"/>
            <w:gridSpan w:val="4"/>
            <w:tcBorders>
              <w:top w:val="nil"/>
              <w:left w:val="nil"/>
              <w:bottom w:val="nil"/>
              <w:right w:val="nil"/>
            </w:tcBorders>
            <w:shd w:val="clear" w:color="000000" w:fill="FFFFFF"/>
            <w:vAlign w:val="center"/>
            <w:hideMark/>
          </w:tcPr>
          <w:p w14:paraId="02D06A02"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QUARTO TRIMESTRE (Encerrado) (Fechado)</w:t>
            </w:r>
          </w:p>
        </w:tc>
      </w:tr>
      <w:tr w:rsidR="00E83EFB" w:rsidRPr="00E83EFB" w14:paraId="45607C59" w14:textId="77777777" w:rsidTr="00E83EFB">
        <w:trPr>
          <w:trHeight w:val="199"/>
          <w:jc w:val="center"/>
        </w:trPr>
        <w:tc>
          <w:tcPr>
            <w:tcW w:w="1340" w:type="dxa"/>
            <w:gridSpan w:val="3"/>
            <w:tcBorders>
              <w:top w:val="nil"/>
              <w:left w:val="nil"/>
              <w:bottom w:val="nil"/>
              <w:right w:val="nil"/>
            </w:tcBorders>
            <w:shd w:val="clear" w:color="000000" w:fill="FFFFFF"/>
            <w:vAlign w:val="center"/>
            <w:hideMark/>
          </w:tcPr>
          <w:p w14:paraId="093F5936"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EMISSÃO</w:t>
            </w:r>
          </w:p>
        </w:tc>
        <w:tc>
          <w:tcPr>
            <w:tcW w:w="40" w:type="dxa"/>
            <w:tcBorders>
              <w:top w:val="nil"/>
              <w:left w:val="nil"/>
              <w:bottom w:val="nil"/>
              <w:right w:val="nil"/>
            </w:tcBorders>
            <w:shd w:val="clear" w:color="000000" w:fill="FFFFFF"/>
            <w:hideMark/>
          </w:tcPr>
          <w:p w14:paraId="5E4E27E2"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c>
          <w:tcPr>
            <w:tcW w:w="5400" w:type="dxa"/>
            <w:gridSpan w:val="4"/>
            <w:tcBorders>
              <w:top w:val="nil"/>
              <w:left w:val="nil"/>
              <w:bottom w:val="nil"/>
              <w:right w:val="nil"/>
            </w:tcBorders>
            <w:shd w:val="clear" w:color="000000" w:fill="FFFFFF"/>
            <w:vAlign w:val="center"/>
            <w:hideMark/>
          </w:tcPr>
          <w:p w14:paraId="775CFCF0"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20/01/2021</w:t>
            </w:r>
          </w:p>
        </w:tc>
      </w:tr>
      <w:tr w:rsidR="00E83EFB" w:rsidRPr="00E83EFB" w14:paraId="0D60888B" w14:textId="77777777" w:rsidTr="00E83EFB">
        <w:trPr>
          <w:trHeight w:val="199"/>
          <w:jc w:val="center"/>
        </w:trPr>
        <w:tc>
          <w:tcPr>
            <w:tcW w:w="6780" w:type="dxa"/>
            <w:gridSpan w:val="8"/>
            <w:tcBorders>
              <w:top w:val="nil"/>
              <w:left w:val="nil"/>
              <w:bottom w:val="nil"/>
              <w:right w:val="nil"/>
            </w:tcBorders>
            <w:shd w:val="clear" w:color="000000" w:fill="FFFFFF"/>
            <w:vAlign w:val="center"/>
            <w:hideMark/>
          </w:tcPr>
          <w:p w14:paraId="218F313C"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VALORES EM UNIDADES DE REAL</w:t>
            </w:r>
          </w:p>
        </w:tc>
      </w:tr>
      <w:tr w:rsidR="00E83EFB" w:rsidRPr="00E83EFB" w14:paraId="2BBA0ADB" w14:textId="77777777" w:rsidTr="00E83EFB">
        <w:trPr>
          <w:trHeight w:val="199"/>
          <w:jc w:val="center"/>
        </w:trPr>
        <w:tc>
          <w:tcPr>
            <w:tcW w:w="6780" w:type="dxa"/>
            <w:gridSpan w:val="8"/>
            <w:tcBorders>
              <w:top w:val="nil"/>
              <w:left w:val="nil"/>
              <w:bottom w:val="nil"/>
              <w:right w:val="nil"/>
            </w:tcBorders>
            <w:shd w:val="clear" w:color="000000" w:fill="FFFFFF"/>
            <w:hideMark/>
          </w:tcPr>
          <w:p w14:paraId="4B62E362"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r>
      <w:tr w:rsidR="00E83EFB" w:rsidRPr="00E83EFB" w14:paraId="3E35ADC3" w14:textId="77777777" w:rsidTr="00E83EFB">
        <w:trPr>
          <w:trHeight w:val="276"/>
          <w:jc w:val="center"/>
        </w:trPr>
        <w:tc>
          <w:tcPr>
            <w:tcW w:w="3440"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3F4EC0" w14:textId="77777777" w:rsidR="00E83EFB" w:rsidRPr="00E83EFB" w:rsidRDefault="00E83EFB" w:rsidP="00E83EFB">
            <w:pPr>
              <w:widowControl/>
              <w:suppressAutoHyphens w:val="0"/>
              <w:autoSpaceDN/>
              <w:jc w:val="center"/>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w:t>
            </w:r>
          </w:p>
        </w:tc>
        <w:tc>
          <w:tcPr>
            <w:tcW w:w="30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6BCD166" w14:textId="77777777" w:rsidR="00E83EFB" w:rsidRPr="00E83EFB" w:rsidRDefault="00E83EFB" w:rsidP="00E83EFB">
            <w:pPr>
              <w:widowControl/>
              <w:suppressAutoHyphens w:val="0"/>
              <w:autoSpaceDN/>
              <w:jc w:val="center"/>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N.E.</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4BA11FD" w14:textId="77777777" w:rsidR="00E83EFB" w:rsidRPr="00E83EFB" w:rsidRDefault="00E83EFB" w:rsidP="00E83EF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2020</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151123F" w14:textId="77777777" w:rsidR="00E83EFB" w:rsidRPr="00E83EFB" w:rsidRDefault="00E83EFB" w:rsidP="00E83EF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2019</w:t>
            </w:r>
          </w:p>
        </w:tc>
      </w:tr>
      <w:tr w:rsidR="00E83EFB" w:rsidRPr="00E83EFB" w14:paraId="3E1E95ED" w14:textId="77777777" w:rsidTr="00E83EFB">
        <w:trPr>
          <w:trHeight w:val="276"/>
          <w:jc w:val="center"/>
        </w:trPr>
        <w:tc>
          <w:tcPr>
            <w:tcW w:w="3440" w:type="dxa"/>
            <w:gridSpan w:val="5"/>
            <w:vMerge/>
            <w:tcBorders>
              <w:top w:val="single" w:sz="4" w:space="0" w:color="000000"/>
              <w:left w:val="single" w:sz="4" w:space="0" w:color="000000"/>
              <w:bottom w:val="single" w:sz="4" w:space="0" w:color="000000"/>
              <w:right w:val="single" w:sz="4" w:space="0" w:color="000000"/>
            </w:tcBorders>
            <w:vAlign w:val="center"/>
            <w:hideMark/>
          </w:tcPr>
          <w:p w14:paraId="2C57F87E"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5E4CDC5"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p>
        </w:tc>
        <w:tc>
          <w:tcPr>
            <w:tcW w:w="1480" w:type="dxa"/>
            <w:vMerge/>
            <w:tcBorders>
              <w:top w:val="single" w:sz="4" w:space="0" w:color="000000"/>
              <w:left w:val="single" w:sz="4" w:space="0" w:color="000000"/>
              <w:bottom w:val="single" w:sz="4" w:space="0" w:color="000000"/>
              <w:right w:val="single" w:sz="4" w:space="0" w:color="000000"/>
            </w:tcBorders>
            <w:vAlign w:val="center"/>
            <w:hideMark/>
          </w:tcPr>
          <w:p w14:paraId="75B6C9CB"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06858AD"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p>
        </w:tc>
      </w:tr>
      <w:tr w:rsidR="00E83EFB" w:rsidRPr="00E83EFB" w14:paraId="5F69B7D8" w14:textId="77777777" w:rsidTr="00E83EFB">
        <w:trPr>
          <w:trHeight w:val="199"/>
          <w:jc w:val="center"/>
        </w:trPr>
        <w:tc>
          <w:tcPr>
            <w:tcW w:w="3440" w:type="dxa"/>
            <w:gridSpan w:val="5"/>
            <w:tcBorders>
              <w:top w:val="single" w:sz="4" w:space="0" w:color="000000"/>
              <w:left w:val="single" w:sz="4" w:space="0" w:color="000000"/>
              <w:bottom w:val="single" w:sz="4" w:space="0" w:color="000000"/>
              <w:right w:val="single" w:sz="4" w:space="0" w:color="000000"/>
            </w:tcBorders>
            <w:shd w:val="clear" w:color="000000" w:fill="FFFFFF"/>
            <w:hideMark/>
          </w:tcPr>
          <w:p w14:paraId="366A7DF7"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FLUXOS DE CAIXA DAS ATIVIDADES OPER</w:t>
            </w:r>
            <w:r w:rsidRPr="00E83EFB">
              <w:rPr>
                <w:rFonts w:ascii="Arial" w:eastAsia="Times New Roman" w:hAnsi="Arial" w:cs="Arial"/>
                <w:b/>
                <w:bCs/>
                <w:color w:val="000000"/>
                <w:kern w:val="0"/>
                <w:sz w:val="14"/>
                <w:szCs w:val="14"/>
                <w:lang w:eastAsia="pt-BR" w:bidi="ar-SA"/>
              </w:rPr>
              <w:t>A</w:t>
            </w:r>
            <w:r w:rsidRPr="00E83EFB">
              <w:rPr>
                <w:rFonts w:ascii="Arial" w:eastAsia="Times New Roman" w:hAnsi="Arial" w:cs="Arial"/>
                <w:b/>
                <w:bCs/>
                <w:color w:val="000000"/>
                <w:kern w:val="0"/>
                <w:sz w:val="14"/>
                <w:szCs w:val="14"/>
                <w:lang w:eastAsia="pt-BR" w:bidi="ar-SA"/>
              </w:rPr>
              <w:t>CIONAIS</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E6F3EEE"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p>
        </w:tc>
        <w:tc>
          <w:tcPr>
            <w:tcW w:w="1480" w:type="dxa"/>
            <w:tcBorders>
              <w:top w:val="nil"/>
              <w:left w:val="nil"/>
              <w:bottom w:val="single" w:sz="4" w:space="0" w:color="000000"/>
              <w:right w:val="single" w:sz="4" w:space="0" w:color="000000"/>
            </w:tcBorders>
            <w:shd w:val="clear" w:color="000000" w:fill="FFFFFF"/>
            <w:hideMark/>
          </w:tcPr>
          <w:p w14:paraId="7CCDEDE6"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6.230.049.505,53</w:t>
            </w:r>
          </w:p>
        </w:tc>
        <w:tc>
          <w:tcPr>
            <w:tcW w:w="1560" w:type="dxa"/>
            <w:tcBorders>
              <w:top w:val="nil"/>
              <w:left w:val="nil"/>
              <w:bottom w:val="single" w:sz="4" w:space="0" w:color="000000"/>
              <w:right w:val="single" w:sz="4" w:space="0" w:color="000000"/>
            </w:tcBorders>
            <w:shd w:val="clear" w:color="000000" w:fill="FFFFFF"/>
            <w:hideMark/>
          </w:tcPr>
          <w:p w14:paraId="032C8EAA"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18.990.813.209,84</w:t>
            </w:r>
          </w:p>
        </w:tc>
      </w:tr>
      <w:tr w:rsidR="00E83EFB" w:rsidRPr="00E83EFB" w14:paraId="443A3806" w14:textId="77777777" w:rsidTr="00E83EFB">
        <w:trPr>
          <w:trHeight w:val="199"/>
          <w:jc w:val="center"/>
        </w:trPr>
        <w:tc>
          <w:tcPr>
            <w:tcW w:w="3440" w:type="dxa"/>
            <w:gridSpan w:val="5"/>
            <w:tcBorders>
              <w:top w:val="single" w:sz="4" w:space="0" w:color="000000"/>
              <w:left w:val="single" w:sz="4" w:space="0" w:color="000000"/>
              <w:bottom w:val="nil"/>
              <w:right w:val="single" w:sz="4" w:space="0" w:color="000000"/>
            </w:tcBorders>
            <w:shd w:val="clear" w:color="000000" w:fill="FFFFFF"/>
            <w:hideMark/>
          </w:tcPr>
          <w:p w14:paraId="75BEBA20"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lastRenderedPageBreak/>
              <w:t xml:space="preserve">    INGRESSOS</w:t>
            </w:r>
          </w:p>
        </w:tc>
        <w:tc>
          <w:tcPr>
            <w:tcW w:w="300" w:type="dxa"/>
            <w:tcBorders>
              <w:top w:val="nil"/>
              <w:left w:val="nil"/>
              <w:bottom w:val="nil"/>
              <w:right w:val="single" w:sz="4" w:space="0" w:color="000000"/>
            </w:tcBorders>
            <w:shd w:val="clear" w:color="000000" w:fill="FFFFFF"/>
            <w:hideMark/>
          </w:tcPr>
          <w:p w14:paraId="30F75A9B" w14:textId="77777777" w:rsidR="00E83EFB" w:rsidRPr="00E83EFB" w:rsidRDefault="00E83EFB" w:rsidP="00E83EF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23</w:t>
            </w:r>
          </w:p>
        </w:tc>
        <w:tc>
          <w:tcPr>
            <w:tcW w:w="1480" w:type="dxa"/>
            <w:tcBorders>
              <w:top w:val="nil"/>
              <w:left w:val="nil"/>
              <w:bottom w:val="nil"/>
              <w:right w:val="single" w:sz="4" w:space="0" w:color="000000"/>
            </w:tcBorders>
            <w:shd w:val="clear" w:color="000000" w:fill="FFFFFF"/>
            <w:hideMark/>
          </w:tcPr>
          <w:p w14:paraId="1C5BC540"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71.209.608.171,69</w:t>
            </w:r>
          </w:p>
        </w:tc>
        <w:tc>
          <w:tcPr>
            <w:tcW w:w="1560" w:type="dxa"/>
            <w:tcBorders>
              <w:top w:val="nil"/>
              <w:left w:val="nil"/>
              <w:bottom w:val="nil"/>
              <w:right w:val="single" w:sz="4" w:space="0" w:color="000000"/>
            </w:tcBorders>
            <w:shd w:val="clear" w:color="000000" w:fill="FFFFFF"/>
            <w:hideMark/>
          </w:tcPr>
          <w:p w14:paraId="07AAF308"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72.810.715.788,94</w:t>
            </w:r>
          </w:p>
        </w:tc>
      </w:tr>
      <w:tr w:rsidR="00E83EFB" w:rsidRPr="00E83EFB" w14:paraId="23E10D86"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88407EA"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Receita Tributária</w:t>
            </w:r>
          </w:p>
        </w:tc>
        <w:tc>
          <w:tcPr>
            <w:tcW w:w="300" w:type="dxa"/>
            <w:tcBorders>
              <w:top w:val="nil"/>
              <w:left w:val="nil"/>
              <w:bottom w:val="nil"/>
              <w:right w:val="single" w:sz="4" w:space="0" w:color="000000"/>
            </w:tcBorders>
            <w:shd w:val="clear" w:color="000000" w:fill="FFFFFF"/>
            <w:hideMark/>
          </w:tcPr>
          <w:p w14:paraId="4C30454B"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2DF2B4E"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768D401A"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1F46672F"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BD08CB3"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Receita de Contribuições</w:t>
            </w:r>
          </w:p>
        </w:tc>
        <w:tc>
          <w:tcPr>
            <w:tcW w:w="300" w:type="dxa"/>
            <w:tcBorders>
              <w:top w:val="nil"/>
              <w:left w:val="nil"/>
              <w:bottom w:val="nil"/>
              <w:right w:val="single" w:sz="4" w:space="0" w:color="000000"/>
            </w:tcBorders>
            <w:shd w:val="clear" w:color="000000" w:fill="FFFFFF"/>
            <w:hideMark/>
          </w:tcPr>
          <w:p w14:paraId="5AB25949"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7183072"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4607409B"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12D49050"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6AF126A0"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Receita Patrimonial</w:t>
            </w:r>
          </w:p>
        </w:tc>
        <w:tc>
          <w:tcPr>
            <w:tcW w:w="300" w:type="dxa"/>
            <w:tcBorders>
              <w:top w:val="nil"/>
              <w:left w:val="nil"/>
              <w:bottom w:val="nil"/>
              <w:right w:val="single" w:sz="4" w:space="0" w:color="000000"/>
            </w:tcBorders>
            <w:shd w:val="clear" w:color="000000" w:fill="FFFFFF"/>
            <w:hideMark/>
          </w:tcPr>
          <w:p w14:paraId="4063BCF0"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D5423EB"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296.820.428,49</w:t>
            </w:r>
          </w:p>
        </w:tc>
        <w:tc>
          <w:tcPr>
            <w:tcW w:w="1560" w:type="dxa"/>
            <w:tcBorders>
              <w:top w:val="nil"/>
              <w:left w:val="nil"/>
              <w:bottom w:val="nil"/>
              <w:right w:val="single" w:sz="4" w:space="0" w:color="000000"/>
            </w:tcBorders>
            <w:shd w:val="clear" w:color="000000" w:fill="FFFFFF"/>
            <w:hideMark/>
          </w:tcPr>
          <w:p w14:paraId="2FF2DB51"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290.285.901,23</w:t>
            </w:r>
          </w:p>
        </w:tc>
      </w:tr>
      <w:tr w:rsidR="00E83EFB" w:rsidRPr="00E83EFB" w14:paraId="313446CC"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7FB11763"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Receita Agropecuária</w:t>
            </w:r>
          </w:p>
        </w:tc>
        <w:tc>
          <w:tcPr>
            <w:tcW w:w="300" w:type="dxa"/>
            <w:tcBorders>
              <w:top w:val="nil"/>
              <w:left w:val="nil"/>
              <w:bottom w:val="nil"/>
              <w:right w:val="single" w:sz="4" w:space="0" w:color="000000"/>
            </w:tcBorders>
            <w:shd w:val="clear" w:color="000000" w:fill="FFFFFF"/>
            <w:hideMark/>
          </w:tcPr>
          <w:p w14:paraId="47DB385C"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00E03F4"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29.214,50</w:t>
            </w:r>
          </w:p>
        </w:tc>
        <w:tc>
          <w:tcPr>
            <w:tcW w:w="1560" w:type="dxa"/>
            <w:tcBorders>
              <w:top w:val="nil"/>
              <w:left w:val="nil"/>
              <w:bottom w:val="nil"/>
              <w:right w:val="single" w:sz="4" w:space="0" w:color="000000"/>
            </w:tcBorders>
            <w:shd w:val="clear" w:color="000000" w:fill="FFFFFF"/>
            <w:hideMark/>
          </w:tcPr>
          <w:p w14:paraId="74BA7C02"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54.907,00</w:t>
            </w:r>
          </w:p>
        </w:tc>
      </w:tr>
      <w:tr w:rsidR="00E83EFB" w:rsidRPr="00E83EFB" w14:paraId="51DAA980"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3D8CD381"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Receita Industrial</w:t>
            </w:r>
          </w:p>
        </w:tc>
        <w:tc>
          <w:tcPr>
            <w:tcW w:w="300" w:type="dxa"/>
            <w:tcBorders>
              <w:top w:val="nil"/>
              <w:left w:val="nil"/>
              <w:bottom w:val="nil"/>
              <w:right w:val="single" w:sz="4" w:space="0" w:color="000000"/>
            </w:tcBorders>
            <w:shd w:val="clear" w:color="000000" w:fill="FFFFFF"/>
            <w:hideMark/>
          </w:tcPr>
          <w:p w14:paraId="5E9ADC12"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5F98111"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7FD963E8"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4.113,00</w:t>
            </w:r>
          </w:p>
        </w:tc>
      </w:tr>
      <w:tr w:rsidR="00E83EFB" w:rsidRPr="00E83EFB" w14:paraId="5794CBB4"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4CA574D5"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Receita de Serviços</w:t>
            </w:r>
          </w:p>
        </w:tc>
        <w:tc>
          <w:tcPr>
            <w:tcW w:w="300" w:type="dxa"/>
            <w:tcBorders>
              <w:top w:val="nil"/>
              <w:left w:val="nil"/>
              <w:bottom w:val="nil"/>
              <w:right w:val="single" w:sz="4" w:space="0" w:color="000000"/>
            </w:tcBorders>
            <w:shd w:val="clear" w:color="000000" w:fill="FFFFFF"/>
            <w:hideMark/>
          </w:tcPr>
          <w:p w14:paraId="027FE759"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FDAFE3F"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423.742.857,04</w:t>
            </w:r>
          </w:p>
        </w:tc>
        <w:tc>
          <w:tcPr>
            <w:tcW w:w="1560" w:type="dxa"/>
            <w:tcBorders>
              <w:top w:val="nil"/>
              <w:left w:val="nil"/>
              <w:bottom w:val="nil"/>
              <w:right w:val="single" w:sz="4" w:space="0" w:color="000000"/>
            </w:tcBorders>
            <w:shd w:val="clear" w:color="000000" w:fill="FFFFFF"/>
            <w:hideMark/>
          </w:tcPr>
          <w:p w14:paraId="0F58AA95"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502.536.459,75</w:t>
            </w:r>
          </w:p>
        </w:tc>
      </w:tr>
      <w:tr w:rsidR="00E83EFB" w:rsidRPr="00E83EFB" w14:paraId="0727170D"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2578D5D"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Remuneração das Disponibilidades</w:t>
            </w:r>
          </w:p>
        </w:tc>
        <w:tc>
          <w:tcPr>
            <w:tcW w:w="300" w:type="dxa"/>
            <w:tcBorders>
              <w:top w:val="nil"/>
              <w:left w:val="nil"/>
              <w:bottom w:val="nil"/>
              <w:right w:val="single" w:sz="4" w:space="0" w:color="000000"/>
            </w:tcBorders>
            <w:shd w:val="clear" w:color="000000" w:fill="FFFFFF"/>
            <w:hideMark/>
          </w:tcPr>
          <w:p w14:paraId="73D6DB82"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4B0094F"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577.993.151,44</w:t>
            </w:r>
          </w:p>
        </w:tc>
        <w:tc>
          <w:tcPr>
            <w:tcW w:w="1560" w:type="dxa"/>
            <w:tcBorders>
              <w:top w:val="nil"/>
              <w:left w:val="nil"/>
              <w:bottom w:val="nil"/>
              <w:right w:val="single" w:sz="4" w:space="0" w:color="000000"/>
            </w:tcBorders>
            <w:shd w:val="clear" w:color="000000" w:fill="FFFFFF"/>
            <w:hideMark/>
          </w:tcPr>
          <w:p w14:paraId="4061E8A7"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541.959.183,39</w:t>
            </w:r>
          </w:p>
        </w:tc>
      </w:tr>
      <w:tr w:rsidR="00E83EFB" w:rsidRPr="00E83EFB" w14:paraId="67178073"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1AC1309"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Outras Receitas Derivadas e Originárias</w:t>
            </w:r>
          </w:p>
        </w:tc>
        <w:tc>
          <w:tcPr>
            <w:tcW w:w="300" w:type="dxa"/>
            <w:tcBorders>
              <w:top w:val="nil"/>
              <w:left w:val="nil"/>
              <w:bottom w:val="nil"/>
              <w:right w:val="single" w:sz="4" w:space="0" w:color="000000"/>
            </w:tcBorders>
            <w:shd w:val="clear" w:color="000000" w:fill="FFFFFF"/>
            <w:hideMark/>
          </w:tcPr>
          <w:p w14:paraId="4162F46B"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C4796E7"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42.484.832,70</w:t>
            </w:r>
          </w:p>
        </w:tc>
        <w:tc>
          <w:tcPr>
            <w:tcW w:w="1560" w:type="dxa"/>
            <w:tcBorders>
              <w:top w:val="nil"/>
              <w:left w:val="nil"/>
              <w:bottom w:val="nil"/>
              <w:right w:val="single" w:sz="4" w:space="0" w:color="000000"/>
            </w:tcBorders>
            <w:shd w:val="clear" w:color="000000" w:fill="FFFFFF"/>
            <w:hideMark/>
          </w:tcPr>
          <w:p w14:paraId="3174C0DC"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22.395.745,20</w:t>
            </w:r>
          </w:p>
        </w:tc>
      </w:tr>
      <w:tr w:rsidR="00E83EFB" w:rsidRPr="00E83EFB" w14:paraId="5E7CBB25"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BA7B564"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Transferências Recebidas</w:t>
            </w:r>
          </w:p>
        </w:tc>
        <w:tc>
          <w:tcPr>
            <w:tcW w:w="300" w:type="dxa"/>
            <w:tcBorders>
              <w:top w:val="nil"/>
              <w:left w:val="nil"/>
              <w:bottom w:val="nil"/>
              <w:right w:val="single" w:sz="4" w:space="0" w:color="000000"/>
            </w:tcBorders>
            <w:shd w:val="clear" w:color="000000" w:fill="FFFFFF"/>
            <w:hideMark/>
          </w:tcPr>
          <w:p w14:paraId="3BE6693D"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1600D93"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269.857,20</w:t>
            </w:r>
          </w:p>
        </w:tc>
        <w:tc>
          <w:tcPr>
            <w:tcW w:w="1560" w:type="dxa"/>
            <w:tcBorders>
              <w:top w:val="nil"/>
              <w:left w:val="nil"/>
              <w:bottom w:val="nil"/>
              <w:right w:val="single" w:sz="4" w:space="0" w:color="000000"/>
            </w:tcBorders>
            <w:shd w:val="clear" w:color="000000" w:fill="FFFFFF"/>
            <w:hideMark/>
          </w:tcPr>
          <w:p w14:paraId="2CF56DA9"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258.738,85</w:t>
            </w:r>
          </w:p>
        </w:tc>
      </w:tr>
      <w:tr w:rsidR="00E83EFB" w:rsidRPr="00E83EFB" w14:paraId="0466263D"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7224509B"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Intergovernamentais</w:t>
            </w:r>
          </w:p>
        </w:tc>
        <w:tc>
          <w:tcPr>
            <w:tcW w:w="300" w:type="dxa"/>
            <w:tcBorders>
              <w:top w:val="nil"/>
              <w:left w:val="nil"/>
              <w:bottom w:val="nil"/>
              <w:right w:val="single" w:sz="4" w:space="0" w:color="000000"/>
            </w:tcBorders>
            <w:shd w:val="clear" w:color="000000" w:fill="FFFFFF"/>
            <w:hideMark/>
          </w:tcPr>
          <w:p w14:paraId="76354629"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4D19CD6"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87AA705"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0A76C886"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5DD5A735"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Dos Estados e/ou Distrito Federal</w:t>
            </w:r>
          </w:p>
        </w:tc>
        <w:tc>
          <w:tcPr>
            <w:tcW w:w="300" w:type="dxa"/>
            <w:tcBorders>
              <w:top w:val="nil"/>
              <w:left w:val="nil"/>
              <w:bottom w:val="nil"/>
              <w:right w:val="single" w:sz="4" w:space="0" w:color="000000"/>
            </w:tcBorders>
            <w:shd w:val="clear" w:color="000000" w:fill="FFFFFF"/>
            <w:hideMark/>
          </w:tcPr>
          <w:p w14:paraId="687C8D2B"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D40A090"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35C640C"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6E14A31E"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9F77DF2"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Dos Municípios</w:t>
            </w:r>
          </w:p>
        </w:tc>
        <w:tc>
          <w:tcPr>
            <w:tcW w:w="300" w:type="dxa"/>
            <w:tcBorders>
              <w:top w:val="nil"/>
              <w:left w:val="nil"/>
              <w:bottom w:val="nil"/>
              <w:right w:val="single" w:sz="4" w:space="0" w:color="000000"/>
            </w:tcBorders>
            <w:shd w:val="clear" w:color="000000" w:fill="FFFFFF"/>
            <w:hideMark/>
          </w:tcPr>
          <w:p w14:paraId="76A76867"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F5D402A"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77351C5"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129BE01E"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28C2AAB7"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Intragovernamentais</w:t>
            </w:r>
          </w:p>
        </w:tc>
        <w:tc>
          <w:tcPr>
            <w:tcW w:w="300" w:type="dxa"/>
            <w:tcBorders>
              <w:top w:val="nil"/>
              <w:left w:val="nil"/>
              <w:bottom w:val="nil"/>
              <w:right w:val="single" w:sz="4" w:space="0" w:color="000000"/>
            </w:tcBorders>
            <w:shd w:val="clear" w:color="000000" w:fill="FFFFFF"/>
            <w:hideMark/>
          </w:tcPr>
          <w:p w14:paraId="4F1BE8D9"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CC0B9C6"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8A3E52F"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79E83C2C"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0F1A08A"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Outras Transferências Recebidas</w:t>
            </w:r>
          </w:p>
        </w:tc>
        <w:tc>
          <w:tcPr>
            <w:tcW w:w="300" w:type="dxa"/>
            <w:tcBorders>
              <w:top w:val="nil"/>
              <w:left w:val="nil"/>
              <w:bottom w:val="nil"/>
              <w:right w:val="single" w:sz="4" w:space="0" w:color="000000"/>
            </w:tcBorders>
            <w:shd w:val="clear" w:color="000000" w:fill="FFFFFF"/>
            <w:hideMark/>
          </w:tcPr>
          <w:p w14:paraId="50A8861B"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C2D8795"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269.857,20</w:t>
            </w:r>
          </w:p>
        </w:tc>
        <w:tc>
          <w:tcPr>
            <w:tcW w:w="1560" w:type="dxa"/>
            <w:tcBorders>
              <w:top w:val="nil"/>
              <w:left w:val="nil"/>
              <w:bottom w:val="nil"/>
              <w:right w:val="single" w:sz="4" w:space="0" w:color="000000"/>
            </w:tcBorders>
            <w:shd w:val="clear" w:color="000000" w:fill="FFFFFF"/>
            <w:hideMark/>
          </w:tcPr>
          <w:p w14:paraId="29B75944"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258.738,85</w:t>
            </w:r>
          </w:p>
        </w:tc>
      </w:tr>
      <w:tr w:rsidR="00E83EFB" w:rsidRPr="00E83EFB" w14:paraId="252DC155"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5D596635"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Outros Ingressos Operacionais</w:t>
            </w:r>
          </w:p>
        </w:tc>
        <w:tc>
          <w:tcPr>
            <w:tcW w:w="300" w:type="dxa"/>
            <w:tcBorders>
              <w:top w:val="nil"/>
              <w:left w:val="nil"/>
              <w:bottom w:val="nil"/>
              <w:right w:val="single" w:sz="4" w:space="0" w:color="000000"/>
            </w:tcBorders>
            <w:shd w:val="clear" w:color="000000" w:fill="FFFFFF"/>
            <w:hideMark/>
          </w:tcPr>
          <w:p w14:paraId="49B2F3C4"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13E9159"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69.868.267.830,32</w:t>
            </w:r>
          </w:p>
        </w:tc>
        <w:tc>
          <w:tcPr>
            <w:tcW w:w="1560" w:type="dxa"/>
            <w:tcBorders>
              <w:top w:val="nil"/>
              <w:left w:val="nil"/>
              <w:bottom w:val="nil"/>
              <w:right w:val="single" w:sz="4" w:space="0" w:color="000000"/>
            </w:tcBorders>
            <w:shd w:val="clear" w:color="000000" w:fill="FFFFFF"/>
            <w:hideMark/>
          </w:tcPr>
          <w:p w14:paraId="085AF9CC"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71.453.220.740,52</w:t>
            </w:r>
          </w:p>
        </w:tc>
      </w:tr>
      <w:tr w:rsidR="00E83EFB" w:rsidRPr="00E83EFB" w14:paraId="399F5F74"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675E9286"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Ingressos Extraorçamentários</w:t>
            </w:r>
          </w:p>
        </w:tc>
        <w:tc>
          <w:tcPr>
            <w:tcW w:w="300" w:type="dxa"/>
            <w:tcBorders>
              <w:top w:val="nil"/>
              <w:left w:val="nil"/>
              <w:bottom w:val="nil"/>
              <w:right w:val="single" w:sz="4" w:space="0" w:color="000000"/>
            </w:tcBorders>
            <w:shd w:val="clear" w:color="000000" w:fill="FFFFFF"/>
            <w:hideMark/>
          </w:tcPr>
          <w:p w14:paraId="322804CF"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44D42C7"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7.578.426.428,77</w:t>
            </w:r>
          </w:p>
        </w:tc>
        <w:tc>
          <w:tcPr>
            <w:tcW w:w="1560" w:type="dxa"/>
            <w:tcBorders>
              <w:top w:val="nil"/>
              <w:left w:val="nil"/>
              <w:bottom w:val="nil"/>
              <w:right w:val="single" w:sz="4" w:space="0" w:color="000000"/>
            </w:tcBorders>
            <w:shd w:val="clear" w:color="000000" w:fill="FFFFFF"/>
            <w:hideMark/>
          </w:tcPr>
          <w:p w14:paraId="6307B45E"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7.370.251.317,94</w:t>
            </w:r>
          </w:p>
        </w:tc>
      </w:tr>
      <w:tr w:rsidR="00E83EFB" w:rsidRPr="00E83EFB" w14:paraId="4F9E7EE9"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321DAECC"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Restituições a Pagar</w:t>
            </w:r>
          </w:p>
        </w:tc>
        <w:tc>
          <w:tcPr>
            <w:tcW w:w="300" w:type="dxa"/>
            <w:tcBorders>
              <w:top w:val="nil"/>
              <w:left w:val="nil"/>
              <w:bottom w:val="nil"/>
              <w:right w:val="single" w:sz="4" w:space="0" w:color="000000"/>
            </w:tcBorders>
            <w:shd w:val="clear" w:color="000000" w:fill="FFFFFF"/>
            <w:hideMark/>
          </w:tcPr>
          <w:p w14:paraId="37C790CA"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E0A7690"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7.708.751,24</w:t>
            </w:r>
          </w:p>
        </w:tc>
        <w:tc>
          <w:tcPr>
            <w:tcW w:w="1560" w:type="dxa"/>
            <w:tcBorders>
              <w:top w:val="nil"/>
              <w:left w:val="nil"/>
              <w:bottom w:val="nil"/>
              <w:right w:val="single" w:sz="4" w:space="0" w:color="000000"/>
            </w:tcBorders>
            <w:shd w:val="clear" w:color="000000" w:fill="FFFFFF"/>
            <w:hideMark/>
          </w:tcPr>
          <w:p w14:paraId="727362B4"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r>
      <w:tr w:rsidR="00E83EFB" w:rsidRPr="00E83EFB" w14:paraId="693EEDEA"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E77A3AA"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Cancelamento de Obrigações do Exercício Anterior</w:t>
            </w:r>
          </w:p>
        </w:tc>
        <w:tc>
          <w:tcPr>
            <w:tcW w:w="300" w:type="dxa"/>
            <w:tcBorders>
              <w:top w:val="nil"/>
              <w:left w:val="nil"/>
              <w:bottom w:val="nil"/>
              <w:right w:val="single" w:sz="4" w:space="0" w:color="000000"/>
            </w:tcBorders>
            <w:shd w:val="clear" w:color="000000" w:fill="FFFFFF"/>
            <w:hideMark/>
          </w:tcPr>
          <w:p w14:paraId="1ECE5D44"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DDCCF7E"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5.882,92</w:t>
            </w:r>
          </w:p>
        </w:tc>
        <w:tc>
          <w:tcPr>
            <w:tcW w:w="1560" w:type="dxa"/>
            <w:tcBorders>
              <w:top w:val="nil"/>
              <w:left w:val="nil"/>
              <w:bottom w:val="nil"/>
              <w:right w:val="single" w:sz="4" w:space="0" w:color="000000"/>
            </w:tcBorders>
            <w:shd w:val="clear" w:color="000000" w:fill="FFFFFF"/>
            <w:hideMark/>
          </w:tcPr>
          <w:p w14:paraId="4B111427"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279,13</w:t>
            </w:r>
          </w:p>
        </w:tc>
      </w:tr>
      <w:tr w:rsidR="00E83EFB" w:rsidRPr="00E83EFB" w14:paraId="3586F2F6"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2E3A0A5E"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Transferências Financeiras Recebidas</w:t>
            </w:r>
          </w:p>
        </w:tc>
        <w:tc>
          <w:tcPr>
            <w:tcW w:w="300" w:type="dxa"/>
            <w:tcBorders>
              <w:top w:val="nil"/>
              <w:left w:val="nil"/>
              <w:bottom w:val="nil"/>
              <w:right w:val="single" w:sz="4" w:space="0" w:color="000000"/>
            </w:tcBorders>
            <w:shd w:val="clear" w:color="000000" w:fill="FFFFFF"/>
            <w:hideMark/>
          </w:tcPr>
          <w:p w14:paraId="03AC8242"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C0DC3BE"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62.009.664.897,72</w:t>
            </w:r>
          </w:p>
        </w:tc>
        <w:tc>
          <w:tcPr>
            <w:tcW w:w="1560" w:type="dxa"/>
            <w:tcBorders>
              <w:top w:val="nil"/>
              <w:left w:val="nil"/>
              <w:bottom w:val="nil"/>
              <w:right w:val="single" w:sz="4" w:space="0" w:color="000000"/>
            </w:tcBorders>
            <w:shd w:val="clear" w:color="000000" w:fill="FFFFFF"/>
            <w:hideMark/>
          </w:tcPr>
          <w:p w14:paraId="071B187C"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63.766.144.812,64</w:t>
            </w:r>
          </w:p>
        </w:tc>
      </w:tr>
      <w:tr w:rsidR="00E83EFB" w:rsidRPr="00E83EFB" w14:paraId="40808AFE"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15239DC3"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Arrecadação de Outra Unidade</w:t>
            </w:r>
          </w:p>
        </w:tc>
        <w:tc>
          <w:tcPr>
            <w:tcW w:w="300" w:type="dxa"/>
            <w:tcBorders>
              <w:top w:val="nil"/>
              <w:left w:val="nil"/>
              <w:bottom w:val="nil"/>
              <w:right w:val="single" w:sz="4" w:space="0" w:color="000000"/>
            </w:tcBorders>
            <w:shd w:val="clear" w:color="000000" w:fill="FFFFFF"/>
            <w:hideMark/>
          </w:tcPr>
          <w:p w14:paraId="126805E1"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BB63984"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244.965.092,45</w:t>
            </w:r>
          </w:p>
        </w:tc>
        <w:tc>
          <w:tcPr>
            <w:tcW w:w="1560" w:type="dxa"/>
            <w:tcBorders>
              <w:top w:val="nil"/>
              <w:left w:val="nil"/>
              <w:bottom w:val="nil"/>
              <w:right w:val="single" w:sz="4" w:space="0" w:color="000000"/>
            </w:tcBorders>
            <w:shd w:val="clear" w:color="000000" w:fill="FFFFFF"/>
            <w:hideMark/>
          </w:tcPr>
          <w:p w14:paraId="58C9604F"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315.732.726,47</w:t>
            </w:r>
          </w:p>
        </w:tc>
      </w:tr>
      <w:tr w:rsidR="00E83EFB" w:rsidRPr="00E83EFB" w14:paraId="58C3C5AF"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1E611961"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Valores para Compensação</w:t>
            </w:r>
          </w:p>
        </w:tc>
        <w:tc>
          <w:tcPr>
            <w:tcW w:w="300" w:type="dxa"/>
            <w:tcBorders>
              <w:top w:val="nil"/>
              <w:left w:val="nil"/>
              <w:bottom w:val="nil"/>
              <w:right w:val="single" w:sz="4" w:space="0" w:color="000000"/>
            </w:tcBorders>
            <w:shd w:val="clear" w:color="000000" w:fill="FFFFFF"/>
            <w:hideMark/>
          </w:tcPr>
          <w:p w14:paraId="0E174F52"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F4AAF4B"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560" w:type="dxa"/>
            <w:tcBorders>
              <w:top w:val="nil"/>
              <w:left w:val="nil"/>
              <w:bottom w:val="nil"/>
              <w:right w:val="single" w:sz="4" w:space="0" w:color="000000"/>
            </w:tcBorders>
            <w:shd w:val="clear" w:color="000000" w:fill="FFFFFF"/>
            <w:hideMark/>
          </w:tcPr>
          <w:p w14:paraId="5F33940E"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309.282,34</w:t>
            </w:r>
          </w:p>
        </w:tc>
      </w:tr>
      <w:tr w:rsidR="00E83EFB" w:rsidRPr="00E83EFB" w14:paraId="7DACB6DA"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6983BA4A"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Valores em Trânsito</w:t>
            </w:r>
          </w:p>
        </w:tc>
        <w:tc>
          <w:tcPr>
            <w:tcW w:w="300" w:type="dxa"/>
            <w:tcBorders>
              <w:top w:val="nil"/>
              <w:left w:val="nil"/>
              <w:bottom w:val="nil"/>
              <w:right w:val="single" w:sz="4" w:space="0" w:color="000000"/>
            </w:tcBorders>
            <w:shd w:val="clear" w:color="000000" w:fill="FFFFFF"/>
            <w:hideMark/>
          </w:tcPr>
          <w:p w14:paraId="7D8EA26A"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3F9AE2C"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27.496.777,22</w:t>
            </w:r>
          </w:p>
        </w:tc>
        <w:tc>
          <w:tcPr>
            <w:tcW w:w="1560" w:type="dxa"/>
            <w:tcBorders>
              <w:top w:val="nil"/>
              <w:left w:val="nil"/>
              <w:bottom w:val="nil"/>
              <w:right w:val="single" w:sz="4" w:space="0" w:color="000000"/>
            </w:tcBorders>
            <w:shd w:val="clear" w:color="000000" w:fill="FFFFFF"/>
            <w:hideMark/>
          </w:tcPr>
          <w:p w14:paraId="7C9BBCF3"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782.322,00</w:t>
            </w:r>
          </w:p>
        </w:tc>
      </w:tr>
      <w:tr w:rsidR="00E83EFB" w:rsidRPr="00E83EFB" w14:paraId="3C28D7B0"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65EFBDB5"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DESEMBOLSOS</w:t>
            </w:r>
          </w:p>
        </w:tc>
        <w:tc>
          <w:tcPr>
            <w:tcW w:w="300" w:type="dxa"/>
            <w:tcBorders>
              <w:top w:val="nil"/>
              <w:left w:val="nil"/>
              <w:bottom w:val="nil"/>
              <w:right w:val="single" w:sz="4" w:space="0" w:color="000000"/>
            </w:tcBorders>
            <w:shd w:val="clear" w:color="000000" w:fill="FFFFFF"/>
            <w:hideMark/>
          </w:tcPr>
          <w:p w14:paraId="394DB3FA"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4FE54E2"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-64.979.558.666,16</w:t>
            </w:r>
          </w:p>
        </w:tc>
        <w:tc>
          <w:tcPr>
            <w:tcW w:w="1560" w:type="dxa"/>
            <w:tcBorders>
              <w:top w:val="nil"/>
              <w:left w:val="nil"/>
              <w:bottom w:val="nil"/>
              <w:right w:val="single" w:sz="4" w:space="0" w:color="000000"/>
            </w:tcBorders>
            <w:shd w:val="clear" w:color="000000" w:fill="FFFFFF"/>
            <w:hideMark/>
          </w:tcPr>
          <w:p w14:paraId="5C0B64DA"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-53.819.902.579,10</w:t>
            </w:r>
          </w:p>
        </w:tc>
      </w:tr>
      <w:tr w:rsidR="00E83EFB" w:rsidRPr="00E83EFB" w14:paraId="447CCA19"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5E74246"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Pessoal e Demais Despesas</w:t>
            </w:r>
          </w:p>
        </w:tc>
        <w:tc>
          <w:tcPr>
            <w:tcW w:w="300" w:type="dxa"/>
            <w:tcBorders>
              <w:top w:val="nil"/>
              <w:left w:val="nil"/>
              <w:bottom w:val="nil"/>
              <w:right w:val="single" w:sz="4" w:space="0" w:color="000000"/>
            </w:tcBorders>
            <w:shd w:val="clear" w:color="000000" w:fill="FFFFFF"/>
            <w:hideMark/>
          </w:tcPr>
          <w:p w14:paraId="13E627E9"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F95DD1F"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-4.013.446.955,37</w:t>
            </w:r>
          </w:p>
        </w:tc>
        <w:tc>
          <w:tcPr>
            <w:tcW w:w="1560" w:type="dxa"/>
            <w:tcBorders>
              <w:top w:val="nil"/>
              <w:left w:val="nil"/>
              <w:bottom w:val="nil"/>
              <w:right w:val="single" w:sz="4" w:space="0" w:color="000000"/>
            </w:tcBorders>
            <w:shd w:val="clear" w:color="000000" w:fill="FFFFFF"/>
            <w:hideMark/>
          </w:tcPr>
          <w:p w14:paraId="3350F968"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-4.695.739.553,14</w:t>
            </w:r>
          </w:p>
        </w:tc>
      </w:tr>
      <w:tr w:rsidR="00E83EFB" w:rsidRPr="00E83EFB" w14:paraId="25FC1A22"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261E738"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Legislativo</w:t>
            </w:r>
          </w:p>
        </w:tc>
        <w:tc>
          <w:tcPr>
            <w:tcW w:w="300" w:type="dxa"/>
            <w:tcBorders>
              <w:top w:val="nil"/>
              <w:left w:val="nil"/>
              <w:bottom w:val="nil"/>
              <w:right w:val="single" w:sz="4" w:space="0" w:color="000000"/>
            </w:tcBorders>
            <w:shd w:val="clear" w:color="000000" w:fill="FFFFFF"/>
            <w:hideMark/>
          </w:tcPr>
          <w:p w14:paraId="00F0036C"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2C002EF"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6B3D33E0"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58F93F69"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53835CD9"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Judiciário</w:t>
            </w:r>
          </w:p>
        </w:tc>
        <w:tc>
          <w:tcPr>
            <w:tcW w:w="300" w:type="dxa"/>
            <w:tcBorders>
              <w:top w:val="nil"/>
              <w:left w:val="nil"/>
              <w:bottom w:val="nil"/>
              <w:right w:val="single" w:sz="4" w:space="0" w:color="000000"/>
            </w:tcBorders>
            <w:shd w:val="clear" w:color="000000" w:fill="FFFFFF"/>
            <w:hideMark/>
          </w:tcPr>
          <w:p w14:paraId="718DCA25"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790DB0F"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3B30C4C3"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158ED252"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6D027F6D"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Essencial à Justiça</w:t>
            </w:r>
          </w:p>
        </w:tc>
        <w:tc>
          <w:tcPr>
            <w:tcW w:w="300" w:type="dxa"/>
            <w:tcBorders>
              <w:top w:val="nil"/>
              <w:left w:val="nil"/>
              <w:bottom w:val="nil"/>
              <w:right w:val="single" w:sz="4" w:space="0" w:color="000000"/>
            </w:tcBorders>
            <w:shd w:val="clear" w:color="000000" w:fill="FFFFFF"/>
            <w:hideMark/>
          </w:tcPr>
          <w:p w14:paraId="13DF621A"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BC32954"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-30.626,32</w:t>
            </w:r>
          </w:p>
        </w:tc>
        <w:tc>
          <w:tcPr>
            <w:tcW w:w="1560" w:type="dxa"/>
            <w:tcBorders>
              <w:top w:val="nil"/>
              <w:left w:val="nil"/>
              <w:bottom w:val="nil"/>
              <w:right w:val="single" w:sz="4" w:space="0" w:color="000000"/>
            </w:tcBorders>
            <w:shd w:val="clear" w:color="000000" w:fill="FFFFFF"/>
            <w:hideMark/>
          </w:tcPr>
          <w:p w14:paraId="091569F7"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-356.198,06</w:t>
            </w:r>
          </w:p>
        </w:tc>
      </w:tr>
      <w:tr w:rsidR="00E83EFB" w:rsidRPr="00E83EFB" w14:paraId="08A03E6D"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23274000"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Administração</w:t>
            </w:r>
          </w:p>
        </w:tc>
        <w:tc>
          <w:tcPr>
            <w:tcW w:w="300" w:type="dxa"/>
            <w:tcBorders>
              <w:top w:val="nil"/>
              <w:left w:val="nil"/>
              <w:bottom w:val="nil"/>
              <w:right w:val="single" w:sz="4" w:space="0" w:color="000000"/>
            </w:tcBorders>
            <w:shd w:val="clear" w:color="000000" w:fill="FFFFFF"/>
            <w:hideMark/>
          </w:tcPr>
          <w:p w14:paraId="33CEF9EC"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65695DF"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-846.820.221,75</w:t>
            </w:r>
          </w:p>
        </w:tc>
        <w:tc>
          <w:tcPr>
            <w:tcW w:w="1560" w:type="dxa"/>
            <w:tcBorders>
              <w:top w:val="nil"/>
              <w:left w:val="nil"/>
              <w:bottom w:val="nil"/>
              <w:right w:val="single" w:sz="4" w:space="0" w:color="000000"/>
            </w:tcBorders>
            <w:shd w:val="clear" w:color="000000" w:fill="FFFFFF"/>
            <w:hideMark/>
          </w:tcPr>
          <w:p w14:paraId="62C05C42"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-903.101.859,27</w:t>
            </w:r>
          </w:p>
        </w:tc>
      </w:tr>
      <w:tr w:rsidR="00E83EFB" w:rsidRPr="00E83EFB" w14:paraId="3B4006EA"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6878509"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Defesa Nacional</w:t>
            </w:r>
          </w:p>
        </w:tc>
        <w:tc>
          <w:tcPr>
            <w:tcW w:w="300" w:type="dxa"/>
            <w:tcBorders>
              <w:top w:val="nil"/>
              <w:left w:val="nil"/>
              <w:bottom w:val="nil"/>
              <w:right w:val="single" w:sz="4" w:space="0" w:color="000000"/>
            </w:tcBorders>
            <w:shd w:val="clear" w:color="000000" w:fill="FFFFFF"/>
            <w:hideMark/>
          </w:tcPr>
          <w:p w14:paraId="18076EE8"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0367C71"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-470.254,54</w:t>
            </w:r>
          </w:p>
        </w:tc>
        <w:tc>
          <w:tcPr>
            <w:tcW w:w="1560" w:type="dxa"/>
            <w:tcBorders>
              <w:top w:val="nil"/>
              <w:left w:val="nil"/>
              <w:bottom w:val="nil"/>
              <w:right w:val="single" w:sz="4" w:space="0" w:color="000000"/>
            </w:tcBorders>
            <w:shd w:val="clear" w:color="000000" w:fill="FFFFFF"/>
            <w:hideMark/>
          </w:tcPr>
          <w:p w14:paraId="7550E3CC"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-685.874,11</w:t>
            </w:r>
          </w:p>
        </w:tc>
      </w:tr>
      <w:tr w:rsidR="00E83EFB" w:rsidRPr="00E83EFB" w14:paraId="5CB3CE6E"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225617F3"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Segurança Pública</w:t>
            </w:r>
          </w:p>
        </w:tc>
        <w:tc>
          <w:tcPr>
            <w:tcW w:w="300" w:type="dxa"/>
            <w:tcBorders>
              <w:top w:val="nil"/>
              <w:left w:val="nil"/>
              <w:bottom w:val="nil"/>
              <w:right w:val="single" w:sz="4" w:space="0" w:color="000000"/>
            </w:tcBorders>
            <w:shd w:val="clear" w:color="000000" w:fill="FFFFFF"/>
            <w:hideMark/>
          </w:tcPr>
          <w:p w14:paraId="5BE1900E"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7604D90"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-20.813.895,99</w:t>
            </w:r>
          </w:p>
        </w:tc>
        <w:tc>
          <w:tcPr>
            <w:tcW w:w="1560" w:type="dxa"/>
            <w:tcBorders>
              <w:top w:val="nil"/>
              <w:left w:val="nil"/>
              <w:bottom w:val="nil"/>
              <w:right w:val="single" w:sz="4" w:space="0" w:color="000000"/>
            </w:tcBorders>
            <w:shd w:val="clear" w:color="000000" w:fill="FFFFFF"/>
            <w:hideMark/>
          </w:tcPr>
          <w:p w14:paraId="448C7D68"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-26.471.588,92</w:t>
            </w:r>
          </w:p>
        </w:tc>
      </w:tr>
      <w:tr w:rsidR="00E83EFB" w:rsidRPr="00E83EFB" w14:paraId="55F522D1"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79032F05"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Relações Exteriores</w:t>
            </w:r>
          </w:p>
        </w:tc>
        <w:tc>
          <w:tcPr>
            <w:tcW w:w="300" w:type="dxa"/>
            <w:tcBorders>
              <w:top w:val="nil"/>
              <w:left w:val="nil"/>
              <w:bottom w:val="nil"/>
              <w:right w:val="single" w:sz="4" w:space="0" w:color="000000"/>
            </w:tcBorders>
            <w:shd w:val="clear" w:color="000000" w:fill="FFFFFF"/>
            <w:hideMark/>
          </w:tcPr>
          <w:p w14:paraId="0A2FC396"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56F1334"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71409731"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5ED74C82"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38459B0C"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Assistência Social</w:t>
            </w:r>
          </w:p>
        </w:tc>
        <w:tc>
          <w:tcPr>
            <w:tcW w:w="300" w:type="dxa"/>
            <w:tcBorders>
              <w:top w:val="nil"/>
              <w:left w:val="nil"/>
              <w:bottom w:val="nil"/>
              <w:right w:val="single" w:sz="4" w:space="0" w:color="000000"/>
            </w:tcBorders>
            <w:shd w:val="clear" w:color="000000" w:fill="FFFFFF"/>
            <w:hideMark/>
          </w:tcPr>
          <w:p w14:paraId="6159DD25"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F85C0B6"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-15.783,91</w:t>
            </w:r>
          </w:p>
        </w:tc>
        <w:tc>
          <w:tcPr>
            <w:tcW w:w="1560" w:type="dxa"/>
            <w:tcBorders>
              <w:top w:val="nil"/>
              <w:left w:val="nil"/>
              <w:bottom w:val="nil"/>
              <w:right w:val="single" w:sz="4" w:space="0" w:color="000000"/>
            </w:tcBorders>
            <w:shd w:val="clear" w:color="000000" w:fill="FFFFFF"/>
            <w:hideMark/>
          </w:tcPr>
          <w:p w14:paraId="593EF203"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6DBFDC78"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49EF4E4"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Previdência Social</w:t>
            </w:r>
          </w:p>
        </w:tc>
        <w:tc>
          <w:tcPr>
            <w:tcW w:w="300" w:type="dxa"/>
            <w:tcBorders>
              <w:top w:val="nil"/>
              <w:left w:val="nil"/>
              <w:bottom w:val="nil"/>
              <w:right w:val="single" w:sz="4" w:space="0" w:color="000000"/>
            </w:tcBorders>
            <w:shd w:val="clear" w:color="000000" w:fill="FFFFFF"/>
            <w:hideMark/>
          </w:tcPr>
          <w:p w14:paraId="61258440"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74F78A4"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-586.574.710,82</w:t>
            </w:r>
          </w:p>
        </w:tc>
        <w:tc>
          <w:tcPr>
            <w:tcW w:w="1560" w:type="dxa"/>
            <w:tcBorders>
              <w:top w:val="nil"/>
              <w:left w:val="nil"/>
              <w:bottom w:val="nil"/>
              <w:right w:val="single" w:sz="4" w:space="0" w:color="000000"/>
            </w:tcBorders>
            <w:shd w:val="clear" w:color="000000" w:fill="FFFFFF"/>
            <w:hideMark/>
          </w:tcPr>
          <w:p w14:paraId="3ED43346"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-579.152.615,09</w:t>
            </w:r>
          </w:p>
        </w:tc>
      </w:tr>
      <w:tr w:rsidR="00E83EFB" w:rsidRPr="00E83EFB" w14:paraId="226636ED"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7479D1D7"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Saúde</w:t>
            </w:r>
          </w:p>
        </w:tc>
        <w:tc>
          <w:tcPr>
            <w:tcW w:w="300" w:type="dxa"/>
            <w:tcBorders>
              <w:top w:val="nil"/>
              <w:left w:val="nil"/>
              <w:bottom w:val="nil"/>
              <w:right w:val="single" w:sz="4" w:space="0" w:color="000000"/>
            </w:tcBorders>
            <w:shd w:val="clear" w:color="000000" w:fill="FFFFFF"/>
            <w:hideMark/>
          </w:tcPr>
          <w:p w14:paraId="007414D4"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04FB5E7"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D020AD5"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-26.715,01</w:t>
            </w:r>
          </w:p>
        </w:tc>
      </w:tr>
      <w:tr w:rsidR="00E83EFB" w:rsidRPr="00E83EFB" w14:paraId="10E15013"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4655F03F"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Trabalho</w:t>
            </w:r>
          </w:p>
        </w:tc>
        <w:tc>
          <w:tcPr>
            <w:tcW w:w="300" w:type="dxa"/>
            <w:tcBorders>
              <w:top w:val="nil"/>
              <w:left w:val="nil"/>
              <w:bottom w:val="nil"/>
              <w:right w:val="single" w:sz="4" w:space="0" w:color="000000"/>
            </w:tcBorders>
            <w:shd w:val="clear" w:color="000000" w:fill="FFFFFF"/>
            <w:hideMark/>
          </w:tcPr>
          <w:p w14:paraId="69EE8C08"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F7F055D"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-83.837,15</w:t>
            </w:r>
          </w:p>
        </w:tc>
        <w:tc>
          <w:tcPr>
            <w:tcW w:w="1560" w:type="dxa"/>
            <w:tcBorders>
              <w:top w:val="nil"/>
              <w:left w:val="nil"/>
              <w:bottom w:val="nil"/>
              <w:right w:val="single" w:sz="4" w:space="0" w:color="000000"/>
            </w:tcBorders>
            <w:shd w:val="clear" w:color="000000" w:fill="FFFFFF"/>
            <w:hideMark/>
          </w:tcPr>
          <w:p w14:paraId="46FDC7A8"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-285.226,93</w:t>
            </w:r>
          </w:p>
        </w:tc>
      </w:tr>
      <w:tr w:rsidR="00E83EFB" w:rsidRPr="00E83EFB" w14:paraId="71103EB2"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2EC9ACCA"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Educação</w:t>
            </w:r>
          </w:p>
        </w:tc>
        <w:tc>
          <w:tcPr>
            <w:tcW w:w="300" w:type="dxa"/>
            <w:tcBorders>
              <w:top w:val="nil"/>
              <w:left w:val="nil"/>
              <w:bottom w:val="nil"/>
              <w:right w:val="single" w:sz="4" w:space="0" w:color="000000"/>
            </w:tcBorders>
            <w:shd w:val="clear" w:color="000000" w:fill="FFFFFF"/>
            <w:hideMark/>
          </w:tcPr>
          <w:p w14:paraId="09F68A97"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22F8817"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484ADE8"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-190.032,10</w:t>
            </w:r>
          </w:p>
        </w:tc>
      </w:tr>
      <w:tr w:rsidR="00E83EFB" w:rsidRPr="00E83EFB" w14:paraId="05A8845C"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17423352"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Cultura</w:t>
            </w:r>
          </w:p>
        </w:tc>
        <w:tc>
          <w:tcPr>
            <w:tcW w:w="300" w:type="dxa"/>
            <w:tcBorders>
              <w:top w:val="nil"/>
              <w:left w:val="nil"/>
              <w:bottom w:val="nil"/>
              <w:right w:val="single" w:sz="4" w:space="0" w:color="000000"/>
            </w:tcBorders>
            <w:shd w:val="clear" w:color="000000" w:fill="FFFFFF"/>
            <w:hideMark/>
          </w:tcPr>
          <w:p w14:paraId="61B77F9E"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7A7BE64"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593FF50B"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0B32ABBA"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2CEA7D56"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Direitos da Cidadania</w:t>
            </w:r>
          </w:p>
        </w:tc>
        <w:tc>
          <w:tcPr>
            <w:tcW w:w="300" w:type="dxa"/>
            <w:tcBorders>
              <w:top w:val="nil"/>
              <w:left w:val="nil"/>
              <w:bottom w:val="nil"/>
              <w:right w:val="single" w:sz="4" w:space="0" w:color="000000"/>
            </w:tcBorders>
            <w:shd w:val="clear" w:color="000000" w:fill="FFFFFF"/>
            <w:hideMark/>
          </w:tcPr>
          <w:p w14:paraId="3AD723C2"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A83A94F"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580321C0"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4C889BE6"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31F2C468"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Urbanismo</w:t>
            </w:r>
          </w:p>
        </w:tc>
        <w:tc>
          <w:tcPr>
            <w:tcW w:w="300" w:type="dxa"/>
            <w:tcBorders>
              <w:top w:val="nil"/>
              <w:left w:val="nil"/>
              <w:bottom w:val="nil"/>
              <w:right w:val="single" w:sz="4" w:space="0" w:color="000000"/>
            </w:tcBorders>
            <w:shd w:val="clear" w:color="000000" w:fill="FFFFFF"/>
            <w:hideMark/>
          </w:tcPr>
          <w:p w14:paraId="49658859"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72C8B82"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-1.047.061.702,81</w:t>
            </w:r>
          </w:p>
        </w:tc>
        <w:tc>
          <w:tcPr>
            <w:tcW w:w="1560" w:type="dxa"/>
            <w:tcBorders>
              <w:top w:val="nil"/>
              <w:left w:val="nil"/>
              <w:bottom w:val="nil"/>
              <w:right w:val="single" w:sz="4" w:space="0" w:color="000000"/>
            </w:tcBorders>
            <w:shd w:val="clear" w:color="000000" w:fill="FFFFFF"/>
            <w:hideMark/>
          </w:tcPr>
          <w:p w14:paraId="62F0D783"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-1.152.652.194,94</w:t>
            </w:r>
          </w:p>
        </w:tc>
      </w:tr>
      <w:tr w:rsidR="00E83EFB" w:rsidRPr="00E83EFB" w14:paraId="58351502"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2FD1A231"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Habitação</w:t>
            </w:r>
          </w:p>
        </w:tc>
        <w:tc>
          <w:tcPr>
            <w:tcW w:w="300" w:type="dxa"/>
            <w:tcBorders>
              <w:top w:val="nil"/>
              <w:left w:val="nil"/>
              <w:bottom w:val="nil"/>
              <w:right w:val="single" w:sz="4" w:space="0" w:color="000000"/>
            </w:tcBorders>
            <w:shd w:val="clear" w:color="000000" w:fill="FFFFFF"/>
            <w:hideMark/>
          </w:tcPr>
          <w:p w14:paraId="18481143"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FCAFA8E"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-84.624,00</w:t>
            </w:r>
          </w:p>
        </w:tc>
        <w:tc>
          <w:tcPr>
            <w:tcW w:w="1560" w:type="dxa"/>
            <w:tcBorders>
              <w:top w:val="nil"/>
              <w:left w:val="nil"/>
              <w:bottom w:val="nil"/>
              <w:right w:val="single" w:sz="4" w:space="0" w:color="000000"/>
            </w:tcBorders>
            <w:shd w:val="clear" w:color="000000" w:fill="FFFFFF"/>
            <w:hideMark/>
          </w:tcPr>
          <w:p w14:paraId="48FACA70"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-16.378.711,98</w:t>
            </w:r>
          </w:p>
        </w:tc>
      </w:tr>
      <w:tr w:rsidR="00E83EFB" w:rsidRPr="00E83EFB" w14:paraId="0867C968"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773E444"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Saneamento</w:t>
            </w:r>
          </w:p>
        </w:tc>
        <w:tc>
          <w:tcPr>
            <w:tcW w:w="300" w:type="dxa"/>
            <w:tcBorders>
              <w:top w:val="nil"/>
              <w:left w:val="nil"/>
              <w:bottom w:val="nil"/>
              <w:right w:val="single" w:sz="4" w:space="0" w:color="000000"/>
            </w:tcBorders>
            <w:shd w:val="clear" w:color="000000" w:fill="FFFFFF"/>
            <w:hideMark/>
          </w:tcPr>
          <w:p w14:paraId="0408C5D2"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F99B6D8"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7086718"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-32.616,46</w:t>
            </w:r>
          </w:p>
        </w:tc>
      </w:tr>
      <w:tr w:rsidR="00E83EFB" w:rsidRPr="00E83EFB" w14:paraId="3EF6C8B6"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10A64B6A"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Gestão Ambiental</w:t>
            </w:r>
          </w:p>
        </w:tc>
        <w:tc>
          <w:tcPr>
            <w:tcW w:w="300" w:type="dxa"/>
            <w:tcBorders>
              <w:top w:val="nil"/>
              <w:left w:val="nil"/>
              <w:bottom w:val="nil"/>
              <w:right w:val="single" w:sz="4" w:space="0" w:color="000000"/>
            </w:tcBorders>
            <w:shd w:val="clear" w:color="000000" w:fill="FFFFFF"/>
            <w:hideMark/>
          </w:tcPr>
          <w:p w14:paraId="56A7D090"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EF900D8"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-199.520.212,36</w:t>
            </w:r>
          </w:p>
        </w:tc>
        <w:tc>
          <w:tcPr>
            <w:tcW w:w="1560" w:type="dxa"/>
            <w:tcBorders>
              <w:top w:val="nil"/>
              <w:left w:val="nil"/>
              <w:bottom w:val="nil"/>
              <w:right w:val="single" w:sz="4" w:space="0" w:color="000000"/>
            </w:tcBorders>
            <w:shd w:val="clear" w:color="000000" w:fill="FFFFFF"/>
            <w:hideMark/>
          </w:tcPr>
          <w:p w14:paraId="31A26B2F"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-258.256.589,60</w:t>
            </w:r>
          </w:p>
        </w:tc>
      </w:tr>
      <w:tr w:rsidR="00E83EFB" w:rsidRPr="00E83EFB" w14:paraId="0C4BE6A7"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1C7EB168"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Ciência e Tecnologia</w:t>
            </w:r>
          </w:p>
        </w:tc>
        <w:tc>
          <w:tcPr>
            <w:tcW w:w="300" w:type="dxa"/>
            <w:tcBorders>
              <w:top w:val="nil"/>
              <w:left w:val="nil"/>
              <w:bottom w:val="nil"/>
              <w:right w:val="single" w:sz="4" w:space="0" w:color="000000"/>
            </w:tcBorders>
            <w:shd w:val="clear" w:color="000000" w:fill="FFFFFF"/>
            <w:hideMark/>
          </w:tcPr>
          <w:p w14:paraId="43689A9A"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EFFEC26"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-3.651.601,41</w:t>
            </w:r>
          </w:p>
        </w:tc>
        <w:tc>
          <w:tcPr>
            <w:tcW w:w="1560" w:type="dxa"/>
            <w:tcBorders>
              <w:top w:val="nil"/>
              <w:left w:val="nil"/>
              <w:bottom w:val="nil"/>
              <w:right w:val="single" w:sz="4" w:space="0" w:color="000000"/>
            </w:tcBorders>
            <w:shd w:val="clear" w:color="000000" w:fill="FFFFFF"/>
            <w:hideMark/>
          </w:tcPr>
          <w:p w14:paraId="5B133E5A"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-4.408.597,98</w:t>
            </w:r>
          </w:p>
        </w:tc>
      </w:tr>
      <w:tr w:rsidR="00E83EFB" w:rsidRPr="00E83EFB" w14:paraId="51970435"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56DC53FB"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Agricultura</w:t>
            </w:r>
          </w:p>
        </w:tc>
        <w:tc>
          <w:tcPr>
            <w:tcW w:w="300" w:type="dxa"/>
            <w:tcBorders>
              <w:top w:val="nil"/>
              <w:left w:val="nil"/>
              <w:bottom w:val="nil"/>
              <w:right w:val="single" w:sz="4" w:space="0" w:color="000000"/>
            </w:tcBorders>
            <w:shd w:val="clear" w:color="000000" w:fill="FFFFFF"/>
            <w:hideMark/>
          </w:tcPr>
          <w:p w14:paraId="5D8EB0AE"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61CDDA6"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-87.356.895,93</w:t>
            </w:r>
          </w:p>
        </w:tc>
        <w:tc>
          <w:tcPr>
            <w:tcW w:w="1560" w:type="dxa"/>
            <w:tcBorders>
              <w:top w:val="nil"/>
              <w:left w:val="nil"/>
              <w:bottom w:val="nil"/>
              <w:right w:val="single" w:sz="4" w:space="0" w:color="000000"/>
            </w:tcBorders>
            <w:shd w:val="clear" w:color="000000" w:fill="FFFFFF"/>
            <w:hideMark/>
          </w:tcPr>
          <w:p w14:paraId="5C700C5C"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-82.940.546,90</w:t>
            </w:r>
          </w:p>
        </w:tc>
      </w:tr>
      <w:tr w:rsidR="00E83EFB" w:rsidRPr="00E83EFB" w14:paraId="7682B9DB"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2989367A"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Organização Agrária</w:t>
            </w:r>
          </w:p>
        </w:tc>
        <w:tc>
          <w:tcPr>
            <w:tcW w:w="300" w:type="dxa"/>
            <w:tcBorders>
              <w:top w:val="nil"/>
              <w:left w:val="nil"/>
              <w:bottom w:val="nil"/>
              <w:right w:val="single" w:sz="4" w:space="0" w:color="000000"/>
            </w:tcBorders>
            <w:shd w:val="clear" w:color="000000" w:fill="FFFFFF"/>
            <w:hideMark/>
          </w:tcPr>
          <w:p w14:paraId="0FFBBC44"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7723D4B"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4A62FC1"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3B2FD8ED"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1020EFFC"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Indústria</w:t>
            </w:r>
          </w:p>
        </w:tc>
        <w:tc>
          <w:tcPr>
            <w:tcW w:w="300" w:type="dxa"/>
            <w:tcBorders>
              <w:top w:val="nil"/>
              <w:left w:val="nil"/>
              <w:bottom w:val="nil"/>
              <w:right w:val="single" w:sz="4" w:space="0" w:color="000000"/>
            </w:tcBorders>
            <w:shd w:val="clear" w:color="000000" w:fill="FFFFFF"/>
            <w:hideMark/>
          </w:tcPr>
          <w:p w14:paraId="5AA35FE6"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8A2F417"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E7AE1A9"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-331.794,20</w:t>
            </w:r>
          </w:p>
        </w:tc>
      </w:tr>
      <w:tr w:rsidR="00E83EFB" w:rsidRPr="00E83EFB" w14:paraId="753D7F29"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35A1CF58"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Comércio e Serviços</w:t>
            </w:r>
          </w:p>
        </w:tc>
        <w:tc>
          <w:tcPr>
            <w:tcW w:w="300" w:type="dxa"/>
            <w:tcBorders>
              <w:top w:val="nil"/>
              <w:left w:val="nil"/>
              <w:bottom w:val="nil"/>
              <w:right w:val="single" w:sz="4" w:space="0" w:color="000000"/>
            </w:tcBorders>
            <w:shd w:val="clear" w:color="000000" w:fill="FFFFFF"/>
            <w:hideMark/>
          </w:tcPr>
          <w:p w14:paraId="1B9C353E"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2B34FEF"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440E5772"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3D8A612D"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5344446D"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Comunicações</w:t>
            </w:r>
          </w:p>
        </w:tc>
        <w:tc>
          <w:tcPr>
            <w:tcW w:w="300" w:type="dxa"/>
            <w:tcBorders>
              <w:top w:val="nil"/>
              <w:left w:val="nil"/>
              <w:bottom w:val="nil"/>
              <w:right w:val="single" w:sz="4" w:space="0" w:color="000000"/>
            </w:tcBorders>
            <w:shd w:val="clear" w:color="000000" w:fill="FFFFFF"/>
            <w:hideMark/>
          </w:tcPr>
          <w:p w14:paraId="7D01DF3D"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BDE189A"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262A616"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69A1C5AD"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0BEC442"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lastRenderedPageBreak/>
              <w:t xml:space="preserve">            Energia</w:t>
            </w:r>
          </w:p>
        </w:tc>
        <w:tc>
          <w:tcPr>
            <w:tcW w:w="300" w:type="dxa"/>
            <w:tcBorders>
              <w:top w:val="nil"/>
              <w:left w:val="nil"/>
              <w:bottom w:val="nil"/>
              <w:right w:val="single" w:sz="4" w:space="0" w:color="000000"/>
            </w:tcBorders>
            <w:shd w:val="clear" w:color="000000" w:fill="FFFFFF"/>
            <w:hideMark/>
          </w:tcPr>
          <w:p w14:paraId="317BC157"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3B4E445"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7DA62336"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66AB9A5A"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7E296FCF"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Transporte</w:t>
            </w:r>
          </w:p>
        </w:tc>
        <w:tc>
          <w:tcPr>
            <w:tcW w:w="300" w:type="dxa"/>
            <w:tcBorders>
              <w:top w:val="nil"/>
              <w:left w:val="nil"/>
              <w:bottom w:val="nil"/>
              <w:right w:val="single" w:sz="4" w:space="0" w:color="000000"/>
            </w:tcBorders>
            <w:shd w:val="clear" w:color="000000" w:fill="FFFFFF"/>
            <w:hideMark/>
          </w:tcPr>
          <w:p w14:paraId="16B362F8"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AE886DA"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-1.934.758,53</w:t>
            </w:r>
          </w:p>
        </w:tc>
        <w:tc>
          <w:tcPr>
            <w:tcW w:w="1560" w:type="dxa"/>
            <w:tcBorders>
              <w:top w:val="nil"/>
              <w:left w:val="nil"/>
              <w:bottom w:val="nil"/>
              <w:right w:val="single" w:sz="4" w:space="0" w:color="000000"/>
            </w:tcBorders>
            <w:shd w:val="clear" w:color="000000" w:fill="FFFFFF"/>
            <w:hideMark/>
          </w:tcPr>
          <w:p w14:paraId="458A5354"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-3.082.002,38</w:t>
            </w:r>
          </w:p>
        </w:tc>
      </w:tr>
      <w:tr w:rsidR="00E83EFB" w:rsidRPr="00E83EFB" w14:paraId="38325C96"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604D4A8E"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Desporto e Lazer</w:t>
            </w:r>
          </w:p>
        </w:tc>
        <w:tc>
          <w:tcPr>
            <w:tcW w:w="300" w:type="dxa"/>
            <w:tcBorders>
              <w:top w:val="nil"/>
              <w:left w:val="nil"/>
              <w:bottom w:val="nil"/>
              <w:right w:val="single" w:sz="4" w:space="0" w:color="000000"/>
            </w:tcBorders>
            <w:shd w:val="clear" w:color="000000" w:fill="FFFFFF"/>
            <w:hideMark/>
          </w:tcPr>
          <w:p w14:paraId="10321DF4"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6DB3D07C"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265223C1"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1B6A5535"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7F16A62D"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Encargos Especiais</w:t>
            </w:r>
          </w:p>
        </w:tc>
        <w:tc>
          <w:tcPr>
            <w:tcW w:w="300" w:type="dxa"/>
            <w:tcBorders>
              <w:top w:val="nil"/>
              <w:left w:val="nil"/>
              <w:bottom w:val="nil"/>
              <w:right w:val="single" w:sz="4" w:space="0" w:color="000000"/>
            </w:tcBorders>
            <w:shd w:val="clear" w:color="000000" w:fill="FFFFFF"/>
            <w:hideMark/>
          </w:tcPr>
          <w:p w14:paraId="22F21BB0"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D1CF4D9"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-1.219.043.526,67</w:t>
            </w:r>
          </w:p>
        </w:tc>
        <w:tc>
          <w:tcPr>
            <w:tcW w:w="1560" w:type="dxa"/>
            <w:tcBorders>
              <w:top w:val="nil"/>
              <w:left w:val="nil"/>
              <w:bottom w:val="nil"/>
              <w:right w:val="single" w:sz="4" w:space="0" w:color="000000"/>
            </w:tcBorders>
            <w:shd w:val="clear" w:color="000000" w:fill="FFFFFF"/>
            <w:hideMark/>
          </w:tcPr>
          <w:p w14:paraId="1AE9EE5E"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-1.667.396.568,74</w:t>
            </w:r>
          </w:p>
        </w:tc>
      </w:tr>
      <w:tr w:rsidR="00E83EFB" w:rsidRPr="00E83EFB" w14:paraId="173DA130"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5953898D"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 Ordens Bancárias não Sacadas - Cartão de Pagamento</w:t>
            </w:r>
          </w:p>
        </w:tc>
        <w:tc>
          <w:tcPr>
            <w:tcW w:w="300" w:type="dxa"/>
            <w:tcBorders>
              <w:top w:val="nil"/>
              <w:left w:val="nil"/>
              <w:bottom w:val="nil"/>
              <w:right w:val="single" w:sz="4" w:space="0" w:color="000000"/>
            </w:tcBorders>
            <w:shd w:val="clear" w:color="000000" w:fill="FFFFFF"/>
            <w:hideMark/>
          </w:tcPr>
          <w:p w14:paraId="74D0C202"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7AFB420"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15.696,82</w:t>
            </w:r>
          </w:p>
        </w:tc>
        <w:tc>
          <w:tcPr>
            <w:tcW w:w="1560" w:type="dxa"/>
            <w:tcBorders>
              <w:top w:val="nil"/>
              <w:left w:val="nil"/>
              <w:bottom w:val="nil"/>
              <w:right w:val="single" w:sz="4" w:space="0" w:color="000000"/>
            </w:tcBorders>
            <w:shd w:val="clear" w:color="000000" w:fill="FFFFFF"/>
            <w:hideMark/>
          </w:tcPr>
          <w:p w14:paraId="7A9DEA97"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10.179,53</w:t>
            </w:r>
          </w:p>
        </w:tc>
      </w:tr>
      <w:tr w:rsidR="00E83EFB" w:rsidRPr="00E83EFB" w14:paraId="43A213F8"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325D6B81"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Juros e Encargos da Dívida</w:t>
            </w:r>
          </w:p>
        </w:tc>
        <w:tc>
          <w:tcPr>
            <w:tcW w:w="300" w:type="dxa"/>
            <w:tcBorders>
              <w:top w:val="nil"/>
              <w:left w:val="nil"/>
              <w:bottom w:val="nil"/>
              <w:right w:val="single" w:sz="4" w:space="0" w:color="000000"/>
            </w:tcBorders>
            <w:shd w:val="clear" w:color="000000" w:fill="FFFFFF"/>
            <w:hideMark/>
          </w:tcPr>
          <w:p w14:paraId="44F20F20"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53B219C"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-14.147.332,40</w:t>
            </w:r>
          </w:p>
        </w:tc>
        <w:tc>
          <w:tcPr>
            <w:tcW w:w="1560" w:type="dxa"/>
            <w:tcBorders>
              <w:top w:val="nil"/>
              <w:left w:val="nil"/>
              <w:bottom w:val="nil"/>
              <w:right w:val="single" w:sz="4" w:space="0" w:color="000000"/>
            </w:tcBorders>
            <w:shd w:val="clear" w:color="000000" w:fill="FFFFFF"/>
            <w:hideMark/>
          </w:tcPr>
          <w:p w14:paraId="18850F21"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-11.583.821,00</w:t>
            </w:r>
          </w:p>
        </w:tc>
      </w:tr>
      <w:tr w:rsidR="00E83EFB" w:rsidRPr="00E83EFB" w14:paraId="644E50C9"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3BE4E6AA"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Juros e Correção Monetária da Dívida Interna</w:t>
            </w:r>
          </w:p>
        </w:tc>
        <w:tc>
          <w:tcPr>
            <w:tcW w:w="300" w:type="dxa"/>
            <w:tcBorders>
              <w:top w:val="nil"/>
              <w:left w:val="nil"/>
              <w:bottom w:val="nil"/>
              <w:right w:val="single" w:sz="4" w:space="0" w:color="000000"/>
            </w:tcBorders>
            <w:shd w:val="clear" w:color="000000" w:fill="FFFFFF"/>
            <w:hideMark/>
          </w:tcPr>
          <w:p w14:paraId="5771CBDE"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3A6E1C2"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-13.547.244,38</w:t>
            </w:r>
          </w:p>
        </w:tc>
        <w:tc>
          <w:tcPr>
            <w:tcW w:w="1560" w:type="dxa"/>
            <w:tcBorders>
              <w:top w:val="nil"/>
              <w:left w:val="nil"/>
              <w:bottom w:val="nil"/>
              <w:right w:val="single" w:sz="4" w:space="0" w:color="000000"/>
            </w:tcBorders>
            <w:shd w:val="clear" w:color="000000" w:fill="FFFFFF"/>
            <w:hideMark/>
          </w:tcPr>
          <w:p w14:paraId="742FAEB5"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-11.128.814,58</w:t>
            </w:r>
          </w:p>
        </w:tc>
      </w:tr>
      <w:tr w:rsidR="00E83EFB" w:rsidRPr="00E83EFB" w14:paraId="6C391B03"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2B7E12C0"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Juros e Correção Monetária da Dívida Externa</w:t>
            </w:r>
          </w:p>
        </w:tc>
        <w:tc>
          <w:tcPr>
            <w:tcW w:w="300" w:type="dxa"/>
            <w:tcBorders>
              <w:top w:val="nil"/>
              <w:left w:val="nil"/>
              <w:bottom w:val="nil"/>
              <w:right w:val="single" w:sz="4" w:space="0" w:color="000000"/>
            </w:tcBorders>
            <w:shd w:val="clear" w:color="000000" w:fill="FFFFFF"/>
            <w:hideMark/>
          </w:tcPr>
          <w:p w14:paraId="1EA22086"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CC6872D"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773CA2A9"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w:t>
            </w:r>
          </w:p>
        </w:tc>
      </w:tr>
      <w:tr w:rsidR="00E83EFB" w:rsidRPr="00E83EFB" w14:paraId="49A1DE6C"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65CE3866"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Outros Encargos da Dívida</w:t>
            </w:r>
          </w:p>
        </w:tc>
        <w:tc>
          <w:tcPr>
            <w:tcW w:w="300" w:type="dxa"/>
            <w:tcBorders>
              <w:top w:val="nil"/>
              <w:left w:val="nil"/>
              <w:bottom w:val="nil"/>
              <w:right w:val="single" w:sz="4" w:space="0" w:color="000000"/>
            </w:tcBorders>
            <w:shd w:val="clear" w:color="000000" w:fill="FFFFFF"/>
            <w:hideMark/>
          </w:tcPr>
          <w:p w14:paraId="33569A11"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C613F11"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-600.088,02</w:t>
            </w:r>
          </w:p>
        </w:tc>
        <w:tc>
          <w:tcPr>
            <w:tcW w:w="1560" w:type="dxa"/>
            <w:tcBorders>
              <w:top w:val="nil"/>
              <w:left w:val="nil"/>
              <w:bottom w:val="nil"/>
              <w:right w:val="single" w:sz="4" w:space="0" w:color="000000"/>
            </w:tcBorders>
            <w:shd w:val="clear" w:color="000000" w:fill="FFFFFF"/>
            <w:hideMark/>
          </w:tcPr>
          <w:p w14:paraId="59BD2E30"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-455.006,42</w:t>
            </w:r>
          </w:p>
        </w:tc>
      </w:tr>
      <w:tr w:rsidR="00E83EFB" w:rsidRPr="00E83EFB" w14:paraId="3AB1B257"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61DEC028"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Transferências Concedidas</w:t>
            </w:r>
          </w:p>
        </w:tc>
        <w:tc>
          <w:tcPr>
            <w:tcW w:w="300" w:type="dxa"/>
            <w:tcBorders>
              <w:top w:val="nil"/>
              <w:left w:val="nil"/>
              <w:bottom w:val="nil"/>
              <w:right w:val="single" w:sz="4" w:space="0" w:color="000000"/>
            </w:tcBorders>
            <w:shd w:val="clear" w:color="000000" w:fill="FFFFFF"/>
            <w:hideMark/>
          </w:tcPr>
          <w:p w14:paraId="397EA017"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9D058DD"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-7.103.654.445,48</w:t>
            </w:r>
          </w:p>
        </w:tc>
        <w:tc>
          <w:tcPr>
            <w:tcW w:w="1560" w:type="dxa"/>
            <w:tcBorders>
              <w:top w:val="nil"/>
              <w:left w:val="nil"/>
              <w:bottom w:val="nil"/>
              <w:right w:val="single" w:sz="4" w:space="0" w:color="000000"/>
            </w:tcBorders>
            <w:shd w:val="clear" w:color="000000" w:fill="FFFFFF"/>
            <w:hideMark/>
          </w:tcPr>
          <w:p w14:paraId="58EDED33"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-5.360.173.310,28</w:t>
            </w:r>
          </w:p>
        </w:tc>
      </w:tr>
      <w:tr w:rsidR="00E83EFB" w:rsidRPr="00E83EFB" w14:paraId="2EA03559"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4E139443"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Intergovernamentais</w:t>
            </w:r>
          </w:p>
        </w:tc>
        <w:tc>
          <w:tcPr>
            <w:tcW w:w="300" w:type="dxa"/>
            <w:tcBorders>
              <w:top w:val="nil"/>
              <w:left w:val="nil"/>
              <w:bottom w:val="nil"/>
              <w:right w:val="single" w:sz="4" w:space="0" w:color="000000"/>
            </w:tcBorders>
            <w:shd w:val="clear" w:color="000000" w:fill="FFFFFF"/>
            <w:hideMark/>
          </w:tcPr>
          <w:p w14:paraId="602BB451"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7B16970"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-6.794.574.378,68</w:t>
            </w:r>
          </w:p>
        </w:tc>
        <w:tc>
          <w:tcPr>
            <w:tcW w:w="1560" w:type="dxa"/>
            <w:tcBorders>
              <w:top w:val="nil"/>
              <w:left w:val="nil"/>
              <w:bottom w:val="nil"/>
              <w:right w:val="single" w:sz="4" w:space="0" w:color="000000"/>
            </w:tcBorders>
            <w:shd w:val="clear" w:color="000000" w:fill="FFFFFF"/>
            <w:hideMark/>
          </w:tcPr>
          <w:p w14:paraId="3C269147"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-5.063.880.626,33</w:t>
            </w:r>
          </w:p>
        </w:tc>
      </w:tr>
      <w:tr w:rsidR="00E83EFB" w:rsidRPr="00E83EFB" w14:paraId="342DC4C1"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532B6807"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A Estados e/ou Distrito Federal</w:t>
            </w:r>
          </w:p>
        </w:tc>
        <w:tc>
          <w:tcPr>
            <w:tcW w:w="300" w:type="dxa"/>
            <w:tcBorders>
              <w:top w:val="nil"/>
              <w:left w:val="nil"/>
              <w:bottom w:val="nil"/>
              <w:right w:val="single" w:sz="4" w:space="0" w:color="000000"/>
            </w:tcBorders>
            <w:shd w:val="clear" w:color="000000" w:fill="FFFFFF"/>
            <w:hideMark/>
          </w:tcPr>
          <w:p w14:paraId="4342C66F"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3C36DC2"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-1.771.596.155,34</w:t>
            </w:r>
          </w:p>
        </w:tc>
        <w:tc>
          <w:tcPr>
            <w:tcW w:w="1560" w:type="dxa"/>
            <w:tcBorders>
              <w:top w:val="nil"/>
              <w:left w:val="nil"/>
              <w:bottom w:val="nil"/>
              <w:right w:val="single" w:sz="4" w:space="0" w:color="000000"/>
            </w:tcBorders>
            <w:shd w:val="clear" w:color="000000" w:fill="FFFFFF"/>
            <w:hideMark/>
          </w:tcPr>
          <w:p w14:paraId="2B5698B9"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-1.839.430.538,00</w:t>
            </w:r>
          </w:p>
        </w:tc>
      </w:tr>
      <w:tr w:rsidR="00E83EFB" w:rsidRPr="00E83EFB" w14:paraId="1977CB0D"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5AE1E7E5"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A Municípios</w:t>
            </w:r>
          </w:p>
        </w:tc>
        <w:tc>
          <w:tcPr>
            <w:tcW w:w="300" w:type="dxa"/>
            <w:tcBorders>
              <w:top w:val="nil"/>
              <w:left w:val="nil"/>
              <w:bottom w:val="nil"/>
              <w:right w:val="single" w:sz="4" w:space="0" w:color="000000"/>
            </w:tcBorders>
            <w:shd w:val="clear" w:color="000000" w:fill="FFFFFF"/>
            <w:hideMark/>
          </w:tcPr>
          <w:p w14:paraId="278A167B"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78D41CD"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-5.022.978.223,34</w:t>
            </w:r>
          </w:p>
        </w:tc>
        <w:tc>
          <w:tcPr>
            <w:tcW w:w="1560" w:type="dxa"/>
            <w:tcBorders>
              <w:top w:val="nil"/>
              <w:left w:val="nil"/>
              <w:bottom w:val="nil"/>
              <w:right w:val="single" w:sz="4" w:space="0" w:color="000000"/>
            </w:tcBorders>
            <w:shd w:val="clear" w:color="000000" w:fill="FFFFFF"/>
            <w:hideMark/>
          </w:tcPr>
          <w:p w14:paraId="01223C81"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-3.224.450.088,33</w:t>
            </w:r>
          </w:p>
        </w:tc>
      </w:tr>
      <w:tr w:rsidR="00E83EFB" w:rsidRPr="00E83EFB" w14:paraId="04173351"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23B56F51"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Intragovernamentais</w:t>
            </w:r>
          </w:p>
        </w:tc>
        <w:tc>
          <w:tcPr>
            <w:tcW w:w="300" w:type="dxa"/>
            <w:tcBorders>
              <w:top w:val="nil"/>
              <w:left w:val="nil"/>
              <w:bottom w:val="nil"/>
              <w:right w:val="single" w:sz="4" w:space="0" w:color="000000"/>
            </w:tcBorders>
            <w:shd w:val="clear" w:color="000000" w:fill="FFFFFF"/>
            <w:hideMark/>
          </w:tcPr>
          <w:p w14:paraId="027C413F"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3DFBC4D"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-203.258.424,92</w:t>
            </w:r>
          </w:p>
        </w:tc>
        <w:tc>
          <w:tcPr>
            <w:tcW w:w="1560" w:type="dxa"/>
            <w:tcBorders>
              <w:top w:val="nil"/>
              <w:left w:val="nil"/>
              <w:bottom w:val="nil"/>
              <w:right w:val="single" w:sz="4" w:space="0" w:color="000000"/>
            </w:tcBorders>
            <w:shd w:val="clear" w:color="000000" w:fill="FFFFFF"/>
            <w:hideMark/>
          </w:tcPr>
          <w:p w14:paraId="6947D730"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-201.613.850,39</w:t>
            </w:r>
          </w:p>
        </w:tc>
      </w:tr>
      <w:tr w:rsidR="00E83EFB" w:rsidRPr="00E83EFB" w14:paraId="67AA0274"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9186CF7"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Outras Transferências Concedidas</w:t>
            </w:r>
          </w:p>
        </w:tc>
        <w:tc>
          <w:tcPr>
            <w:tcW w:w="300" w:type="dxa"/>
            <w:tcBorders>
              <w:top w:val="nil"/>
              <w:left w:val="nil"/>
              <w:bottom w:val="nil"/>
              <w:right w:val="single" w:sz="4" w:space="0" w:color="000000"/>
            </w:tcBorders>
            <w:shd w:val="clear" w:color="000000" w:fill="FFFFFF"/>
            <w:hideMark/>
          </w:tcPr>
          <w:p w14:paraId="0918FE99"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EEBF645"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-105.821.641,88</w:t>
            </w:r>
          </w:p>
        </w:tc>
        <w:tc>
          <w:tcPr>
            <w:tcW w:w="1560" w:type="dxa"/>
            <w:tcBorders>
              <w:top w:val="nil"/>
              <w:left w:val="nil"/>
              <w:bottom w:val="nil"/>
              <w:right w:val="single" w:sz="4" w:space="0" w:color="000000"/>
            </w:tcBorders>
            <w:shd w:val="clear" w:color="000000" w:fill="FFFFFF"/>
            <w:hideMark/>
          </w:tcPr>
          <w:p w14:paraId="5D5381DE"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-94.678.833,56</w:t>
            </w:r>
          </w:p>
        </w:tc>
      </w:tr>
      <w:tr w:rsidR="00E83EFB" w:rsidRPr="00E83EFB" w14:paraId="25ADC933"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02D100F"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Outros Desembolsos Operacionais</w:t>
            </w:r>
          </w:p>
        </w:tc>
        <w:tc>
          <w:tcPr>
            <w:tcW w:w="300" w:type="dxa"/>
            <w:tcBorders>
              <w:top w:val="nil"/>
              <w:left w:val="nil"/>
              <w:bottom w:val="nil"/>
              <w:right w:val="single" w:sz="4" w:space="0" w:color="000000"/>
            </w:tcBorders>
            <w:shd w:val="clear" w:color="000000" w:fill="FFFFFF"/>
            <w:hideMark/>
          </w:tcPr>
          <w:p w14:paraId="5BCDC2D9"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FB8EFE6"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-53.848.309.932,91</w:t>
            </w:r>
          </w:p>
        </w:tc>
        <w:tc>
          <w:tcPr>
            <w:tcW w:w="1560" w:type="dxa"/>
            <w:tcBorders>
              <w:top w:val="nil"/>
              <w:left w:val="nil"/>
              <w:bottom w:val="nil"/>
              <w:right w:val="single" w:sz="4" w:space="0" w:color="000000"/>
            </w:tcBorders>
            <w:shd w:val="clear" w:color="000000" w:fill="FFFFFF"/>
            <w:hideMark/>
          </w:tcPr>
          <w:p w14:paraId="74D83673"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-43.752.405.894,68</w:t>
            </w:r>
          </w:p>
        </w:tc>
      </w:tr>
      <w:tr w:rsidR="00E83EFB" w:rsidRPr="00E83EFB" w14:paraId="7C2362B3"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170C60E7"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Dispêndios Extraorçamentários</w:t>
            </w:r>
          </w:p>
        </w:tc>
        <w:tc>
          <w:tcPr>
            <w:tcW w:w="300" w:type="dxa"/>
            <w:tcBorders>
              <w:top w:val="nil"/>
              <w:left w:val="nil"/>
              <w:bottom w:val="nil"/>
              <w:right w:val="single" w:sz="4" w:space="0" w:color="000000"/>
            </w:tcBorders>
            <w:shd w:val="clear" w:color="000000" w:fill="FFFFFF"/>
            <w:hideMark/>
          </w:tcPr>
          <w:p w14:paraId="50EE3A4F"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E3FD1F9"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-7.605.225.845,46</w:t>
            </w:r>
          </w:p>
        </w:tc>
        <w:tc>
          <w:tcPr>
            <w:tcW w:w="1560" w:type="dxa"/>
            <w:tcBorders>
              <w:top w:val="nil"/>
              <w:left w:val="nil"/>
              <w:bottom w:val="nil"/>
              <w:right w:val="single" w:sz="4" w:space="0" w:color="000000"/>
            </w:tcBorders>
            <w:shd w:val="clear" w:color="000000" w:fill="FFFFFF"/>
            <w:hideMark/>
          </w:tcPr>
          <w:p w14:paraId="51671F2A"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-7.523.833.990,35</w:t>
            </w:r>
          </w:p>
        </w:tc>
      </w:tr>
      <w:tr w:rsidR="00E83EFB" w:rsidRPr="00E83EFB" w14:paraId="7CAFE954"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748E6210"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Pagamento de Restituições de Exercícios Anteriores</w:t>
            </w:r>
          </w:p>
        </w:tc>
        <w:tc>
          <w:tcPr>
            <w:tcW w:w="300" w:type="dxa"/>
            <w:tcBorders>
              <w:top w:val="nil"/>
              <w:left w:val="nil"/>
              <w:bottom w:val="nil"/>
              <w:right w:val="single" w:sz="4" w:space="0" w:color="000000"/>
            </w:tcBorders>
            <w:shd w:val="clear" w:color="000000" w:fill="FFFFFF"/>
            <w:hideMark/>
          </w:tcPr>
          <w:p w14:paraId="1554F587"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75BFD4D"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560" w:type="dxa"/>
            <w:tcBorders>
              <w:top w:val="nil"/>
              <w:left w:val="nil"/>
              <w:bottom w:val="nil"/>
              <w:right w:val="single" w:sz="4" w:space="0" w:color="000000"/>
            </w:tcBorders>
            <w:shd w:val="clear" w:color="000000" w:fill="FFFFFF"/>
            <w:hideMark/>
          </w:tcPr>
          <w:p w14:paraId="1F117B32"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-1.177.455,65</w:t>
            </w:r>
          </w:p>
        </w:tc>
      </w:tr>
      <w:tr w:rsidR="00E83EFB" w:rsidRPr="00E83EFB" w14:paraId="1D8E4E64"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3973641"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Transferências Financeiras Concedidas</w:t>
            </w:r>
          </w:p>
        </w:tc>
        <w:tc>
          <w:tcPr>
            <w:tcW w:w="300" w:type="dxa"/>
            <w:tcBorders>
              <w:top w:val="nil"/>
              <w:left w:val="nil"/>
              <w:bottom w:val="nil"/>
              <w:right w:val="single" w:sz="4" w:space="0" w:color="000000"/>
            </w:tcBorders>
            <w:shd w:val="clear" w:color="000000" w:fill="FFFFFF"/>
            <w:hideMark/>
          </w:tcPr>
          <w:p w14:paraId="5B08FD1B"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2E2D612"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-34.988.898.718,36</w:t>
            </w:r>
          </w:p>
        </w:tc>
        <w:tc>
          <w:tcPr>
            <w:tcW w:w="1560" w:type="dxa"/>
            <w:tcBorders>
              <w:top w:val="nil"/>
              <w:left w:val="nil"/>
              <w:bottom w:val="nil"/>
              <w:right w:val="single" w:sz="4" w:space="0" w:color="000000"/>
            </w:tcBorders>
            <w:shd w:val="clear" w:color="000000" w:fill="FFFFFF"/>
            <w:hideMark/>
          </w:tcPr>
          <w:p w14:paraId="533B1B2C"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-35.356.240.118,81</w:t>
            </w:r>
          </w:p>
        </w:tc>
      </w:tr>
      <w:tr w:rsidR="00E83EFB" w:rsidRPr="00E83EFB" w14:paraId="6588EA95"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77620FEB"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Valores Compensados</w:t>
            </w:r>
          </w:p>
        </w:tc>
        <w:tc>
          <w:tcPr>
            <w:tcW w:w="300" w:type="dxa"/>
            <w:tcBorders>
              <w:top w:val="nil"/>
              <w:left w:val="nil"/>
              <w:bottom w:val="nil"/>
              <w:right w:val="single" w:sz="4" w:space="0" w:color="000000"/>
            </w:tcBorders>
            <w:shd w:val="clear" w:color="000000" w:fill="FFFFFF"/>
            <w:hideMark/>
          </w:tcPr>
          <w:p w14:paraId="0809900D"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1E808EE"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-34.141,51</w:t>
            </w:r>
          </w:p>
        </w:tc>
        <w:tc>
          <w:tcPr>
            <w:tcW w:w="1560" w:type="dxa"/>
            <w:tcBorders>
              <w:top w:val="nil"/>
              <w:left w:val="nil"/>
              <w:bottom w:val="nil"/>
              <w:right w:val="single" w:sz="4" w:space="0" w:color="000000"/>
            </w:tcBorders>
            <w:shd w:val="clear" w:color="000000" w:fill="FFFFFF"/>
            <w:hideMark/>
          </w:tcPr>
          <w:p w14:paraId="6DAB73DE"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r>
      <w:tr w:rsidR="00E83EFB" w:rsidRPr="00E83EFB" w14:paraId="5F60D2BC"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509C355D"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xml:space="preserve">            Demais Pagamentos</w:t>
            </w:r>
          </w:p>
        </w:tc>
        <w:tc>
          <w:tcPr>
            <w:tcW w:w="300" w:type="dxa"/>
            <w:tcBorders>
              <w:top w:val="nil"/>
              <w:left w:val="nil"/>
              <w:bottom w:val="nil"/>
              <w:right w:val="single" w:sz="4" w:space="0" w:color="000000"/>
            </w:tcBorders>
            <w:shd w:val="clear" w:color="000000" w:fill="FFFFFF"/>
            <w:hideMark/>
          </w:tcPr>
          <w:p w14:paraId="13B80575" w14:textId="77777777" w:rsidR="00E83EFB" w:rsidRPr="00E83EFB" w:rsidRDefault="00E83EFB" w:rsidP="00E83EFB">
            <w:pPr>
              <w:widowControl/>
              <w:suppressAutoHyphens w:val="0"/>
              <w:autoSpaceDN/>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5B616B9"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-11.254.151.227,58</w:t>
            </w:r>
          </w:p>
        </w:tc>
        <w:tc>
          <w:tcPr>
            <w:tcW w:w="1560" w:type="dxa"/>
            <w:tcBorders>
              <w:top w:val="nil"/>
              <w:left w:val="nil"/>
              <w:bottom w:val="nil"/>
              <w:right w:val="single" w:sz="4" w:space="0" w:color="000000"/>
            </w:tcBorders>
            <w:shd w:val="clear" w:color="000000" w:fill="FFFFFF"/>
            <w:hideMark/>
          </w:tcPr>
          <w:p w14:paraId="05927A0C" w14:textId="77777777" w:rsidR="00E83EFB" w:rsidRPr="00E83EFB" w:rsidRDefault="00E83EFB" w:rsidP="00E83EFB">
            <w:pPr>
              <w:widowControl/>
              <w:suppressAutoHyphens w:val="0"/>
              <w:autoSpaceDN/>
              <w:jc w:val="right"/>
              <w:textAlignment w:val="auto"/>
              <w:rPr>
                <w:rFonts w:ascii="Arial" w:eastAsia="Times New Roman" w:hAnsi="Arial" w:cs="Arial"/>
                <w:color w:val="000000"/>
                <w:kern w:val="0"/>
                <w:sz w:val="14"/>
                <w:szCs w:val="14"/>
                <w:lang w:eastAsia="pt-BR" w:bidi="ar-SA"/>
              </w:rPr>
            </w:pPr>
            <w:r w:rsidRPr="00E83EFB">
              <w:rPr>
                <w:rFonts w:ascii="Arial" w:eastAsia="Times New Roman" w:hAnsi="Arial" w:cs="Arial"/>
                <w:color w:val="000000"/>
                <w:kern w:val="0"/>
                <w:sz w:val="14"/>
                <w:szCs w:val="14"/>
                <w:lang w:eastAsia="pt-BR" w:bidi="ar-SA"/>
              </w:rPr>
              <w:t>-871.154.329,87</w:t>
            </w:r>
          </w:p>
        </w:tc>
      </w:tr>
      <w:tr w:rsidR="00E83EFB" w:rsidRPr="00E83EFB" w14:paraId="1E568314" w14:textId="77777777" w:rsidTr="00E83EFB">
        <w:trPr>
          <w:trHeight w:val="199"/>
          <w:jc w:val="center"/>
        </w:trPr>
        <w:tc>
          <w:tcPr>
            <w:tcW w:w="3440" w:type="dxa"/>
            <w:gridSpan w:val="5"/>
            <w:tcBorders>
              <w:top w:val="single" w:sz="4" w:space="0" w:color="000000"/>
              <w:left w:val="single" w:sz="4" w:space="0" w:color="000000"/>
              <w:bottom w:val="single" w:sz="4" w:space="0" w:color="000000"/>
              <w:right w:val="single" w:sz="4" w:space="0" w:color="000000"/>
            </w:tcBorders>
            <w:shd w:val="clear" w:color="000000" w:fill="FFFFFF"/>
            <w:hideMark/>
          </w:tcPr>
          <w:p w14:paraId="20814EDD"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FLUXOS DE CAIXA DAS ATIVIDADES DE I</w:t>
            </w:r>
            <w:r w:rsidRPr="00E83EFB">
              <w:rPr>
                <w:rFonts w:ascii="Arial" w:eastAsia="Times New Roman" w:hAnsi="Arial" w:cs="Arial"/>
                <w:b/>
                <w:bCs/>
                <w:color w:val="000000"/>
                <w:kern w:val="0"/>
                <w:sz w:val="14"/>
                <w:szCs w:val="14"/>
                <w:lang w:eastAsia="pt-BR" w:bidi="ar-SA"/>
              </w:rPr>
              <w:t>N</w:t>
            </w:r>
            <w:r w:rsidRPr="00E83EFB">
              <w:rPr>
                <w:rFonts w:ascii="Arial" w:eastAsia="Times New Roman" w:hAnsi="Arial" w:cs="Arial"/>
                <w:b/>
                <w:bCs/>
                <w:color w:val="000000"/>
                <w:kern w:val="0"/>
                <w:sz w:val="14"/>
                <w:szCs w:val="14"/>
                <w:lang w:eastAsia="pt-BR" w:bidi="ar-SA"/>
              </w:rPr>
              <w:t>VESTIMENTO</w:t>
            </w:r>
          </w:p>
        </w:tc>
        <w:tc>
          <w:tcPr>
            <w:tcW w:w="300" w:type="dxa"/>
            <w:tcBorders>
              <w:top w:val="single" w:sz="4" w:space="0" w:color="000000"/>
              <w:left w:val="nil"/>
              <w:bottom w:val="nil"/>
              <w:right w:val="single" w:sz="4" w:space="0" w:color="000000"/>
            </w:tcBorders>
            <w:shd w:val="clear" w:color="000000" w:fill="FFFFFF"/>
            <w:hideMark/>
          </w:tcPr>
          <w:p w14:paraId="1BBB4296" w14:textId="77777777" w:rsidR="00E83EFB" w:rsidRPr="00E83EFB" w:rsidRDefault="00E83EFB" w:rsidP="00E83EF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24</w:t>
            </w:r>
          </w:p>
        </w:tc>
        <w:tc>
          <w:tcPr>
            <w:tcW w:w="1480" w:type="dxa"/>
            <w:tcBorders>
              <w:top w:val="single" w:sz="4" w:space="0" w:color="000000"/>
              <w:left w:val="nil"/>
              <w:bottom w:val="single" w:sz="4" w:space="0" w:color="000000"/>
              <w:right w:val="single" w:sz="4" w:space="0" w:color="000000"/>
            </w:tcBorders>
            <w:shd w:val="clear" w:color="000000" w:fill="FFFFFF"/>
            <w:hideMark/>
          </w:tcPr>
          <w:p w14:paraId="79F64736"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-15.197.988.501,98</w:t>
            </w:r>
          </w:p>
        </w:tc>
        <w:tc>
          <w:tcPr>
            <w:tcW w:w="1560" w:type="dxa"/>
            <w:tcBorders>
              <w:top w:val="single" w:sz="4" w:space="0" w:color="000000"/>
              <w:left w:val="nil"/>
              <w:bottom w:val="single" w:sz="4" w:space="0" w:color="000000"/>
              <w:right w:val="single" w:sz="4" w:space="0" w:color="000000"/>
            </w:tcBorders>
            <w:shd w:val="clear" w:color="000000" w:fill="FFFFFF"/>
            <w:hideMark/>
          </w:tcPr>
          <w:p w14:paraId="7816D0D5"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-18.417.737.317,64</w:t>
            </w:r>
          </w:p>
        </w:tc>
      </w:tr>
      <w:tr w:rsidR="00E83EFB" w:rsidRPr="00E83EFB" w14:paraId="759397BD" w14:textId="77777777" w:rsidTr="00E83EFB">
        <w:trPr>
          <w:trHeight w:val="199"/>
          <w:jc w:val="center"/>
        </w:trPr>
        <w:tc>
          <w:tcPr>
            <w:tcW w:w="3440" w:type="dxa"/>
            <w:gridSpan w:val="5"/>
            <w:tcBorders>
              <w:top w:val="single" w:sz="4" w:space="0" w:color="000000"/>
              <w:left w:val="single" w:sz="4" w:space="0" w:color="000000"/>
              <w:bottom w:val="nil"/>
              <w:right w:val="single" w:sz="4" w:space="0" w:color="000000"/>
            </w:tcBorders>
            <w:shd w:val="clear" w:color="000000" w:fill="FFFFFF"/>
            <w:hideMark/>
          </w:tcPr>
          <w:p w14:paraId="77EF47F1"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INGRESSOS</w:t>
            </w:r>
          </w:p>
        </w:tc>
        <w:tc>
          <w:tcPr>
            <w:tcW w:w="300" w:type="dxa"/>
            <w:tcBorders>
              <w:top w:val="single" w:sz="4" w:space="0" w:color="000000"/>
              <w:left w:val="nil"/>
              <w:bottom w:val="nil"/>
              <w:right w:val="single" w:sz="4" w:space="0" w:color="000000"/>
            </w:tcBorders>
            <w:shd w:val="clear" w:color="000000" w:fill="FFFFFF"/>
            <w:hideMark/>
          </w:tcPr>
          <w:p w14:paraId="31A7D2CD"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0E4ECBD5"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2.199.412.941,88</w:t>
            </w:r>
          </w:p>
        </w:tc>
        <w:tc>
          <w:tcPr>
            <w:tcW w:w="1560" w:type="dxa"/>
            <w:tcBorders>
              <w:top w:val="nil"/>
              <w:left w:val="nil"/>
              <w:bottom w:val="nil"/>
              <w:right w:val="single" w:sz="4" w:space="0" w:color="000000"/>
            </w:tcBorders>
            <w:shd w:val="clear" w:color="000000" w:fill="FFFFFF"/>
            <w:hideMark/>
          </w:tcPr>
          <w:p w14:paraId="7FEE572F"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936.679.347,07</w:t>
            </w:r>
          </w:p>
        </w:tc>
      </w:tr>
      <w:tr w:rsidR="00E83EFB" w:rsidRPr="00E83EFB" w14:paraId="5CD97C75"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3A311CA1"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Alienação de Bens</w:t>
            </w:r>
          </w:p>
        </w:tc>
        <w:tc>
          <w:tcPr>
            <w:tcW w:w="300" w:type="dxa"/>
            <w:tcBorders>
              <w:top w:val="nil"/>
              <w:left w:val="nil"/>
              <w:bottom w:val="nil"/>
              <w:right w:val="single" w:sz="4" w:space="0" w:color="000000"/>
            </w:tcBorders>
            <w:shd w:val="clear" w:color="000000" w:fill="FFFFFF"/>
            <w:hideMark/>
          </w:tcPr>
          <w:p w14:paraId="092426C8"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AF07569"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5.740.142,17</w:t>
            </w:r>
          </w:p>
        </w:tc>
        <w:tc>
          <w:tcPr>
            <w:tcW w:w="1560" w:type="dxa"/>
            <w:tcBorders>
              <w:top w:val="nil"/>
              <w:left w:val="nil"/>
              <w:bottom w:val="nil"/>
              <w:right w:val="single" w:sz="4" w:space="0" w:color="000000"/>
            </w:tcBorders>
            <w:shd w:val="clear" w:color="000000" w:fill="FFFFFF"/>
            <w:hideMark/>
          </w:tcPr>
          <w:p w14:paraId="05D5242D"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14.679.123,38</w:t>
            </w:r>
          </w:p>
        </w:tc>
      </w:tr>
      <w:tr w:rsidR="00E83EFB" w:rsidRPr="00E83EFB" w14:paraId="3F8201E9"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1E88717E"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Amortização de Empréstimos e Financi</w:t>
            </w:r>
            <w:r w:rsidRPr="00E83EFB">
              <w:rPr>
                <w:rFonts w:ascii="Arial" w:eastAsia="Times New Roman" w:hAnsi="Arial" w:cs="Arial"/>
                <w:b/>
                <w:bCs/>
                <w:color w:val="000000"/>
                <w:kern w:val="0"/>
                <w:sz w:val="14"/>
                <w:szCs w:val="14"/>
                <w:lang w:eastAsia="pt-BR" w:bidi="ar-SA"/>
              </w:rPr>
              <w:t>a</w:t>
            </w:r>
            <w:r w:rsidRPr="00E83EFB">
              <w:rPr>
                <w:rFonts w:ascii="Arial" w:eastAsia="Times New Roman" w:hAnsi="Arial" w:cs="Arial"/>
                <w:b/>
                <w:bCs/>
                <w:color w:val="000000"/>
                <w:kern w:val="0"/>
                <w:sz w:val="14"/>
                <w:szCs w:val="14"/>
                <w:lang w:eastAsia="pt-BR" w:bidi="ar-SA"/>
              </w:rPr>
              <w:t>mentos Concedidos</w:t>
            </w:r>
          </w:p>
        </w:tc>
        <w:tc>
          <w:tcPr>
            <w:tcW w:w="300" w:type="dxa"/>
            <w:tcBorders>
              <w:top w:val="nil"/>
              <w:left w:val="nil"/>
              <w:bottom w:val="nil"/>
              <w:right w:val="single" w:sz="4" w:space="0" w:color="000000"/>
            </w:tcBorders>
            <w:shd w:val="clear" w:color="000000" w:fill="FFFFFF"/>
            <w:hideMark/>
          </w:tcPr>
          <w:p w14:paraId="7376B235"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B9F8761"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2.193.672.799,71</w:t>
            </w:r>
          </w:p>
        </w:tc>
        <w:tc>
          <w:tcPr>
            <w:tcW w:w="1560" w:type="dxa"/>
            <w:tcBorders>
              <w:top w:val="nil"/>
              <w:left w:val="nil"/>
              <w:bottom w:val="nil"/>
              <w:right w:val="single" w:sz="4" w:space="0" w:color="000000"/>
            </w:tcBorders>
            <w:shd w:val="clear" w:color="000000" w:fill="FFFFFF"/>
            <w:hideMark/>
          </w:tcPr>
          <w:p w14:paraId="22194BEA"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922.000.223,69</w:t>
            </w:r>
          </w:p>
        </w:tc>
      </w:tr>
      <w:tr w:rsidR="00E83EFB" w:rsidRPr="00E83EFB" w14:paraId="0D2CC1C5"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7990206E"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Outros Ingressos de Investimentos</w:t>
            </w:r>
          </w:p>
        </w:tc>
        <w:tc>
          <w:tcPr>
            <w:tcW w:w="300" w:type="dxa"/>
            <w:tcBorders>
              <w:top w:val="nil"/>
              <w:left w:val="nil"/>
              <w:bottom w:val="nil"/>
              <w:right w:val="single" w:sz="4" w:space="0" w:color="000000"/>
            </w:tcBorders>
            <w:shd w:val="clear" w:color="000000" w:fill="FFFFFF"/>
            <w:hideMark/>
          </w:tcPr>
          <w:p w14:paraId="29392588"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06198C4"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B2E6030"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50AF1F91"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9125C1D"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DESEMBOLSOS</w:t>
            </w:r>
          </w:p>
        </w:tc>
        <w:tc>
          <w:tcPr>
            <w:tcW w:w="300" w:type="dxa"/>
            <w:tcBorders>
              <w:top w:val="nil"/>
              <w:left w:val="nil"/>
              <w:bottom w:val="nil"/>
              <w:right w:val="single" w:sz="4" w:space="0" w:color="000000"/>
            </w:tcBorders>
            <w:shd w:val="clear" w:color="000000" w:fill="FFFFFF"/>
            <w:hideMark/>
          </w:tcPr>
          <w:p w14:paraId="20648B32"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C3CBBA7"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-17.397.401.443,86</w:t>
            </w:r>
          </w:p>
        </w:tc>
        <w:tc>
          <w:tcPr>
            <w:tcW w:w="1560" w:type="dxa"/>
            <w:tcBorders>
              <w:top w:val="nil"/>
              <w:left w:val="nil"/>
              <w:bottom w:val="nil"/>
              <w:right w:val="single" w:sz="4" w:space="0" w:color="000000"/>
            </w:tcBorders>
            <w:shd w:val="clear" w:color="000000" w:fill="FFFFFF"/>
            <w:hideMark/>
          </w:tcPr>
          <w:p w14:paraId="50F7E23D"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-19.354.416.664,71</w:t>
            </w:r>
          </w:p>
        </w:tc>
      </w:tr>
      <w:tr w:rsidR="00E83EFB" w:rsidRPr="00E83EFB" w14:paraId="056D928F"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695ADC9C"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Aquisição de Ativo Não Circulante</w:t>
            </w:r>
          </w:p>
        </w:tc>
        <w:tc>
          <w:tcPr>
            <w:tcW w:w="300" w:type="dxa"/>
            <w:tcBorders>
              <w:top w:val="nil"/>
              <w:left w:val="nil"/>
              <w:bottom w:val="nil"/>
              <w:right w:val="single" w:sz="4" w:space="0" w:color="000000"/>
            </w:tcBorders>
            <w:shd w:val="clear" w:color="000000" w:fill="FFFFFF"/>
            <w:hideMark/>
          </w:tcPr>
          <w:p w14:paraId="5DCE2BD4"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49745814"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-1.756.015.274,51</w:t>
            </w:r>
          </w:p>
        </w:tc>
        <w:tc>
          <w:tcPr>
            <w:tcW w:w="1560" w:type="dxa"/>
            <w:tcBorders>
              <w:top w:val="nil"/>
              <w:left w:val="nil"/>
              <w:bottom w:val="nil"/>
              <w:right w:val="single" w:sz="4" w:space="0" w:color="000000"/>
            </w:tcBorders>
            <w:shd w:val="clear" w:color="000000" w:fill="FFFFFF"/>
            <w:hideMark/>
          </w:tcPr>
          <w:p w14:paraId="0F63DEF8"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-1.642.361.268,79</w:t>
            </w:r>
          </w:p>
        </w:tc>
      </w:tr>
      <w:tr w:rsidR="00E83EFB" w:rsidRPr="00E83EFB" w14:paraId="5F7E4075"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579C2FD8"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Concessão de Empréstimos e Financi</w:t>
            </w:r>
            <w:r w:rsidRPr="00E83EFB">
              <w:rPr>
                <w:rFonts w:ascii="Arial" w:eastAsia="Times New Roman" w:hAnsi="Arial" w:cs="Arial"/>
                <w:b/>
                <w:bCs/>
                <w:color w:val="000000"/>
                <w:kern w:val="0"/>
                <w:sz w:val="14"/>
                <w:szCs w:val="14"/>
                <w:lang w:eastAsia="pt-BR" w:bidi="ar-SA"/>
              </w:rPr>
              <w:t>a</w:t>
            </w:r>
            <w:r w:rsidRPr="00E83EFB">
              <w:rPr>
                <w:rFonts w:ascii="Arial" w:eastAsia="Times New Roman" w:hAnsi="Arial" w:cs="Arial"/>
                <w:b/>
                <w:bCs/>
                <w:color w:val="000000"/>
                <w:kern w:val="0"/>
                <w:sz w:val="14"/>
                <w:szCs w:val="14"/>
                <w:lang w:eastAsia="pt-BR" w:bidi="ar-SA"/>
              </w:rPr>
              <w:t>mentos</w:t>
            </w:r>
          </w:p>
        </w:tc>
        <w:tc>
          <w:tcPr>
            <w:tcW w:w="300" w:type="dxa"/>
            <w:tcBorders>
              <w:top w:val="nil"/>
              <w:left w:val="nil"/>
              <w:bottom w:val="nil"/>
              <w:right w:val="single" w:sz="4" w:space="0" w:color="000000"/>
            </w:tcBorders>
            <w:shd w:val="clear" w:color="000000" w:fill="FFFFFF"/>
            <w:hideMark/>
          </w:tcPr>
          <w:p w14:paraId="1DE45EA4"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D0F8601"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-13.710.311.530,17</w:t>
            </w:r>
          </w:p>
        </w:tc>
        <w:tc>
          <w:tcPr>
            <w:tcW w:w="1560" w:type="dxa"/>
            <w:tcBorders>
              <w:top w:val="nil"/>
              <w:left w:val="nil"/>
              <w:bottom w:val="nil"/>
              <w:right w:val="single" w:sz="4" w:space="0" w:color="000000"/>
            </w:tcBorders>
            <w:shd w:val="clear" w:color="000000" w:fill="FFFFFF"/>
            <w:hideMark/>
          </w:tcPr>
          <w:p w14:paraId="3794B8B1"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-13.960.827.123,43</w:t>
            </w:r>
          </w:p>
        </w:tc>
      </w:tr>
      <w:tr w:rsidR="00E83EFB" w:rsidRPr="00E83EFB" w14:paraId="273F60F3"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097BA066"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Outros Desembolsos de Investimentos</w:t>
            </w:r>
          </w:p>
        </w:tc>
        <w:tc>
          <w:tcPr>
            <w:tcW w:w="300" w:type="dxa"/>
            <w:tcBorders>
              <w:top w:val="nil"/>
              <w:left w:val="nil"/>
              <w:bottom w:val="nil"/>
              <w:right w:val="single" w:sz="4" w:space="0" w:color="000000"/>
            </w:tcBorders>
            <w:shd w:val="clear" w:color="000000" w:fill="FFFFFF"/>
            <w:hideMark/>
          </w:tcPr>
          <w:p w14:paraId="66C51F00"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3433AD0"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-1.931.074.639,18</w:t>
            </w:r>
          </w:p>
        </w:tc>
        <w:tc>
          <w:tcPr>
            <w:tcW w:w="1560" w:type="dxa"/>
            <w:tcBorders>
              <w:top w:val="nil"/>
              <w:left w:val="nil"/>
              <w:bottom w:val="nil"/>
              <w:right w:val="single" w:sz="4" w:space="0" w:color="000000"/>
            </w:tcBorders>
            <w:shd w:val="clear" w:color="000000" w:fill="FFFFFF"/>
            <w:hideMark/>
          </w:tcPr>
          <w:p w14:paraId="3534020C"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-3.751.228.272,49</w:t>
            </w:r>
          </w:p>
        </w:tc>
      </w:tr>
      <w:tr w:rsidR="00E83EFB" w:rsidRPr="00E83EFB" w14:paraId="6756155B" w14:textId="77777777" w:rsidTr="00E83EFB">
        <w:trPr>
          <w:trHeight w:val="199"/>
          <w:jc w:val="center"/>
        </w:trPr>
        <w:tc>
          <w:tcPr>
            <w:tcW w:w="3440" w:type="dxa"/>
            <w:gridSpan w:val="5"/>
            <w:tcBorders>
              <w:top w:val="single" w:sz="4" w:space="0" w:color="000000"/>
              <w:left w:val="single" w:sz="4" w:space="0" w:color="000000"/>
              <w:bottom w:val="single" w:sz="4" w:space="0" w:color="000000"/>
              <w:right w:val="single" w:sz="4" w:space="0" w:color="000000"/>
            </w:tcBorders>
            <w:shd w:val="clear" w:color="000000" w:fill="FFFFFF"/>
            <w:hideMark/>
          </w:tcPr>
          <w:p w14:paraId="457714E8"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FLUXOS DE CAIXA DAS ATIVIDADES DE F</w:t>
            </w:r>
            <w:r w:rsidRPr="00E83EFB">
              <w:rPr>
                <w:rFonts w:ascii="Arial" w:eastAsia="Times New Roman" w:hAnsi="Arial" w:cs="Arial"/>
                <w:b/>
                <w:bCs/>
                <w:color w:val="000000"/>
                <w:kern w:val="0"/>
                <w:sz w:val="14"/>
                <w:szCs w:val="14"/>
                <w:lang w:eastAsia="pt-BR" w:bidi="ar-SA"/>
              </w:rPr>
              <w:t>I</w:t>
            </w:r>
            <w:r w:rsidRPr="00E83EFB">
              <w:rPr>
                <w:rFonts w:ascii="Arial" w:eastAsia="Times New Roman" w:hAnsi="Arial" w:cs="Arial"/>
                <w:b/>
                <w:bCs/>
                <w:color w:val="000000"/>
                <w:kern w:val="0"/>
                <w:sz w:val="14"/>
                <w:szCs w:val="14"/>
                <w:lang w:eastAsia="pt-BR" w:bidi="ar-SA"/>
              </w:rPr>
              <w:t>NANCIAMENTO</w:t>
            </w:r>
          </w:p>
        </w:tc>
        <w:tc>
          <w:tcPr>
            <w:tcW w:w="300" w:type="dxa"/>
            <w:tcBorders>
              <w:top w:val="single" w:sz="4" w:space="0" w:color="000000"/>
              <w:left w:val="nil"/>
              <w:bottom w:val="nil"/>
              <w:right w:val="single" w:sz="4" w:space="0" w:color="000000"/>
            </w:tcBorders>
            <w:shd w:val="clear" w:color="000000" w:fill="FFFFFF"/>
            <w:hideMark/>
          </w:tcPr>
          <w:p w14:paraId="0469DED4" w14:textId="77777777" w:rsidR="00E83EFB" w:rsidRPr="00E83EFB" w:rsidRDefault="00E83EFB" w:rsidP="00E83EF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25</w:t>
            </w:r>
          </w:p>
        </w:tc>
        <w:tc>
          <w:tcPr>
            <w:tcW w:w="1480" w:type="dxa"/>
            <w:tcBorders>
              <w:top w:val="single" w:sz="4" w:space="0" w:color="000000"/>
              <w:left w:val="nil"/>
              <w:bottom w:val="single" w:sz="4" w:space="0" w:color="000000"/>
              <w:right w:val="single" w:sz="4" w:space="0" w:color="000000"/>
            </w:tcBorders>
            <w:shd w:val="clear" w:color="000000" w:fill="FFFFFF"/>
            <w:hideMark/>
          </w:tcPr>
          <w:p w14:paraId="6C96169F"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single" w:sz="4" w:space="0" w:color="000000"/>
              <w:left w:val="nil"/>
              <w:bottom w:val="single" w:sz="4" w:space="0" w:color="000000"/>
              <w:right w:val="single" w:sz="4" w:space="0" w:color="000000"/>
            </w:tcBorders>
            <w:shd w:val="clear" w:color="000000" w:fill="FFFFFF"/>
            <w:hideMark/>
          </w:tcPr>
          <w:p w14:paraId="54EEC706"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6FE84F9C" w14:textId="77777777" w:rsidTr="00E83EFB">
        <w:trPr>
          <w:trHeight w:val="199"/>
          <w:jc w:val="center"/>
        </w:trPr>
        <w:tc>
          <w:tcPr>
            <w:tcW w:w="3440" w:type="dxa"/>
            <w:gridSpan w:val="5"/>
            <w:tcBorders>
              <w:top w:val="single" w:sz="4" w:space="0" w:color="000000"/>
              <w:left w:val="single" w:sz="4" w:space="0" w:color="000000"/>
              <w:bottom w:val="nil"/>
              <w:right w:val="single" w:sz="4" w:space="0" w:color="000000"/>
            </w:tcBorders>
            <w:shd w:val="clear" w:color="000000" w:fill="FFFFFF"/>
            <w:hideMark/>
          </w:tcPr>
          <w:p w14:paraId="6C7E3EA4"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INGRESSOS</w:t>
            </w:r>
          </w:p>
        </w:tc>
        <w:tc>
          <w:tcPr>
            <w:tcW w:w="300" w:type="dxa"/>
            <w:tcBorders>
              <w:top w:val="single" w:sz="4" w:space="0" w:color="000000"/>
              <w:left w:val="nil"/>
              <w:bottom w:val="nil"/>
              <w:right w:val="single" w:sz="4" w:space="0" w:color="000000"/>
            </w:tcBorders>
            <w:shd w:val="clear" w:color="000000" w:fill="FFFFFF"/>
            <w:hideMark/>
          </w:tcPr>
          <w:p w14:paraId="4235F9B6"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BB996C2"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9D94993"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761936A8"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3E431141"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Operações de Crédito</w:t>
            </w:r>
          </w:p>
        </w:tc>
        <w:tc>
          <w:tcPr>
            <w:tcW w:w="300" w:type="dxa"/>
            <w:tcBorders>
              <w:top w:val="nil"/>
              <w:left w:val="nil"/>
              <w:bottom w:val="nil"/>
              <w:right w:val="single" w:sz="4" w:space="0" w:color="000000"/>
            </w:tcBorders>
            <w:shd w:val="clear" w:color="000000" w:fill="FFFFFF"/>
            <w:hideMark/>
          </w:tcPr>
          <w:p w14:paraId="2DF9AE93"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5EAB0D93"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6334A7E0"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278B649E"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4052B5A8"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Integralização do Capital Social de Empr</w:t>
            </w:r>
            <w:r w:rsidRPr="00E83EFB">
              <w:rPr>
                <w:rFonts w:ascii="Arial" w:eastAsia="Times New Roman" w:hAnsi="Arial" w:cs="Arial"/>
                <w:b/>
                <w:bCs/>
                <w:color w:val="000000"/>
                <w:kern w:val="0"/>
                <w:sz w:val="14"/>
                <w:szCs w:val="14"/>
                <w:lang w:eastAsia="pt-BR" w:bidi="ar-SA"/>
              </w:rPr>
              <w:t>e</w:t>
            </w:r>
            <w:r w:rsidRPr="00E83EFB">
              <w:rPr>
                <w:rFonts w:ascii="Arial" w:eastAsia="Times New Roman" w:hAnsi="Arial" w:cs="Arial"/>
                <w:b/>
                <w:bCs/>
                <w:color w:val="000000"/>
                <w:kern w:val="0"/>
                <w:sz w:val="14"/>
                <w:szCs w:val="14"/>
                <w:lang w:eastAsia="pt-BR" w:bidi="ar-SA"/>
              </w:rPr>
              <w:t>sas Dependentes</w:t>
            </w:r>
          </w:p>
        </w:tc>
        <w:tc>
          <w:tcPr>
            <w:tcW w:w="300" w:type="dxa"/>
            <w:tcBorders>
              <w:top w:val="nil"/>
              <w:left w:val="nil"/>
              <w:bottom w:val="nil"/>
              <w:right w:val="single" w:sz="4" w:space="0" w:color="000000"/>
            </w:tcBorders>
            <w:shd w:val="clear" w:color="000000" w:fill="FFFFFF"/>
            <w:hideMark/>
          </w:tcPr>
          <w:p w14:paraId="400FB3CA"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35712A58"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51724344"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04E4EDCD"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299FBDDE"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Transferências de Capital Recebidas</w:t>
            </w:r>
          </w:p>
        </w:tc>
        <w:tc>
          <w:tcPr>
            <w:tcW w:w="300" w:type="dxa"/>
            <w:tcBorders>
              <w:top w:val="nil"/>
              <w:left w:val="nil"/>
              <w:bottom w:val="nil"/>
              <w:right w:val="single" w:sz="4" w:space="0" w:color="000000"/>
            </w:tcBorders>
            <w:shd w:val="clear" w:color="000000" w:fill="FFFFFF"/>
            <w:hideMark/>
          </w:tcPr>
          <w:p w14:paraId="7043B786"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0E493A0"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C005C63"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34A18229"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5D838EEA"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Outros Ingressos de Financiamento</w:t>
            </w:r>
          </w:p>
        </w:tc>
        <w:tc>
          <w:tcPr>
            <w:tcW w:w="300" w:type="dxa"/>
            <w:tcBorders>
              <w:top w:val="nil"/>
              <w:left w:val="nil"/>
              <w:bottom w:val="nil"/>
              <w:right w:val="single" w:sz="4" w:space="0" w:color="000000"/>
            </w:tcBorders>
            <w:shd w:val="clear" w:color="000000" w:fill="FFFFFF"/>
            <w:hideMark/>
          </w:tcPr>
          <w:p w14:paraId="1B0E7EC0"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16215A21"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188B5751"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1728C290"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330B4087"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DESEMBOLSOS</w:t>
            </w:r>
          </w:p>
        </w:tc>
        <w:tc>
          <w:tcPr>
            <w:tcW w:w="300" w:type="dxa"/>
            <w:tcBorders>
              <w:top w:val="nil"/>
              <w:left w:val="nil"/>
              <w:bottom w:val="nil"/>
              <w:right w:val="single" w:sz="4" w:space="0" w:color="000000"/>
            </w:tcBorders>
            <w:shd w:val="clear" w:color="000000" w:fill="FFFFFF"/>
            <w:hideMark/>
          </w:tcPr>
          <w:p w14:paraId="51B74885"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F65E91C"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03ACCC5D"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2EA7B9FE"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11BCB953"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Amortização / Refinanciamento da Dívida</w:t>
            </w:r>
          </w:p>
        </w:tc>
        <w:tc>
          <w:tcPr>
            <w:tcW w:w="300" w:type="dxa"/>
            <w:tcBorders>
              <w:top w:val="nil"/>
              <w:left w:val="nil"/>
              <w:bottom w:val="nil"/>
              <w:right w:val="single" w:sz="4" w:space="0" w:color="000000"/>
            </w:tcBorders>
            <w:shd w:val="clear" w:color="000000" w:fill="FFFFFF"/>
            <w:hideMark/>
          </w:tcPr>
          <w:p w14:paraId="101E62AC"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78BC18D4"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63116DA2"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722E4F62" w14:textId="77777777" w:rsidTr="00E83EFB">
        <w:trPr>
          <w:trHeight w:val="199"/>
          <w:jc w:val="center"/>
        </w:trPr>
        <w:tc>
          <w:tcPr>
            <w:tcW w:w="3440" w:type="dxa"/>
            <w:gridSpan w:val="5"/>
            <w:tcBorders>
              <w:top w:val="nil"/>
              <w:left w:val="single" w:sz="4" w:space="0" w:color="000000"/>
              <w:bottom w:val="nil"/>
              <w:right w:val="single" w:sz="4" w:space="0" w:color="000000"/>
            </w:tcBorders>
            <w:shd w:val="clear" w:color="000000" w:fill="FFFFFF"/>
            <w:hideMark/>
          </w:tcPr>
          <w:p w14:paraId="73970C74"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xml:space="preserve">        Outros Desembolsos de Financiamento</w:t>
            </w:r>
          </w:p>
        </w:tc>
        <w:tc>
          <w:tcPr>
            <w:tcW w:w="300" w:type="dxa"/>
            <w:tcBorders>
              <w:top w:val="nil"/>
              <w:left w:val="nil"/>
              <w:bottom w:val="nil"/>
              <w:right w:val="single" w:sz="4" w:space="0" w:color="000000"/>
            </w:tcBorders>
            <w:shd w:val="clear" w:color="000000" w:fill="FFFFFF"/>
            <w:hideMark/>
          </w:tcPr>
          <w:p w14:paraId="04C5AD6A"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nil"/>
              <w:left w:val="nil"/>
              <w:bottom w:val="nil"/>
              <w:right w:val="single" w:sz="4" w:space="0" w:color="000000"/>
            </w:tcBorders>
            <w:shd w:val="clear" w:color="000000" w:fill="FFFFFF"/>
            <w:hideMark/>
          </w:tcPr>
          <w:p w14:paraId="2E9A64F2"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c>
          <w:tcPr>
            <w:tcW w:w="1560" w:type="dxa"/>
            <w:tcBorders>
              <w:top w:val="nil"/>
              <w:left w:val="nil"/>
              <w:bottom w:val="nil"/>
              <w:right w:val="single" w:sz="4" w:space="0" w:color="000000"/>
            </w:tcBorders>
            <w:shd w:val="clear" w:color="000000" w:fill="FFFFFF"/>
            <w:hideMark/>
          </w:tcPr>
          <w:p w14:paraId="741F5C8C"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w:t>
            </w:r>
          </w:p>
        </w:tc>
      </w:tr>
      <w:tr w:rsidR="00E83EFB" w:rsidRPr="00E83EFB" w14:paraId="5CDA19D8" w14:textId="77777777" w:rsidTr="00E83EFB">
        <w:trPr>
          <w:trHeight w:val="199"/>
          <w:jc w:val="center"/>
        </w:trPr>
        <w:tc>
          <w:tcPr>
            <w:tcW w:w="3440" w:type="dxa"/>
            <w:gridSpan w:val="5"/>
            <w:tcBorders>
              <w:top w:val="single" w:sz="4" w:space="0" w:color="000000"/>
              <w:left w:val="single" w:sz="4" w:space="0" w:color="000000"/>
              <w:bottom w:val="nil"/>
              <w:right w:val="single" w:sz="4" w:space="0" w:color="000000"/>
            </w:tcBorders>
            <w:shd w:val="clear" w:color="000000" w:fill="FFFFFF"/>
            <w:hideMark/>
          </w:tcPr>
          <w:p w14:paraId="75A84B6C"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GERAÇÃO LÍQUIDA DE CAIXA E EQUIVALE</w:t>
            </w:r>
            <w:r w:rsidRPr="00E83EFB">
              <w:rPr>
                <w:rFonts w:ascii="Arial" w:eastAsia="Times New Roman" w:hAnsi="Arial" w:cs="Arial"/>
                <w:b/>
                <w:bCs/>
                <w:color w:val="000000"/>
                <w:kern w:val="0"/>
                <w:sz w:val="14"/>
                <w:szCs w:val="14"/>
                <w:lang w:eastAsia="pt-BR" w:bidi="ar-SA"/>
              </w:rPr>
              <w:t>N</w:t>
            </w:r>
            <w:r w:rsidRPr="00E83EFB">
              <w:rPr>
                <w:rFonts w:ascii="Arial" w:eastAsia="Times New Roman" w:hAnsi="Arial" w:cs="Arial"/>
                <w:b/>
                <w:bCs/>
                <w:color w:val="000000"/>
                <w:kern w:val="0"/>
                <w:sz w:val="14"/>
                <w:szCs w:val="14"/>
                <w:lang w:eastAsia="pt-BR" w:bidi="ar-SA"/>
              </w:rPr>
              <w:t>TES DE CAIXA</w:t>
            </w:r>
          </w:p>
        </w:tc>
        <w:tc>
          <w:tcPr>
            <w:tcW w:w="300" w:type="dxa"/>
            <w:tcBorders>
              <w:top w:val="single" w:sz="4" w:space="0" w:color="000000"/>
              <w:left w:val="nil"/>
              <w:bottom w:val="nil"/>
              <w:right w:val="single" w:sz="4" w:space="0" w:color="000000"/>
            </w:tcBorders>
            <w:shd w:val="clear" w:color="000000" w:fill="FFFFFF"/>
            <w:hideMark/>
          </w:tcPr>
          <w:p w14:paraId="546272EE" w14:textId="77777777" w:rsidR="00E83EFB" w:rsidRPr="00E83EFB" w:rsidRDefault="00E83EFB" w:rsidP="00E83EF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22</w:t>
            </w:r>
          </w:p>
        </w:tc>
        <w:tc>
          <w:tcPr>
            <w:tcW w:w="1480" w:type="dxa"/>
            <w:tcBorders>
              <w:top w:val="single" w:sz="4" w:space="0" w:color="000000"/>
              <w:left w:val="nil"/>
              <w:bottom w:val="nil"/>
              <w:right w:val="single" w:sz="4" w:space="0" w:color="000000"/>
            </w:tcBorders>
            <w:shd w:val="clear" w:color="000000" w:fill="FFFFFF"/>
            <w:hideMark/>
          </w:tcPr>
          <w:p w14:paraId="5FE008AC"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-8.967.938.996,45</w:t>
            </w:r>
          </w:p>
        </w:tc>
        <w:tc>
          <w:tcPr>
            <w:tcW w:w="1560" w:type="dxa"/>
            <w:tcBorders>
              <w:top w:val="single" w:sz="4" w:space="0" w:color="000000"/>
              <w:left w:val="nil"/>
              <w:bottom w:val="nil"/>
              <w:right w:val="single" w:sz="4" w:space="0" w:color="000000"/>
            </w:tcBorders>
            <w:shd w:val="clear" w:color="000000" w:fill="FFFFFF"/>
            <w:hideMark/>
          </w:tcPr>
          <w:p w14:paraId="30B9A420"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573.075.892,20</w:t>
            </w:r>
          </w:p>
        </w:tc>
      </w:tr>
      <w:tr w:rsidR="00E83EFB" w:rsidRPr="00E83EFB" w14:paraId="02E641A9" w14:textId="77777777" w:rsidTr="00E83EFB">
        <w:trPr>
          <w:trHeight w:val="199"/>
          <w:jc w:val="center"/>
        </w:trPr>
        <w:tc>
          <w:tcPr>
            <w:tcW w:w="3440" w:type="dxa"/>
            <w:gridSpan w:val="5"/>
            <w:tcBorders>
              <w:top w:val="single" w:sz="4" w:space="0" w:color="000000"/>
              <w:left w:val="single" w:sz="4" w:space="0" w:color="000000"/>
              <w:bottom w:val="nil"/>
              <w:right w:val="single" w:sz="4" w:space="0" w:color="000000"/>
            </w:tcBorders>
            <w:shd w:val="clear" w:color="000000" w:fill="FFFFFF"/>
            <w:hideMark/>
          </w:tcPr>
          <w:p w14:paraId="361E527B"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CAIXA E EQUIVALENTES DE CAIXA INICIAL</w:t>
            </w:r>
          </w:p>
        </w:tc>
        <w:tc>
          <w:tcPr>
            <w:tcW w:w="300" w:type="dxa"/>
            <w:tcBorders>
              <w:top w:val="single" w:sz="4" w:space="0" w:color="000000"/>
              <w:left w:val="nil"/>
              <w:bottom w:val="nil"/>
              <w:right w:val="single" w:sz="4" w:space="0" w:color="000000"/>
            </w:tcBorders>
            <w:shd w:val="clear" w:color="000000" w:fill="FFFFFF"/>
            <w:hideMark/>
          </w:tcPr>
          <w:p w14:paraId="444EF873"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single" w:sz="4" w:space="0" w:color="000000"/>
              <w:left w:val="nil"/>
              <w:bottom w:val="nil"/>
              <w:right w:val="single" w:sz="4" w:space="0" w:color="000000"/>
            </w:tcBorders>
            <w:shd w:val="clear" w:color="000000" w:fill="FFFFFF"/>
            <w:hideMark/>
          </w:tcPr>
          <w:p w14:paraId="249E1D5C"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38.418.290.425,43</w:t>
            </w:r>
          </w:p>
        </w:tc>
        <w:tc>
          <w:tcPr>
            <w:tcW w:w="1560" w:type="dxa"/>
            <w:tcBorders>
              <w:top w:val="single" w:sz="4" w:space="0" w:color="000000"/>
              <w:left w:val="nil"/>
              <w:bottom w:val="nil"/>
              <w:right w:val="single" w:sz="4" w:space="0" w:color="000000"/>
            </w:tcBorders>
            <w:shd w:val="clear" w:color="000000" w:fill="FFFFFF"/>
            <w:hideMark/>
          </w:tcPr>
          <w:p w14:paraId="60D91422"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37.845.214.533,23</w:t>
            </w:r>
          </w:p>
        </w:tc>
      </w:tr>
      <w:tr w:rsidR="00E83EFB" w:rsidRPr="00E83EFB" w14:paraId="6625157C" w14:textId="77777777" w:rsidTr="00E83EFB">
        <w:trPr>
          <w:trHeight w:val="199"/>
          <w:jc w:val="center"/>
        </w:trPr>
        <w:tc>
          <w:tcPr>
            <w:tcW w:w="3440" w:type="dxa"/>
            <w:gridSpan w:val="5"/>
            <w:tcBorders>
              <w:top w:val="single" w:sz="4" w:space="0" w:color="000000"/>
              <w:left w:val="single" w:sz="4" w:space="0" w:color="000000"/>
              <w:bottom w:val="nil"/>
              <w:right w:val="single" w:sz="4" w:space="0" w:color="000000"/>
            </w:tcBorders>
            <w:shd w:val="clear" w:color="000000" w:fill="FFFFFF"/>
            <w:hideMark/>
          </w:tcPr>
          <w:p w14:paraId="567193AF"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CAIXA E EQUIVALENTE DE CAIXA FINAL</w:t>
            </w:r>
          </w:p>
        </w:tc>
        <w:tc>
          <w:tcPr>
            <w:tcW w:w="300" w:type="dxa"/>
            <w:tcBorders>
              <w:top w:val="single" w:sz="4" w:space="0" w:color="000000"/>
              <w:left w:val="nil"/>
              <w:bottom w:val="nil"/>
              <w:right w:val="single" w:sz="4" w:space="0" w:color="000000"/>
            </w:tcBorders>
            <w:shd w:val="clear" w:color="000000" w:fill="FFFFFF"/>
            <w:hideMark/>
          </w:tcPr>
          <w:p w14:paraId="5E3B8F9E" w14:textId="77777777" w:rsidR="00E83EFB" w:rsidRPr="00E83EFB" w:rsidRDefault="00E83EFB" w:rsidP="00E83EFB">
            <w:pPr>
              <w:widowControl/>
              <w:suppressAutoHyphens w:val="0"/>
              <w:autoSpaceDN/>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 </w:t>
            </w:r>
          </w:p>
        </w:tc>
        <w:tc>
          <w:tcPr>
            <w:tcW w:w="1480" w:type="dxa"/>
            <w:tcBorders>
              <w:top w:val="single" w:sz="4" w:space="0" w:color="000000"/>
              <w:left w:val="nil"/>
              <w:bottom w:val="nil"/>
              <w:right w:val="single" w:sz="4" w:space="0" w:color="000000"/>
            </w:tcBorders>
            <w:shd w:val="clear" w:color="000000" w:fill="FFFFFF"/>
            <w:hideMark/>
          </w:tcPr>
          <w:p w14:paraId="2E019896"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29.450.351.428,98</w:t>
            </w:r>
          </w:p>
        </w:tc>
        <w:tc>
          <w:tcPr>
            <w:tcW w:w="1560" w:type="dxa"/>
            <w:tcBorders>
              <w:top w:val="single" w:sz="4" w:space="0" w:color="000000"/>
              <w:left w:val="nil"/>
              <w:bottom w:val="nil"/>
              <w:right w:val="single" w:sz="4" w:space="0" w:color="000000"/>
            </w:tcBorders>
            <w:shd w:val="clear" w:color="000000" w:fill="FFFFFF"/>
            <w:hideMark/>
          </w:tcPr>
          <w:p w14:paraId="0E477375" w14:textId="77777777" w:rsidR="00E83EFB" w:rsidRPr="00E83EFB" w:rsidRDefault="00E83EFB" w:rsidP="00E83EFB">
            <w:pPr>
              <w:widowControl/>
              <w:suppressAutoHyphens w:val="0"/>
              <w:autoSpaceDN/>
              <w:jc w:val="right"/>
              <w:textAlignment w:val="auto"/>
              <w:rPr>
                <w:rFonts w:ascii="Arial" w:eastAsia="Times New Roman" w:hAnsi="Arial" w:cs="Arial"/>
                <w:b/>
                <w:bCs/>
                <w:color w:val="000000"/>
                <w:kern w:val="0"/>
                <w:sz w:val="14"/>
                <w:szCs w:val="14"/>
                <w:lang w:eastAsia="pt-BR" w:bidi="ar-SA"/>
              </w:rPr>
            </w:pPr>
            <w:r w:rsidRPr="00E83EFB">
              <w:rPr>
                <w:rFonts w:ascii="Arial" w:eastAsia="Times New Roman" w:hAnsi="Arial" w:cs="Arial"/>
                <w:b/>
                <w:bCs/>
                <w:color w:val="000000"/>
                <w:kern w:val="0"/>
                <w:sz w:val="14"/>
                <w:szCs w:val="14"/>
                <w:lang w:eastAsia="pt-BR" w:bidi="ar-SA"/>
              </w:rPr>
              <w:t>38.418.290.425,43</w:t>
            </w:r>
          </w:p>
        </w:tc>
      </w:tr>
      <w:tr w:rsidR="00E83EFB" w:rsidRPr="00E83EFB" w14:paraId="624C5DF1" w14:textId="77777777" w:rsidTr="00E83EFB">
        <w:trPr>
          <w:trHeight w:val="19"/>
          <w:jc w:val="center"/>
        </w:trPr>
        <w:tc>
          <w:tcPr>
            <w:tcW w:w="6780" w:type="dxa"/>
            <w:gridSpan w:val="8"/>
            <w:tcBorders>
              <w:top w:val="single" w:sz="4" w:space="0" w:color="000000"/>
              <w:left w:val="nil"/>
              <w:bottom w:val="nil"/>
              <w:right w:val="nil"/>
            </w:tcBorders>
            <w:shd w:val="clear" w:color="000000" w:fill="FFFFFF"/>
            <w:hideMark/>
          </w:tcPr>
          <w:p w14:paraId="37B628EA" w14:textId="77777777" w:rsidR="00E83EFB" w:rsidRPr="00E83EFB" w:rsidRDefault="00E83EFB" w:rsidP="00E83EFB">
            <w:pPr>
              <w:widowControl/>
              <w:suppressAutoHyphens w:val="0"/>
              <w:autoSpaceDN/>
              <w:textAlignment w:val="auto"/>
              <w:rPr>
                <w:rFonts w:ascii="SansSerif" w:eastAsia="Times New Roman" w:hAnsi="SansSerif" w:cs="Arial"/>
                <w:color w:val="000000"/>
                <w:kern w:val="0"/>
                <w:sz w:val="14"/>
                <w:szCs w:val="14"/>
                <w:lang w:eastAsia="pt-BR" w:bidi="ar-SA"/>
              </w:rPr>
            </w:pPr>
            <w:r w:rsidRPr="00E83EFB">
              <w:rPr>
                <w:rFonts w:ascii="SansSerif" w:eastAsia="Times New Roman" w:hAnsi="SansSerif" w:cs="Arial"/>
                <w:color w:val="000000"/>
                <w:kern w:val="0"/>
                <w:sz w:val="14"/>
                <w:szCs w:val="14"/>
                <w:lang w:eastAsia="pt-BR" w:bidi="ar-SA"/>
              </w:rPr>
              <w:t> </w:t>
            </w:r>
          </w:p>
        </w:tc>
      </w:tr>
    </w:tbl>
    <w:p w14:paraId="32CE86C2" w14:textId="77777777" w:rsidR="00397A9E" w:rsidRDefault="00397A9E" w:rsidP="0007600A"/>
    <w:p w14:paraId="38149944" w14:textId="77777777" w:rsidR="00397A9E" w:rsidRDefault="00397A9E">
      <w:pPr>
        <w:rPr>
          <w:lang w:eastAsia="en-US" w:bidi="ar-SA"/>
        </w:rPr>
      </w:pPr>
    </w:p>
    <w:p w14:paraId="0948A8E9" w14:textId="77777777" w:rsidR="00397A9E" w:rsidRDefault="003210ED">
      <w:pPr>
        <w:jc w:val="center"/>
        <w:rPr>
          <w:b/>
        </w:rPr>
      </w:pPr>
      <w:r>
        <w:rPr>
          <w:b/>
        </w:rPr>
        <w:t>Demonstração das Mutações do Patrimônio Líquido</w:t>
      </w:r>
    </w:p>
    <w:p w14:paraId="4384B901" w14:textId="77777777" w:rsidR="00397A9E" w:rsidRPr="00B6765E" w:rsidRDefault="00397A9E">
      <w:pPr>
        <w:jc w:val="center"/>
        <w:rPr>
          <w:b/>
          <w:bCs/>
          <w:sz w:val="16"/>
          <w:szCs w:val="16"/>
        </w:rPr>
      </w:pPr>
    </w:p>
    <w:p w14:paraId="55BA2458" w14:textId="77777777" w:rsidR="00397A9E" w:rsidRDefault="00397A9E" w:rsidP="00AD22B1">
      <w:pPr>
        <w:jc w:val="center"/>
      </w:pPr>
    </w:p>
    <w:tbl>
      <w:tblPr>
        <w:tblW w:w="14260" w:type="dxa"/>
        <w:tblInd w:w="70" w:type="dxa"/>
        <w:tblCellMar>
          <w:left w:w="70" w:type="dxa"/>
          <w:right w:w="70" w:type="dxa"/>
        </w:tblCellMar>
        <w:tblLook w:val="04A0" w:firstRow="1" w:lastRow="0" w:firstColumn="1" w:lastColumn="0" w:noHBand="0" w:noVBand="1"/>
      </w:tblPr>
      <w:tblGrid>
        <w:gridCol w:w="1100"/>
        <w:gridCol w:w="976"/>
        <w:gridCol w:w="976"/>
        <w:gridCol w:w="171"/>
        <w:gridCol w:w="413"/>
        <w:gridCol w:w="1308"/>
        <w:gridCol w:w="976"/>
        <w:gridCol w:w="976"/>
        <w:gridCol w:w="1076"/>
        <w:gridCol w:w="976"/>
        <w:gridCol w:w="1076"/>
        <w:gridCol w:w="1386"/>
        <w:gridCol w:w="1076"/>
        <w:gridCol w:w="989"/>
        <w:gridCol w:w="1596"/>
      </w:tblGrid>
      <w:tr w:rsidR="004B06DB" w:rsidRPr="004B06DB" w14:paraId="3513FA37" w14:textId="77777777" w:rsidTr="004B06DB">
        <w:trPr>
          <w:trHeight w:val="300"/>
        </w:trPr>
        <w:tc>
          <w:tcPr>
            <w:tcW w:w="976" w:type="dxa"/>
            <w:tcBorders>
              <w:top w:val="nil"/>
              <w:left w:val="nil"/>
              <w:bottom w:val="nil"/>
              <w:right w:val="nil"/>
            </w:tcBorders>
            <w:shd w:val="clear" w:color="auto" w:fill="auto"/>
            <w:noWrap/>
            <w:vAlign w:val="bottom"/>
            <w:hideMark/>
          </w:tcPr>
          <w:p w14:paraId="73EB399B" w14:textId="41D26FAF"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r w:rsidRPr="004B06DB">
              <w:rPr>
                <w:rFonts w:ascii="Calibri" w:eastAsia="Times New Roman" w:hAnsi="Calibri" w:cs="Calibri"/>
                <w:noProof/>
                <w:color w:val="000000"/>
                <w:kern w:val="0"/>
                <w:sz w:val="14"/>
                <w:szCs w:val="14"/>
                <w:lang w:eastAsia="pt-BR" w:bidi="ar-SA"/>
              </w:rPr>
              <w:drawing>
                <wp:anchor distT="0" distB="0" distL="114300" distR="114300" simplePos="0" relativeHeight="251677696" behindDoc="0" locked="0" layoutInCell="1" allowOverlap="1" wp14:anchorId="5F30F31B" wp14:editId="533C0D2E">
                  <wp:simplePos x="0" y="0"/>
                  <wp:positionH relativeFrom="column">
                    <wp:posOffset>47625</wp:posOffset>
                  </wp:positionH>
                  <wp:positionV relativeFrom="paragraph">
                    <wp:posOffset>0</wp:posOffset>
                  </wp:positionV>
                  <wp:extent cx="333375" cy="533400"/>
                  <wp:effectExtent l="0" t="0" r="9525" b="0"/>
                  <wp:wrapNone/>
                  <wp:docPr id="9" name="Imagem 9"/>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529442"/>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4B06DB" w:rsidRPr="004B06DB" w14:paraId="0CE0B85F" w14:textId="77777777">
              <w:trPr>
                <w:trHeight w:val="300"/>
                <w:tblCellSpacing w:w="0" w:type="dxa"/>
              </w:trPr>
              <w:tc>
                <w:tcPr>
                  <w:tcW w:w="960" w:type="dxa"/>
                  <w:tcBorders>
                    <w:top w:val="nil"/>
                    <w:left w:val="nil"/>
                    <w:bottom w:val="nil"/>
                    <w:right w:val="nil"/>
                  </w:tcBorders>
                  <w:shd w:val="clear" w:color="auto" w:fill="auto"/>
                  <w:noWrap/>
                  <w:vAlign w:val="bottom"/>
                  <w:hideMark/>
                </w:tcPr>
                <w:p w14:paraId="220DF79B"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r>
          </w:tbl>
          <w:p w14:paraId="240DDDCB"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976" w:type="dxa"/>
            <w:tcBorders>
              <w:top w:val="nil"/>
              <w:left w:val="nil"/>
              <w:bottom w:val="nil"/>
              <w:right w:val="nil"/>
            </w:tcBorders>
            <w:shd w:val="clear" w:color="auto" w:fill="auto"/>
            <w:noWrap/>
            <w:vAlign w:val="bottom"/>
            <w:hideMark/>
          </w:tcPr>
          <w:p w14:paraId="430280F3"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976" w:type="dxa"/>
            <w:tcBorders>
              <w:top w:val="nil"/>
              <w:left w:val="nil"/>
              <w:bottom w:val="nil"/>
              <w:right w:val="nil"/>
            </w:tcBorders>
            <w:shd w:val="clear" w:color="auto" w:fill="auto"/>
            <w:noWrap/>
            <w:vAlign w:val="bottom"/>
            <w:hideMark/>
          </w:tcPr>
          <w:p w14:paraId="5219B9B3"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156" w:type="dxa"/>
            <w:tcBorders>
              <w:top w:val="nil"/>
              <w:left w:val="nil"/>
              <w:bottom w:val="nil"/>
              <w:right w:val="nil"/>
            </w:tcBorders>
            <w:shd w:val="clear" w:color="auto" w:fill="auto"/>
            <w:noWrap/>
            <w:vAlign w:val="bottom"/>
            <w:hideMark/>
          </w:tcPr>
          <w:p w14:paraId="3FF5F68C"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356" w:type="dxa"/>
            <w:tcBorders>
              <w:top w:val="nil"/>
              <w:left w:val="nil"/>
              <w:bottom w:val="nil"/>
              <w:right w:val="nil"/>
            </w:tcBorders>
            <w:shd w:val="clear" w:color="auto" w:fill="auto"/>
            <w:noWrap/>
            <w:vAlign w:val="bottom"/>
            <w:hideMark/>
          </w:tcPr>
          <w:p w14:paraId="5A002FA0"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976" w:type="dxa"/>
            <w:tcBorders>
              <w:top w:val="nil"/>
              <w:left w:val="nil"/>
              <w:bottom w:val="nil"/>
              <w:right w:val="nil"/>
            </w:tcBorders>
            <w:shd w:val="clear" w:color="auto" w:fill="auto"/>
            <w:noWrap/>
            <w:vAlign w:val="bottom"/>
            <w:hideMark/>
          </w:tcPr>
          <w:p w14:paraId="542FF400"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976" w:type="dxa"/>
            <w:tcBorders>
              <w:top w:val="nil"/>
              <w:left w:val="nil"/>
              <w:bottom w:val="nil"/>
              <w:right w:val="nil"/>
            </w:tcBorders>
            <w:shd w:val="clear" w:color="auto" w:fill="auto"/>
            <w:noWrap/>
            <w:vAlign w:val="bottom"/>
            <w:hideMark/>
          </w:tcPr>
          <w:p w14:paraId="4EB08CE6"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976" w:type="dxa"/>
            <w:tcBorders>
              <w:top w:val="nil"/>
              <w:left w:val="nil"/>
              <w:bottom w:val="nil"/>
              <w:right w:val="nil"/>
            </w:tcBorders>
            <w:shd w:val="clear" w:color="auto" w:fill="auto"/>
            <w:noWrap/>
            <w:vAlign w:val="bottom"/>
            <w:hideMark/>
          </w:tcPr>
          <w:p w14:paraId="661A38C8"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1076" w:type="dxa"/>
            <w:tcBorders>
              <w:top w:val="nil"/>
              <w:left w:val="nil"/>
              <w:bottom w:val="nil"/>
              <w:right w:val="nil"/>
            </w:tcBorders>
            <w:shd w:val="clear" w:color="auto" w:fill="auto"/>
            <w:noWrap/>
            <w:vAlign w:val="bottom"/>
            <w:hideMark/>
          </w:tcPr>
          <w:p w14:paraId="170139B5"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976" w:type="dxa"/>
            <w:tcBorders>
              <w:top w:val="nil"/>
              <w:left w:val="nil"/>
              <w:bottom w:val="nil"/>
              <w:right w:val="nil"/>
            </w:tcBorders>
            <w:shd w:val="clear" w:color="auto" w:fill="auto"/>
            <w:noWrap/>
            <w:vAlign w:val="bottom"/>
            <w:hideMark/>
          </w:tcPr>
          <w:p w14:paraId="250FA18F"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1076" w:type="dxa"/>
            <w:tcBorders>
              <w:top w:val="nil"/>
              <w:left w:val="nil"/>
              <w:bottom w:val="nil"/>
              <w:right w:val="nil"/>
            </w:tcBorders>
            <w:shd w:val="clear" w:color="auto" w:fill="auto"/>
            <w:noWrap/>
            <w:vAlign w:val="bottom"/>
            <w:hideMark/>
          </w:tcPr>
          <w:p w14:paraId="63B5A564"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1116" w:type="dxa"/>
            <w:tcBorders>
              <w:top w:val="nil"/>
              <w:left w:val="nil"/>
              <w:bottom w:val="nil"/>
              <w:right w:val="nil"/>
            </w:tcBorders>
            <w:shd w:val="clear" w:color="auto" w:fill="auto"/>
            <w:noWrap/>
            <w:vAlign w:val="bottom"/>
            <w:hideMark/>
          </w:tcPr>
          <w:p w14:paraId="4A96E13E"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1076" w:type="dxa"/>
            <w:tcBorders>
              <w:top w:val="nil"/>
              <w:left w:val="nil"/>
              <w:bottom w:val="nil"/>
              <w:right w:val="nil"/>
            </w:tcBorders>
            <w:shd w:val="clear" w:color="auto" w:fill="auto"/>
            <w:noWrap/>
            <w:vAlign w:val="bottom"/>
            <w:hideMark/>
          </w:tcPr>
          <w:p w14:paraId="194BE14A"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976" w:type="dxa"/>
            <w:tcBorders>
              <w:top w:val="nil"/>
              <w:left w:val="nil"/>
              <w:bottom w:val="nil"/>
              <w:right w:val="nil"/>
            </w:tcBorders>
            <w:shd w:val="clear" w:color="auto" w:fill="auto"/>
            <w:noWrap/>
            <w:vAlign w:val="bottom"/>
            <w:hideMark/>
          </w:tcPr>
          <w:p w14:paraId="0F0E9E97"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c>
          <w:tcPr>
            <w:tcW w:w="1596" w:type="dxa"/>
            <w:tcBorders>
              <w:top w:val="nil"/>
              <w:left w:val="nil"/>
              <w:bottom w:val="nil"/>
              <w:right w:val="nil"/>
            </w:tcBorders>
            <w:shd w:val="clear" w:color="auto" w:fill="auto"/>
            <w:noWrap/>
            <w:vAlign w:val="bottom"/>
            <w:hideMark/>
          </w:tcPr>
          <w:p w14:paraId="3EE6BE01" w14:textId="77777777" w:rsidR="004B06DB" w:rsidRPr="004B06DB" w:rsidRDefault="004B06DB" w:rsidP="004B06DB">
            <w:pPr>
              <w:widowControl/>
              <w:suppressAutoHyphens w:val="0"/>
              <w:autoSpaceDN/>
              <w:textAlignment w:val="auto"/>
              <w:rPr>
                <w:rFonts w:ascii="Calibri" w:eastAsia="Times New Roman" w:hAnsi="Calibri" w:cs="Calibri"/>
                <w:color w:val="000000"/>
                <w:kern w:val="0"/>
                <w:sz w:val="14"/>
                <w:szCs w:val="14"/>
                <w:lang w:eastAsia="pt-BR" w:bidi="ar-SA"/>
              </w:rPr>
            </w:pPr>
          </w:p>
        </w:tc>
      </w:tr>
      <w:tr w:rsidR="004B06DB" w:rsidRPr="004B06DB" w14:paraId="75F36420" w14:textId="77777777" w:rsidTr="004B06DB">
        <w:trPr>
          <w:trHeight w:val="300"/>
        </w:trPr>
        <w:tc>
          <w:tcPr>
            <w:tcW w:w="976" w:type="dxa"/>
            <w:tcBorders>
              <w:top w:val="nil"/>
              <w:left w:val="nil"/>
              <w:bottom w:val="nil"/>
              <w:right w:val="nil"/>
            </w:tcBorders>
            <w:shd w:val="clear" w:color="000000" w:fill="FFFFFF"/>
            <w:hideMark/>
          </w:tcPr>
          <w:p w14:paraId="5A72DF41"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03EBA133"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3440" w:type="dxa"/>
            <w:gridSpan w:val="5"/>
            <w:tcBorders>
              <w:top w:val="nil"/>
              <w:left w:val="nil"/>
              <w:bottom w:val="nil"/>
              <w:right w:val="nil"/>
            </w:tcBorders>
            <w:shd w:val="clear" w:color="000000" w:fill="FFFFFF"/>
            <w:hideMark/>
          </w:tcPr>
          <w:p w14:paraId="0193DA2D" w14:textId="77777777" w:rsidR="004B06DB" w:rsidRPr="004B06DB" w:rsidRDefault="004B06DB" w:rsidP="004B06DB">
            <w:pPr>
              <w:widowControl/>
              <w:suppressAutoHyphens w:val="0"/>
              <w:autoSpaceDN/>
              <w:textAlignment w:val="auto"/>
              <w:rPr>
                <w:rFonts w:ascii="SansSerif" w:eastAsia="Times New Roman" w:hAnsi="SansSerif" w:cs="Calibri"/>
                <w:b/>
                <w:bCs/>
                <w:color w:val="000000"/>
                <w:kern w:val="0"/>
                <w:sz w:val="14"/>
                <w:szCs w:val="14"/>
                <w:lang w:eastAsia="pt-BR" w:bidi="ar-SA"/>
              </w:rPr>
            </w:pPr>
            <w:r w:rsidRPr="004B06DB">
              <w:rPr>
                <w:rFonts w:ascii="SansSerif" w:eastAsia="Times New Roman" w:hAnsi="SansSerif" w:cs="Calibri"/>
                <w:b/>
                <w:bCs/>
                <w:color w:val="000000"/>
                <w:kern w:val="0"/>
                <w:sz w:val="14"/>
                <w:szCs w:val="14"/>
                <w:lang w:eastAsia="pt-BR" w:bidi="ar-SA"/>
              </w:rPr>
              <w:t>MINISTÉRIO DA FAZENDA</w:t>
            </w:r>
          </w:p>
        </w:tc>
        <w:tc>
          <w:tcPr>
            <w:tcW w:w="976" w:type="dxa"/>
            <w:tcBorders>
              <w:top w:val="nil"/>
              <w:left w:val="nil"/>
              <w:bottom w:val="nil"/>
              <w:right w:val="nil"/>
            </w:tcBorders>
            <w:shd w:val="clear" w:color="000000" w:fill="FFFFFF"/>
            <w:hideMark/>
          </w:tcPr>
          <w:p w14:paraId="2025B01D"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60E2121D"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5BDDD61C"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686BE429"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116" w:type="dxa"/>
            <w:tcBorders>
              <w:top w:val="nil"/>
              <w:left w:val="nil"/>
              <w:bottom w:val="nil"/>
              <w:right w:val="nil"/>
            </w:tcBorders>
            <w:shd w:val="clear" w:color="000000" w:fill="FFFFFF"/>
            <w:hideMark/>
          </w:tcPr>
          <w:p w14:paraId="0E1CD9A1"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03D5BC13"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399CDC6D"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596" w:type="dxa"/>
            <w:tcBorders>
              <w:top w:val="nil"/>
              <w:left w:val="nil"/>
              <w:bottom w:val="nil"/>
              <w:right w:val="nil"/>
            </w:tcBorders>
            <w:shd w:val="clear" w:color="000000" w:fill="FFFFFF"/>
            <w:hideMark/>
          </w:tcPr>
          <w:p w14:paraId="51C10BED"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r>
      <w:tr w:rsidR="004B06DB" w:rsidRPr="004B06DB" w14:paraId="40C58D55" w14:textId="77777777" w:rsidTr="004B06DB">
        <w:trPr>
          <w:trHeight w:val="300"/>
        </w:trPr>
        <w:tc>
          <w:tcPr>
            <w:tcW w:w="976" w:type="dxa"/>
            <w:tcBorders>
              <w:top w:val="nil"/>
              <w:left w:val="nil"/>
              <w:bottom w:val="nil"/>
              <w:right w:val="nil"/>
            </w:tcBorders>
            <w:shd w:val="clear" w:color="000000" w:fill="FFFFFF"/>
            <w:hideMark/>
          </w:tcPr>
          <w:p w14:paraId="15552872"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7EFD6AF6"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3440" w:type="dxa"/>
            <w:gridSpan w:val="5"/>
            <w:tcBorders>
              <w:top w:val="nil"/>
              <w:left w:val="nil"/>
              <w:bottom w:val="nil"/>
              <w:right w:val="nil"/>
            </w:tcBorders>
            <w:shd w:val="clear" w:color="000000" w:fill="FFFFFF"/>
            <w:hideMark/>
          </w:tcPr>
          <w:p w14:paraId="5AFD5F7E" w14:textId="77777777" w:rsidR="004B06DB" w:rsidRPr="004B06DB" w:rsidRDefault="004B06DB" w:rsidP="004B06DB">
            <w:pPr>
              <w:widowControl/>
              <w:suppressAutoHyphens w:val="0"/>
              <w:autoSpaceDN/>
              <w:textAlignment w:val="auto"/>
              <w:rPr>
                <w:rFonts w:ascii="SansSerif" w:eastAsia="Times New Roman" w:hAnsi="SansSerif" w:cs="Calibri"/>
                <w:b/>
                <w:bCs/>
                <w:color w:val="000000"/>
                <w:kern w:val="0"/>
                <w:sz w:val="14"/>
                <w:szCs w:val="14"/>
                <w:lang w:eastAsia="pt-BR" w:bidi="ar-SA"/>
              </w:rPr>
            </w:pPr>
            <w:r w:rsidRPr="004B06DB">
              <w:rPr>
                <w:rFonts w:ascii="SansSerif" w:eastAsia="Times New Roman" w:hAnsi="SansSerif" w:cs="Calibri"/>
                <w:b/>
                <w:bCs/>
                <w:color w:val="000000"/>
                <w:kern w:val="0"/>
                <w:sz w:val="14"/>
                <w:szCs w:val="14"/>
                <w:lang w:eastAsia="pt-BR" w:bidi="ar-SA"/>
              </w:rPr>
              <w:t>SECRETARIA DO TESOURO NACIONAL</w:t>
            </w:r>
          </w:p>
        </w:tc>
        <w:tc>
          <w:tcPr>
            <w:tcW w:w="976" w:type="dxa"/>
            <w:tcBorders>
              <w:top w:val="nil"/>
              <w:left w:val="nil"/>
              <w:bottom w:val="nil"/>
              <w:right w:val="nil"/>
            </w:tcBorders>
            <w:shd w:val="clear" w:color="000000" w:fill="FFFFFF"/>
            <w:hideMark/>
          </w:tcPr>
          <w:p w14:paraId="454555FD"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1000B65C"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0660AD09"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45DADBEE"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116" w:type="dxa"/>
            <w:tcBorders>
              <w:top w:val="nil"/>
              <w:left w:val="nil"/>
              <w:bottom w:val="nil"/>
              <w:right w:val="nil"/>
            </w:tcBorders>
            <w:shd w:val="clear" w:color="000000" w:fill="FFFFFF"/>
            <w:hideMark/>
          </w:tcPr>
          <w:p w14:paraId="783412FF"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00C9C32A"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5750E5EB"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596" w:type="dxa"/>
            <w:tcBorders>
              <w:top w:val="nil"/>
              <w:left w:val="nil"/>
              <w:bottom w:val="nil"/>
              <w:right w:val="nil"/>
            </w:tcBorders>
            <w:shd w:val="clear" w:color="000000" w:fill="FFFFFF"/>
            <w:hideMark/>
          </w:tcPr>
          <w:p w14:paraId="55914309"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r>
      <w:tr w:rsidR="004B06DB" w:rsidRPr="004B06DB" w14:paraId="36F0B4BF" w14:textId="77777777" w:rsidTr="004B06DB">
        <w:trPr>
          <w:trHeight w:val="300"/>
        </w:trPr>
        <w:tc>
          <w:tcPr>
            <w:tcW w:w="976" w:type="dxa"/>
            <w:tcBorders>
              <w:top w:val="nil"/>
              <w:left w:val="nil"/>
              <w:bottom w:val="nil"/>
              <w:right w:val="nil"/>
            </w:tcBorders>
            <w:shd w:val="clear" w:color="000000" w:fill="FFFFFF"/>
            <w:hideMark/>
          </w:tcPr>
          <w:p w14:paraId="75CBC048"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249C7229"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20D446DE"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56" w:type="dxa"/>
            <w:tcBorders>
              <w:top w:val="nil"/>
              <w:left w:val="nil"/>
              <w:bottom w:val="nil"/>
              <w:right w:val="nil"/>
            </w:tcBorders>
            <w:shd w:val="clear" w:color="000000" w:fill="FFFFFF"/>
            <w:hideMark/>
          </w:tcPr>
          <w:p w14:paraId="0AAF806D"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356" w:type="dxa"/>
            <w:tcBorders>
              <w:top w:val="nil"/>
              <w:left w:val="nil"/>
              <w:bottom w:val="nil"/>
              <w:right w:val="nil"/>
            </w:tcBorders>
            <w:shd w:val="clear" w:color="000000" w:fill="FFFFFF"/>
            <w:hideMark/>
          </w:tcPr>
          <w:p w14:paraId="09DE9DE8"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3C5C8B9F"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45653165"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5624D957"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5EB2BCCA"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0A017797"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7555860A"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116" w:type="dxa"/>
            <w:tcBorders>
              <w:top w:val="nil"/>
              <w:left w:val="nil"/>
              <w:bottom w:val="nil"/>
              <w:right w:val="nil"/>
            </w:tcBorders>
            <w:shd w:val="clear" w:color="000000" w:fill="FFFFFF"/>
            <w:hideMark/>
          </w:tcPr>
          <w:p w14:paraId="6D041196"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50238D52"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7EF156EE"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596" w:type="dxa"/>
            <w:tcBorders>
              <w:top w:val="nil"/>
              <w:left w:val="nil"/>
              <w:bottom w:val="nil"/>
              <w:right w:val="nil"/>
            </w:tcBorders>
            <w:shd w:val="clear" w:color="000000" w:fill="FFFFFF"/>
            <w:hideMark/>
          </w:tcPr>
          <w:p w14:paraId="0BA0E7FE"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r>
      <w:tr w:rsidR="004B06DB" w:rsidRPr="004B06DB" w14:paraId="1B6586F8" w14:textId="77777777" w:rsidTr="004B06DB">
        <w:trPr>
          <w:trHeight w:val="300"/>
        </w:trPr>
        <w:tc>
          <w:tcPr>
            <w:tcW w:w="2928" w:type="dxa"/>
            <w:gridSpan w:val="3"/>
            <w:tcBorders>
              <w:top w:val="nil"/>
              <w:left w:val="nil"/>
              <w:bottom w:val="nil"/>
              <w:right w:val="nil"/>
            </w:tcBorders>
            <w:shd w:val="clear" w:color="000000" w:fill="FFFFFF"/>
            <w:vAlign w:val="center"/>
            <w:hideMark/>
          </w:tcPr>
          <w:p w14:paraId="4B52C313"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TITULO</w:t>
            </w:r>
          </w:p>
        </w:tc>
        <w:tc>
          <w:tcPr>
            <w:tcW w:w="156" w:type="dxa"/>
            <w:tcBorders>
              <w:top w:val="nil"/>
              <w:left w:val="nil"/>
              <w:bottom w:val="nil"/>
              <w:right w:val="nil"/>
            </w:tcBorders>
            <w:shd w:val="clear" w:color="000000" w:fill="FFFFFF"/>
            <w:hideMark/>
          </w:tcPr>
          <w:p w14:paraId="411298E1"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1176" w:type="dxa"/>
            <w:gridSpan w:val="11"/>
            <w:tcBorders>
              <w:top w:val="nil"/>
              <w:left w:val="nil"/>
              <w:bottom w:val="nil"/>
              <w:right w:val="nil"/>
            </w:tcBorders>
            <w:shd w:val="clear" w:color="000000" w:fill="FFFFFF"/>
            <w:vAlign w:val="center"/>
            <w:hideMark/>
          </w:tcPr>
          <w:p w14:paraId="017FB593"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DEMONSTRAÇÃO DAS MUTAÇÕES DO PATRIMÔNIO LÍQUIDO - TODOS OS ORÇAMENTOS</w:t>
            </w:r>
          </w:p>
        </w:tc>
      </w:tr>
      <w:tr w:rsidR="004B06DB" w:rsidRPr="004B06DB" w14:paraId="4BDAF92E" w14:textId="77777777" w:rsidTr="004B06DB">
        <w:trPr>
          <w:trHeight w:val="300"/>
        </w:trPr>
        <w:tc>
          <w:tcPr>
            <w:tcW w:w="2928" w:type="dxa"/>
            <w:gridSpan w:val="3"/>
            <w:tcBorders>
              <w:top w:val="nil"/>
              <w:left w:val="nil"/>
              <w:bottom w:val="nil"/>
              <w:right w:val="nil"/>
            </w:tcBorders>
            <w:shd w:val="clear" w:color="000000" w:fill="FFFFFF"/>
            <w:vAlign w:val="center"/>
            <w:hideMark/>
          </w:tcPr>
          <w:p w14:paraId="20F7A546"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SUBTITULO</w:t>
            </w:r>
          </w:p>
        </w:tc>
        <w:tc>
          <w:tcPr>
            <w:tcW w:w="156" w:type="dxa"/>
            <w:tcBorders>
              <w:top w:val="nil"/>
              <w:left w:val="nil"/>
              <w:bottom w:val="nil"/>
              <w:right w:val="nil"/>
            </w:tcBorders>
            <w:shd w:val="clear" w:color="000000" w:fill="FFFFFF"/>
            <w:hideMark/>
          </w:tcPr>
          <w:p w14:paraId="578C30DA"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1176" w:type="dxa"/>
            <w:gridSpan w:val="11"/>
            <w:tcBorders>
              <w:top w:val="nil"/>
              <w:left w:val="nil"/>
              <w:bottom w:val="nil"/>
              <w:right w:val="nil"/>
            </w:tcBorders>
            <w:shd w:val="clear" w:color="000000" w:fill="FFFFFF"/>
            <w:vAlign w:val="center"/>
            <w:hideMark/>
          </w:tcPr>
          <w:p w14:paraId="383B0927"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53000 - MINISTERIO DO DESENVOLVIMENTO REGIONAL (SUPERIOR) - ADMINISTRAÇÃO DIRETA</w:t>
            </w:r>
          </w:p>
        </w:tc>
      </w:tr>
      <w:tr w:rsidR="004B06DB" w:rsidRPr="004B06DB" w14:paraId="78F22B07" w14:textId="77777777" w:rsidTr="004B06DB">
        <w:trPr>
          <w:trHeight w:val="300"/>
        </w:trPr>
        <w:tc>
          <w:tcPr>
            <w:tcW w:w="2928" w:type="dxa"/>
            <w:gridSpan w:val="3"/>
            <w:tcBorders>
              <w:top w:val="nil"/>
              <w:left w:val="nil"/>
              <w:bottom w:val="nil"/>
              <w:right w:val="nil"/>
            </w:tcBorders>
            <w:shd w:val="clear" w:color="000000" w:fill="FFFFFF"/>
            <w:vAlign w:val="center"/>
            <w:hideMark/>
          </w:tcPr>
          <w:p w14:paraId="2A9635A6"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ORGÃO SUPERIOR</w:t>
            </w:r>
          </w:p>
        </w:tc>
        <w:tc>
          <w:tcPr>
            <w:tcW w:w="156" w:type="dxa"/>
            <w:tcBorders>
              <w:top w:val="nil"/>
              <w:left w:val="nil"/>
              <w:bottom w:val="nil"/>
              <w:right w:val="nil"/>
            </w:tcBorders>
            <w:shd w:val="clear" w:color="000000" w:fill="FFFFFF"/>
            <w:hideMark/>
          </w:tcPr>
          <w:p w14:paraId="5F94F646"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1176" w:type="dxa"/>
            <w:gridSpan w:val="11"/>
            <w:tcBorders>
              <w:top w:val="nil"/>
              <w:left w:val="nil"/>
              <w:bottom w:val="nil"/>
              <w:right w:val="nil"/>
            </w:tcBorders>
            <w:shd w:val="clear" w:color="000000" w:fill="FFFFFF"/>
            <w:vAlign w:val="center"/>
            <w:hideMark/>
          </w:tcPr>
          <w:p w14:paraId="70B8B484"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53000 - MINISTERIO DO DESENVOLVIMENTO REGIONAL</w:t>
            </w:r>
          </w:p>
        </w:tc>
      </w:tr>
      <w:tr w:rsidR="004B06DB" w:rsidRPr="004B06DB" w14:paraId="31AB1E95" w14:textId="77777777" w:rsidTr="004B06DB">
        <w:trPr>
          <w:trHeight w:val="300"/>
        </w:trPr>
        <w:tc>
          <w:tcPr>
            <w:tcW w:w="2928" w:type="dxa"/>
            <w:gridSpan w:val="3"/>
            <w:tcBorders>
              <w:top w:val="nil"/>
              <w:left w:val="nil"/>
              <w:bottom w:val="nil"/>
              <w:right w:val="nil"/>
            </w:tcBorders>
            <w:shd w:val="clear" w:color="000000" w:fill="FFFFFF"/>
            <w:vAlign w:val="center"/>
            <w:hideMark/>
          </w:tcPr>
          <w:p w14:paraId="7D69AE24"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proofErr w:type="spellStart"/>
            <w:proofErr w:type="gramStart"/>
            <w:r w:rsidRPr="004B06DB">
              <w:rPr>
                <w:rFonts w:ascii="SansSerif" w:eastAsia="Times New Roman" w:hAnsi="SansSerif" w:cs="Calibri"/>
                <w:color w:val="000000"/>
                <w:kern w:val="0"/>
                <w:sz w:val="14"/>
                <w:szCs w:val="14"/>
                <w:lang w:eastAsia="pt-BR" w:bidi="ar-SA"/>
              </w:rPr>
              <w:t>EXERCíCIO</w:t>
            </w:r>
            <w:proofErr w:type="spellEnd"/>
            <w:proofErr w:type="gramEnd"/>
          </w:p>
        </w:tc>
        <w:tc>
          <w:tcPr>
            <w:tcW w:w="156" w:type="dxa"/>
            <w:tcBorders>
              <w:top w:val="nil"/>
              <w:left w:val="nil"/>
              <w:bottom w:val="nil"/>
              <w:right w:val="nil"/>
            </w:tcBorders>
            <w:shd w:val="clear" w:color="000000" w:fill="FFFFFF"/>
            <w:hideMark/>
          </w:tcPr>
          <w:p w14:paraId="5A4A8BFE"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1176" w:type="dxa"/>
            <w:gridSpan w:val="11"/>
            <w:tcBorders>
              <w:top w:val="nil"/>
              <w:left w:val="nil"/>
              <w:bottom w:val="nil"/>
              <w:right w:val="nil"/>
            </w:tcBorders>
            <w:shd w:val="clear" w:color="000000" w:fill="FFFFFF"/>
            <w:vAlign w:val="center"/>
            <w:hideMark/>
          </w:tcPr>
          <w:p w14:paraId="78E98548"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2020</w:t>
            </w:r>
          </w:p>
        </w:tc>
      </w:tr>
      <w:tr w:rsidR="004B06DB" w:rsidRPr="004B06DB" w14:paraId="62247614" w14:textId="77777777" w:rsidTr="004B06DB">
        <w:trPr>
          <w:trHeight w:val="300"/>
        </w:trPr>
        <w:tc>
          <w:tcPr>
            <w:tcW w:w="2928" w:type="dxa"/>
            <w:gridSpan w:val="3"/>
            <w:tcBorders>
              <w:top w:val="nil"/>
              <w:left w:val="nil"/>
              <w:bottom w:val="nil"/>
              <w:right w:val="nil"/>
            </w:tcBorders>
            <w:shd w:val="clear" w:color="000000" w:fill="FFFFFF"/>
            <w:vAlign w:val="center"/>
            <w:hideMark/>
          </w:tcPr>
          <w:p w14:paraId="0CC104B0"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proofErr w:type="spellStart"/>
            <w:proofErr w:type="gramStart"/>
            <w:r w:rsidRPr="004B06DB">
              <w:rPr>
                <w:rFonts w:ascii="SansSerif" w:eastAsia="Times New Roman" w:hAnsi="SansSerif" w:cs="Calibri"/>
                <w:color w:val="000000"/>
                <w:kern w:val="0"/>
                <w:sz w:val="14"/>
                <w:szCs w:val="14"/>
                <w:lang w:eastAsia="pt-BR" w:bidi="ar-SA"/>
              </w:rPr>
              <w:t>PERíODO</w:t>
            </w:r>
            <w:proofErr w:type="spellEnd"/>
            <w:proofErr w:type="gramEnd"/>
          </w:p>
        </w:tc>
        <w:tc>
          <w:tcPr>
            <w:tcW w:w="156" w:type="dxa"/>
            <w:tcBorders>
              <w:top w:val="nil"/>
              <w:left w:val="nil"/>
              <w:bottom w:val="nil"/>
              <w:right w:val="nil"/>
            </w:tcBorders>
            <w:shd w:val="clear" w:color="000000" w:fill="FFFFFF"/>
            <w:hideMark/>
          </w:tcPr>
          <w:p w14:paraId="63DD7D25"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1176" w:type="dxa"/>
            <w:gridSpan w:val="11"/>
            <w:tcBorders>
              <w:top w:val="nil"/>
              <w:left w:val="nil"/>
              <w:bottom w:val="nil"/>
              <w:right w:val="nil"/>
            </w:tcBorders>
            <w:shd w:val="clear" w:color="000000" w:fill="FFFFFF"/>
            <w:vAlign w:val="center"/>
            <w:hideMark/>
          </w:tcPr>
          <w:p w14:paraId="4316F0E6"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proofErr w:type="gramStart"/>
            <w:r w:rsidRPr="004B06DB">
              <w:rPr>
                <w:rFonts w:ascii="SansSerif" w:eastAsia="Times New Roman" w:hAnsi="SansSerif" w:cs="Calibri"/>
                <w:color w:val="000000"/>
                <w:kern w:val="0"/>
                <w:sz w:val="14"/>
                <w:szCs w:val="14"/>
                <w:lang w:eastAsia="pt-BR" w:bidi="ar-SA"/>
              </w:rPr>
              <w:t>DEZ(</w:t>
            </w:r>
            <w:proofErr w:type="gramEnd"/>
            <w:r w:rsidRPr="004B06DB">
              <w:rPr>
                <w:rFonts w:ascii="SansSerif" w:eastAsia="Times New Roman" w:hAnsi="SansSerif" w:cs="Calibri"/>
                <w:color w:val="000000"/>
                <w:kern w:val="0"/>
                <w:sz w:val="14"/>
                <w:szCs w:val="14"/>
                <w:lang w:eastAsia="pt-BR" w:bidi="ar-SA"/>
              </w:rPr>
              <w:t>Encerrado)</w:t>
            </w:r>
          </w:p>
        </w:tc>
      </w:tr>
      <w:tr w:rsidR="004B06DB" w:rsidRPr="004B06DB" w14:paraId="5E728C6F" w14:textId="77777777" w:rsidTr="004B06DB">
        <w:trPr>
          <w:trHeight w:val="300"/>
        </w:trPr>
        <w:tc>
          <w:tcPr>
            <w:tcW w:w="2928" w:type="dxa"/>
            <w:gridSpan w:val="3"/>
            <w:tcBorders>
              <w:top w:val="nil"/>
              <w:left w:val="nil"/>
              <w:bottom w:val="nil"/>
              <w:right w:val="nil"/>
            </w:tcBorders>
            <w:shd w:val="clear" w:color="000000" w:fill="FFFFFF"/>
            <w:vAlign w:val="center"/>
            <w:hideMark/>
          </w:tcPr>
          <w:p w14:paraId="2BD2C4E5"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EMISSÃO</w:t>
            </w:r>
          </w:p>
        </w:tc>
        <w:tc>
          <w:tcPr>
            <w:tcW w:w="156" w:type="dxa"/>
            <w:tcBorders>
              <w:top w:val="nil"/>
              <w:left w:val="nil"/>
              <w:bottom w:val="nil"/>
              <w:right w:val="nil"/>
            </w:tcBorders>
            <w:shd w:val="clear" w:color="000000" w:fill="FFFFFF"/>
            <w:hideMark/>
          </w:tcPr>
          <w:p w14:paraId="4FD840AF"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1176" w:type="dxa"/>
            <w:gridSpan w:val="11"/>
            <w:tcBorders>
              <w:top w:val="nil"/>
              <w:left w:val="nil"/>
              <w:bottom w:val="nil"/>
              <w:right w:val="nil"/>
            </w:tcBorders>
            <w:shd w:val="clear" w:color="000000" w:fill="FFFFFF"/>
            <w:vAlign w:val="center"/>
            <w:hideMark/>
          </w:tcPr>
          <w:p w14:paraId="36365BF5"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27/01/2021</w:t>
            </w:r>
          </w:p>
        </w:tc>
      </w:tr>
      <w:tr w:rsidR="004B06DB" w:rsidRPr="004B06DB" w14:paraId="06C163CA" w14:textId="77777777" w:rsidTr="004B06DB">
        <w:trPr>
          <w:trHeight w:val="300"/>
        </w:trPr>
        <w:tc>
          <w:tcPr>
            <w:tcW w:w="14260" w:type="dxa"/>
            <w:gridSpan w:val="15"/>
            <w:tcBorders>
              <w:top w:val="nil"/>
              <w:left w:val="nil"/>
              <w:bottom w:val="nil"/>
              <w:right w:val="nil"/>
            </w:tcBorders>
            <w:shd w:val="clear" w:color="000000" w:fill="FFFFFF"/>
            <w:vAlign w:val="center"/>
            <w:hideMark/>
          </w:tcPr>
          <w:p w14:paraId="6B8274A2"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VALORES EM UNIDADES DE REAL</w:t>
            </w:r>
          </w:p>
        </w:tc>
      </w:tr>
      <w:tr w:rsidR="004B06DB" w:rsidRPr="004B06DB" w14:paraId="4C849136" w14:textId="77777777" w:rsidTr="004B06DB">
        <w:trPr>
          <w:trHeight w:val="300"/>
        </w:trPr>
        <w:tc>
          <w:tcPr>
            <w:tcW w:w="14260" w:type="dxa"/>
            <w:gridSpan w:val="15"/>
            <w:tcBorders>
              <w:top w:val="nil"/>
              <w:left w:val="nil"/>
              <w:bottom w:val="single" w:sz="4" w:space="0" w:color="000000"/>
              <w:right w:val="nil"/>
            </w:tcBorders>
            <w:shd w:val="clear" w:color="000000" w:fill="FFFFFF"/>
            <w:hideMark/>
          </w:tcPr>
          <w:p w14:paraId="441DF674"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r>
      <w:tr w:rsidR="004B06DB" w:rsidRPr="004B06DB" w14:paraId="01B4429A" w14:textId="77777777" w:rsidTr="004B06DB">
        <w:trPr>
          <w:trHeight w:val="300"/>
        </w:trPr>
        <w:tc>
          <w:tcPr>
            <w:tcW w:w="3084"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C3B2FD" w14:textId="77777777" w:rsidR="004B06DB" w:rsidRPr="004B06DB" w:rsidRDefault="004B06DB" w:rsidP="004B06DB">
            <w:pPr>
              <w:widowControl/>
              <w:suppressAutoHyphens w:val="0"/>
              <w:autoSpaceDN/>
              <w:jc w:val="center"/>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Especificação</w:t>
            </w:r>
          </w:p>
        </w:tc>
        <w:tc>
          <w:tcPr>
            <w:tcW w:w="35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B65CBE"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N.E</w:t>
            </w:r>
          </w:p>
        </w:tc>
        <w:tc>
          <w:tcPr>
            <w:tcW w:w="9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910ADC8"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Patrimônio/ Capital Social</w:t>
            </w:r>
          </w:p>
        </w:tc>
        <w:tc>
          <w:tcPr>
            <w:tcW w:w="195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E79372"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proofErr w:type="spellStart"/>
            <w:r w:rsidRPr="004B06DB">
              <w:rPr>
                <w:rFonts w:ascii="Arial" w:eastAsia="Times New Roman" w:hAnsi="Arial" w:cs="Arial"/>
                <w:b/>
                <w:bCs/>
                <w:color w:val="000000"/>
                <w:kern w:val="0"/>
                <w:sz w:val="14"/>
                <w:szCs w:val="14"/>
                <w:lang w:eastAsia="pt-BR" w:bidi="ar-SA"/>
              </w:rPr>
              <w:t>Adiant</w:t>
            </w:r>
            <w:proofErr w:type="spellEnd"/>
            <w:r w:rsidRPr="004B06DB">
              <w:rPr>
                <w:rFonts w:ascii="Arial" w:eastAsia="Times New Roman" w:hAnsi="Arial" w:cs="Arial"/>
                <w:b/>
                <w:bCs/>
                <w:color w:val="000000"/>
                <w:kern w:val="0"/>
                <w:sz w:val="14"/>
                <w:szCs w:val="14"/>
                <w:lang w:eastAsia="pt-BR" w:bidi="ar-SA"/>
              </w:rPr>
              <w:t xml:space="preserve">. </w:t>
            </w:r>
            <w:proofErr w:type="gramStart"/>
            <w:r w:rsidRPr="004B06DB">
              <w:rPr>
                <w:rFonts w:ascii="Arial" w:eastAsia="Times New Roman" w:hAnsi="Arial" w:cs="Arial"/>
                <w:b/>
                <w:bCs/>
                <w:color w:val="000000"/>
                <w:kern w:val="0"/>
                <w:sz w:val="14"/>
                <w:szCs w:val="14"/>
                <w:lang w:eastAsia="pt-BR" w:bidi="ar-SA"/>
              </w:rPr>
              <w:t>para</w:t>
            </w:r>
            <w:proofErr w:type="gramEnd"/>
            <w:r w:rsidRPr="004B06DB">
              <w:rPr>
                <w:rFonts w:ascii="Arial" w:eastAsia="Times New Roman" w:hAnsi="Arial" w:cs="Arial"/>
                <w:b/>
                <w:bCs/>
                <w:color w:val="000000"/>
                <w:kern w:val="0"/>
                <w:sz w:val="14"/>
                <w:szCs w:val="14"/>
                <w:lang w:eastAsia="pt-BR" w:bidi="ar-SA"/>
              </w:rPr>
              <w:t xml:space="preserve"> Futuro A</w:t>
            </w:r>
            <w:r w:rsidRPr="004B06DB">
              <w:rPr>
                <w:rFonts w:ascii="Arial" w:eastAsia="Times New Roman" w:hAnsi="Arial" w:cs="Arial"/>
                <w:b/>
                <w:bCs/>
                <w:color w:val="000000"/>
                <w:kern w:val="0"/>
                <w:sz w:val="14"/>
                <w:szCs w:val="14"/>
                <w:lang w:eastAsia="pt-BR" w:bidi="ar-SA"/>
              </w:rPr>
              <w:t>u</w:t>
            </w:r>
            <w:r w:rsidRPr="004B06DB">
              <w:rPr>
                <w:rFonts w:ascii="Arial" w:eastAsia="Times New Roman" w:hAnsi="Arial" w:cs="Arial"/>
                <w:b/>
                <w:bCs/>
                <w:color w:val="000000"/>
                <w:kern w:val="0"/>
                <w:sz w:val="14"/>
                <w:szCs w:val="14"/>
                <w:lang w:eastAsia="pt-BR" w:bidi="ar-SA"/>
              </w:rPr>
              <w:t>mento de Capital (AFAC)</w:t>
            </w:r>
          </w:p>
        </w:tc>
        <w:tc>
          <w:tcPr>
            <w:tcW w:w="10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2104252"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Reserva de Capital</w:t>
            </w:r>
          </w:p>
        </w:tc>
        <w:tc>
          <w:tcPr>
            <w:tcW w:w="9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4CD2FB0"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Reservas de Lucros</w:t>
            </w:r>
          </w:p>
        </w:tc>
        <w:tc>
          <w:tcPr>
            <w:tcW w:w="10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EAB3BFD"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Demais Reservas</w:t>
            </w:r>
          </w:p>
        </w:tc>
        <w:tc>
          <w:tcPr>
            <w:tcW w:w="111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A295CEF"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Resultados Ac</w:t>
            </w:r>
            <w:r w:rsidRPr="004B06DB">
              <w:rPr>
                <w:rFonts w:ascii="Arial" w:eastAsia="Times New Roman" w:hAnsi="Arial" w:cs="Arial"/>
                <w:b/>
                <w:bCs/>
                <w:color w:val="000000"/>
                <w:kern w:val="0"/>
                <w:sz w:val="14"/>
                <w:szCs w:val="14"/>
                <w:lang w:eastAsia="pt-BR" w:bidi="ar-SA"/>
              </w:rPr>
              <w:t>u</w:t>
            </w:r>
            <w:r w:rsidRPr="004B06DB">
              <w:rPr>
                <w:rFonts w:ascii="Arial" w:eastAsia="Times New Roman" w:hAnsi="Arial" w:cs="Arial"/>
                <w:b/>
                <w:bCs/>
                <w:color w:val="000000"/>
                <w:kern w:val="0"/>
                <w:sz w:val="14"/>
                <w:szCs w:val="14"/>
                <w:lang w:eastAsia="pt-BR" w:bidi="ar-SA"/>
              </w:rPr>
              <w:t>mulados</w:t>
            </w:r>
          </w:p>
        </w:tc>
        <w:tc>
          <w:tcPr>
            <w:tcW w:w="10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FDF18C2"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Ajustes de Avaliação Patrimonial</w:t>
            </w:r>
          </w:p>
        </w:tc>
        <w:tc>
          <w:tcPr>
            <w:tcW w:w="9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CC5C5D0"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Ações/Cotas em Tesour</w:t>
            </w:r>
            <w:r w:rsidRPr="004B06DB">
              <w:rPr>
                <w:rFonts w:ascii="Arial" w:eastAsia="Times New Roman" w:hAnsi="Arial" w:cs="Arial"/>
                <w:b/>
                <w:bCs/>
                <w:color w:val="000000"/>
                <w:kern w:val="0"/>
                <w:sz w:val="14"/>
                <w:szCs w:val="14"/>
                <w:lang w:eastAsia="pt-BR" w:bidi="ar-SA"/>
              </w:rPr>
              <w:t>a</w:t>
            </w:r>
            <w:r w:rsidRPr="004B06DB">
              <w:rPr>
                <w:rFonts w:ascii="Arial" w:eastAsia="Times New Roman" w:hAnsi="Arial" w:cs="Arial"/>
                <w:b/>
                <w:bCs/>
                <w:color w:val="000000"/>
                <w:kern w:val="0"/>
                <w:sz w:val="14"/>
                <w:szCs w:val="14"/>
                <w:lang w:eastAsia="pt-BR" w:bidi="ar-SA"/>
              </w:rPr>
              <w:t>ria</w:t>
            </w:r>
          </w:p>
        </w:tc>
        <w:tc>
          <w:tcPr>
            <w:tcW w:w="159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A426F4B" w14:textId="77777777" w:rsidR="004B06DB" w:rsidRPr="004B06DB" w:rsidRDefault="004B06DB" w:rsidP="004B06DB">
            <w:pPr>
              <w:widowControl/>
              <w:suppressAutoHyphens w:val="0"/>
              <w:autoSpaceDN/>
              <w:jc w:val="center"/>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Total</w:t>
            </w:r>
          </w:p>
        </w:tc>
      </w:tr>
      <w:tr w:rsidR="004B06DB" w:rsidRPr="004B06DB" w14:paraId="41FACB43" w14:textId="77777777" w:rsidTr="004B06DB">
        <w:trPr>
          <w:trHeight w:val="300"/>
        </w:trPr>
        <w:tc>
          <w:tcPr>
            <w:tcW w:w="3084" w:type="dxa"/>
            <w:gridSpan w:val="4"/>
            <w:vMerge/>
            <w:tcBorders>
              <w:top w:val="single" w:sz="4" w:space="0" w:color="000000"/>
              <w:left w:val="single" w:sz="4" w:space="0" w:color="000000"/>
              <w:bottom w:val="single" w:sz="4" w:space="0" w:color="000000"/>
              <w:right w:val="single" w:sz="4" w:space="0" w:color="000000"/>
            </w:tcBorders>
            <w:vAlign w:val="center"/>
            <w:hideMark/>
          </w:tcPr>
          <w:p w14:paraId="7B6BC3D1"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p>
        </w:tc>
        <w:tc>
          <w:tcPr>
            <w:tcW w:w="356" w:type="dxa"/>
            <w:vMerge/>
            <w:tcBorders>
              <w:top w:val="nil"/>
              <w:left w:val="single" w:sz="4" w:space="0" w:color="000000"/>
              <w:bottom w:val="single" w:sz="4" w:space="0" w:color="000000"/>
              <w:right w:val="single" w:sz="4" w:space="0" w:color="000000"/>
            </w:tcBorders>
            <w:vAlign w:val="center"/>
            <w:hideMark/>
          </w:tcPr>
          <w:p w14:paraId="704419C4"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nil"/>
              <w:left w:val="single" w:sz="4" w:space="0" w:color="000000"/>
              <w:bottom w:val="single" w:sz="4" w:space="0" w:color="000000"/>
              <w:right w:val="single" w:sz="4" w:space="0" w:color="000000"/>
            </w:tcBorders>
            <w:vAlign w:val="center"/>
            <w:hideMark/>
          </w:tcPr>
          <w:p w14:paraId="7F9D7A3F"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952" w:type="dxa"/>
            <w:gridSpan w:val="2"/>
            <w:vMerge/>
            <w:tcBorders>
              <w:top w:val="single" w:sz="4" w:space="0" w:color="000000"/>
              <w:left w:val="single" w:sz="4" w:space="0" w:color="000000"/>
              <w:bottom w:val="single" w:sz="4" w:space="0" w:color="000000"/>
              <w:right w:val="single" w:sz="4" w:space="0" w:color="000000"/>
            </w:tcBorders>
            <w:vAlign w:val="center"/>
            <w:hideMark/>
          </w:tcPr>
          <w:p w14:paraId="5767C171"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nil"/>
              <w:left w:val="single" w:sz="4" w:space="0" w:color="000000"/>
              <w:bottom w:val="single" w:sz="4" w:space="0" w:color="000000"/>
              <w:right w:val="single" w:sz="4" w:space="0" w:color="000000"/>
            </w:tcBorders>
            <w:vAlign w:val="center"/>
            <w:hideMark/>
          </w:tcPr>
          <w:p w14:paraId="4274DDF3"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nil"/>
              <w:left w:val="single" w:sz="4" w:space="0" w:color="000000"/>
              <w:bottom w:val="single" w:sz="4" w:space="0" w:color="000000"/>
              <w:right w:val="single" w:sz="4" w:space="0" w:color="000000"/>
            </w:tcBorders>
            <w:vAlign w:val="center"/>
            <w:hideMark/>
          </w:tcPr>
          <w:p w14:paraId="18737B36"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nil"/>
              <w:left w:val="single" w:sz="4" w:space="0" w:color="000000"/>
              <w:bottom w:val="single" w:sz="4" w:space="0" w:color="000000"/>
              <w:right w:val="single" w:sz="4" w:space="0" w:color="000000"/>
            </w:tcBorders>
            <w:vAlign w:val="center"/>
            <w:hideMark/>
          </w:tcPr>
          <w:p w14:paraId="214A887B"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116" w:type="dxa"/>
            <w:vMerge/>
            <w:tcBorders>
              <w:top w:val="nil"/>
              <w:left w:val="single" w:sz="4" w:space="0" w:color="000000"/>
              <w:bottom w:val="single" w:sz="4" w:space="0" w:color="000000"/>
              <w:right w:val="single" w:sz="4" w:space="0" w:color="000000"/>
            </w:tcBorders>
            <w:vAlign w:val="center"/>
            <w:hideMark/>
          </w:tcPr>
          <w:p w14:paraId="4362A38F"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nil"/>
              <w:left w:val="single" w:sz="4" w:space="0" w:color="000000"/>
              <w:bottom w:val="single" w:sz="4" w:space="0" w:color="000000"/>
              <w:right w:val="single" w:sz="4" w:space="0" w:color="000000"/>
            </w:tcBorders>
            <w:vAlign w:val="center"/>
            <w:hideMark/>
          </w:tcPr>
          <w:p w14:paraId="3A298CBA"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nil"/>
              <w:left w:val="single" w:sz="4" w:space="0" w:color="000000"/>
              <w:bottom w:val="single" w:sz="4" w:space="0" w:color="000000"/>
              <w:right w:val="single" w:sz="4" w:space="0" w:color="000000"/>
            </w:tcBorders>
            <w:vAlign w:val="center"/>
            <w:hideMark/>
          </w:tcPr>
          <w:p w14:paraId="670884FF"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596" w:type="dxa"/>
            <w:vMerge/>
            <w:tcBorders>
              <w:top w:val="nil"/>
              <w:left w:val="single" w:sz="4" w:space="0" w:color="000000"/>
              <w:bottom w:val="single" w:sz="4" w:space="0" w:color="000000"/>
              <w:right w:val="single" w:sz="4" w:space="0" w:color="000000"/>
            </w:tcBorders>
            <w:vAlign w:val="center"/>
            <w:hideMark/>
          </w:tcPr>
          <w:p w14:paraId="4CE32B23"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p>
        </w:tc>
      </w:tr>
      <w:tr w:rsidR="004B06DB" w:rsidRPr="004B06DB" w14:paraId="7AB97582" w14:textId="77777777" w:rsidTr="004B06DB">
        <w:trPr>
          <w:trHeight w:val="300"/>
        </w:trPr>
        <w:tc>
          <w:tcPr>
            <w:tcW w:w="3084" w:type="dxa"/>
            <w:gridSpan w:val="4"/>
            <w:vMerge/>
            <w:tcBorders>
              <w:top w:val="single" w:sz="4" w:space="0" w:color="000000"/>
              <w:left w:val="single" w:sz="4" w:space="0" w:color="000000"/>
              <w:bottom w:val="single" w:sz="4" w:space="0" w:color="000000"/>
              <w:right w:val="single" w:sz="4" w:space="0" w:color="000000"/>
            </w:tcBorders>
            <w:vAlign w:val="center"/>
            <w:hideMark/>
          </w:tcPr>
          <w:p w14:paraId="4D54923F"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p>
        </w:tc>
        <w:tc>
          <w:tcPr>
            <w:tcW w:w="356" w:type="dxa"/>
            <w:vMerge/>
            <w:tcBorders>
              <w:top w:val="nil"/>
              <w:left w:val="single" w:sz="4" w:space="0" w:color="000000"/>
              <w:bottom w:val="single" w:sz="4" w:space="0" w:color="000000"/>
              <w:right w:val="single" w:sz="4" w:space="0" w:color="000000"/>
            </w:tcBorders>
            <w:vAlign w:val="center"/>
            <w:hideMark/>
          </w:tcPr>
          <w:p w14:paraId="407B4A9C"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nil"/>
              <w:left w:val="single" w:sz="4" w:space="0" w:color="000000"/>
              <w:bottom w:val="single" w:sz="4" w:space="0" w:color="000000"/>
              <w:right w:val="single" w:sz="4" w:space="0" w:color="000000"/>
            </w:tcBorders>
            <w:vAlign w:val="center"/>
            <w:hideMark/>
          </w:tcPr>
          <w:p w14:paraId="54EA26B3"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952" w:type="dxa"/>
            <w:gridSpan w:val="2"/>
            <w:vMerge/>
            <w:tcBorders>
              <w:top w:val="single" w:sz="4" w:space="0" w:color="000000"/>
              <w:left w:val="single" w:sz="4" w:space="0" w:color="000000"/>
              <w:bottom w:val="single" w:sz="4" w:space="0" w:color="000000"/>
              <w:right w:val="single" w:sz="4" w:space="0" w:color="000000"/>
            </w:tcBorders>
            <w:vAlign w:val="center"/>
            <w:hideMark/>
          </w:tcPr>
          <w:p w14:paraId="35DB8DAD"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nil"/>
              <w:left w:val="single" w:sz="4" w:space="0" w:color="000000"/>
              <w:bottom w:val="single" w:sz="4" w:space="0" w:color="000000"/>
              <w:right w:val="single" w:sz="4" w:space="0" w:color="000000"/>
            </w:tcBorders>
            <w:vAlign w:val="center"/>
            <w:hideMark/>
          </w:tcPr>
          <w:p w14:paraId="42D6E7DC"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nil"/>
              <w:left w:val="single" w:sz="4" w:space="0" w:color="000000"/>
              <w:bottom w:val="single" w:sz="4" w:space="0" w:color="000000"/>
              <w:right w:val="single" w:sz="4" w:space="0" w:color="000000"/>
            </w:tcBorders>
            <w:vAlign w:val="center"/>
            <w:hideMark/>
          </w:tcPr>
          <w:p w14:paraId="4989BDBC"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nil"/>
              <w:left w:val="single" w:sz="4" w:space="0" w:color="000000"/>
              <w:bottom w:val="single" w:sz="4" w:space="0" w:color="000000"/>
              <w:right w:val="single" w:sz="4" w:space="0" w:color="000000"/>
            </w:tcBorders>
            <w:vAlign w:val="center"/>
            <w:hideMark/>
          </w:tcPr>
          <w:p w14:paraId="4440B4D5"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116" w:type="dxa"/>
            <w:vMerge/>
            <w:tcBorders>
              <w:top w:val="nil"/>
              <w:left w:val="single" w:sz="4" w:space="0" w:color="000000"/>
              <w:bottom w:val="single" w:sz="4" w:space="0" w:color="000000"/>
              <w:right w:val="single" w:sz="4" w:space="0" w:color="000000"/>
            </w:tcBorders>
            <w:vAlign w:val="center"/>
            <w:hideMark/>
          </w:tcPr>
          <w:p w14:paraId="01661990"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nil"/>
              <w:left w:val="single" w:sz="4" w:space="0" w:color="000000"/>
              <w:bottom w:val="single" w:sz="4" w:space="0" w:color="000000"/>
              <w:right w:val="single" w:sz="4" w:space="0" w:color="000000"/>
            </w:tcBorders>
            <w:vAlign w:val="center"/>
            <w:hideMark/>
          </w:tcPr>
          <w:p w14:paraId="44EF560B"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nil"/>
              <w:left w:val="single" w:sz="4" w:space="0" w:color="000000"/>
              <w:bottom w:val="single" w:sz="4" w:space="0" w:color="000000"/>
              <w:right w:val="single" w:sz="4" w:space="0" w:color="000000"/>
            </w:tcBorders>
            <w:vAlign w:val="center"/>
            <w:hideMark/>
          </w:tcPr>
          <w:p w14:paraId="2CC4CEB2"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596" w:type="dxa"/>
            <w:vMerge/>
            <w:tcBorders>
              <w:top w:val="nil"/>
              <w:left w:val="single" w:sz="4" w:space="0" w:color="000000"/>
              <w:bottom w:val="single" w:sz="4" w:space="0" w:color="000000"/>
              <w:right w:val="single" w:sz="4" w:space="0" w:color="000000"/>
            </w:tcBorders>
            <w:vAlign w:val="center"/>
            <w:hideMark/>
          </w:tcPr>
          <w:p w14:paraId="153A5AC8"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p>
        </w:tc>
      </w:tr>
      <w:tr w:rsidR="004B06DB" w:rsidRPr="004B06DB" w14:paraId="2382C995" w14:textId="77777777" w:rsidTr="004B06DB">
        <w:trPr>
          <w:trHeight w:val="300"/>
        </w:trPr>
        <w:tc>
          <w:tcPr>
            <w:tcW w:w="3084" w:type="dxa"/>
            <w:gridSpan w:val="4"/>
            <w:tcBorders>
              <w:top w:val="single" w:sz="4" w:space="0" w:color="000000"/>
              <w:left w:val="single" w:sz="4" w:space="0" w:color="000000"/>
              <w:bottom w:val="single" w:sz="4" w:space="0" w:color="000000"/>
              <w:right w:val="single" w:sz="4" w:space="0" w:color="000000"/>
            </w:tcBorders>
            <w:shd w:val="clear" w:color="000000" w:fill="FFFFFF"/>
            <w:hideMark/>
          </w:tcPr>
          <w:p w14:paraId="37DDE7AD"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Saldo Inicial do Exercício 2019</w:t>
            </w:r>
          </w:p>
        </w:tc>
        <w:tc>
          <w:tcPr>
            <w:tcW w:w="356" w:type="dxa"/>
            <w:tcBorders>
              <w:top w:val="nil"/>
              <w:left w:val="nil"/>
              <w:bottom w:val="single" w:sz="4" w:space="0" w:color="000000"/>
              <w:right w:val="single" w:sz="4" w:space="0" w:color="000000"/>
            </w:tcBorders>
            <w:shd w:val="clear" w:color="000000" w:fill="FFFFFF"/>
            <w:hideMark/>
          </w:tcPr>
          <w:p w14:paraId="570D9D9B"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single" w:sz="4" w:space="0" w:color="000000"/>
              <w:right w:val="single" w:sz="4" w:space="0" w:color="000000"/>
            </w:tcBorders>
            <w:shd w:val="clear" w:color="000000" w:fill="FFFFFF"/>
            <w:hideMark/>
          </w:tcPr>
          <w:p w14:paraId="4064214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9.702.549.452,38</w:t>
            </w:r>
          </w:p>
        </w:tc>
        <w:tc>
          <w:tcPr>
            <w:tcW w:w="1952" w:type="dxa"/>
            <w:gridSpan w:val="2"/>
            <w:tcBorders>
              <w:top w:val="single" w:sz="4" w:space="0" w:color="000000"/>
              <w:left w:val="nil"/>
              <w:bottom w:val="single" w:sz="4" w:space="0" w:color="000000"/>
              <w:right w:val="single" w:sz="4" w:space="0" w:color="000000"/>
            </w:tcBorders>
            <w:shd w:val="clear" w:color="000000" w:fill="FFFFFF"/>
            <w:hideMark/>
          </w:tcPr>
          <w:p w14:paraId="5C5D255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437.871.103,32</w:t>
            </w:r>
          </w:p>
        </w:tc>
        <w:tc>
          <w:tcPr>
            <w:tcW w:w="1076" w:type="dxa"/>
            <w:tcBorders>
              <w:top w:val="nil"/>
              <w:left w:val="nil"/>
              <w:bottom w:val="single" w:sz="4" w:space="0" w:color="000000"/>
              <w:right w:val="single" w:sz="4" w:space="0" w:color="000000"/>
            </w:tcBorders>
            <w:shd w:val="clear" w:color="000000" w:fill="FFFFFF"/>
            <w:hideMark/>
          </w:tcPr>
          <w:p w14:paraId="7C6F3DB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2.266.923,14</w:t>
            </w:r>
          </w:p>
        </w:tc>
        <w:tc>
          <w:tcPr>
            <w:tcW w:w="976" w:type="dxa"/>
            <w:tcBorders>
              <w:top w:val="nil"/>
              <w:left w:val="nil"/>
              <w:bottom w:val="single" w:sz="4" w:space="0" w:color="000000"/>
              <w:right w:val="single" w:sz="4" w:space="0" w:color="000000"/>
            </w:tcBorders>
            <w:shd w:val="clear" w:color="000000" w:fill="FFFFFF"/>
            <w:hideMark/>
          </w:tcPr>
          <w:p w14:paraId="529EB87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single" w:sz="4" w:space="0" w:color="000000"/>
              <w:right w:val="single" w:sz="4" w:space="0" w:color="000000"/>
            </w:tcBorders>
            <w:shd w:val="clear" w:color="000000" w:fill="FFFFFF"/>
            <w:hideMark/>
          </w:tcPr>
          <w:p w14:paraId="2E18AA1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3.357.357,06</w:t>
            </w:r>
          </w:p>
        </w:tc>
        <w:tc>
          <w:tcPr>
            <w:tcW w:w="1116" w:type="dxa"/>
            <w:tcBorders>
              <w:top w:val="nil"/>
              <w:left w:val="nil"/>
              <w:bottom w:val="single" w:sz="4" w:space="0" w:color="000000"/>
              <w:right w:val="single" w:sz="4" w:space="0" w:color="000000"/>
            </w:tcBorders>
            <w:shd w:val="clear" w:color="000000" w:fill="FFFFFF"/>
            <w:hideMark/>
          </w:tcPr>
          <w:p w14:paraId="034218E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164.813.857.329,42</w:t>
            </w:r>
          </w:p>
        </w:tc>
        <w:tc>
          <w:tcPr>
            <w:tcW w:w="1076" w:type="dxa"/>
            <w:tcBorders>
              <w:top w:val="nil"/>
              <w:left w:val="nil"/>
              <w:bottom w:val="single" w:sz="4" w:space="0" w:color="000000"/>
              <w:right w:val="single" w:sz="4" w:space="0" w:color="000000"/>
            </w:tcBorders>
            <w:shd w:val="clear" w:color="000000" w:fill="FFFFFF"/>
            <w:hideMark/>
          </w:tcPr>
          <w:p w14:paraId="19C2735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38.623.189,76</w:t>
            </w:r>
          </w:p>
        </w:tc>
        <w:tc>
          <w:tcPr>
            <w:tcW w:w="976" w:type="dxa"/>
            <w:tcBorders>
              <w:top w:val="nil"/>
              <w:left w:val="nil"/>
              <w:bottom w:val="single" w:sz="4" w:space="0" w:color="000000"/>
              <w:right w:val="single" w:sz="4" w:space="0" w:color="000000"/>
            </w:tcBorders>
            <w:shd w:val="clear" w:color="000000" w:fill="FFFFFF"/>
            <w:hideMark/>
          </w:tcPr>
          <w:p w14:paraId="53CFC27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single" w:sz="4" w:space="0" w:color="000000"/>
              <w:right w:val="single" w:sz="4" w:space="0" w:color="000000"/>
            </w:tcBorders>
            <w:shd w:val="clear" w:color="000000" w:fill="FFFFFF"/>
            <w:hideMark/>
          </w:tcPr>
          <w:p w14:paraId="6465769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174.998.525.355,08</w:t>
            </w:r>
          </w:p>
        </w:tc>
      </w:tr>
      <w:tr w:rsidR="004B06DB" w:rsidRPr="004B06DB" w14:paraId="0A9D2527" w14:textId="77777777" w:rsidTr="004B06DB">
        <w:trPr>
          <w:trHeight w:val="300"/>
        </w:trPr>
        <w:tc>
          <w:tcPr>
            <w:tcW w:w="3084" w:type="dxa"/>
            <w:gridSpan w:val="4"/>
            <w:tcBorders>
              <w:top w:val="single" w:sz="4" w:space="0" w:color="000000"/>
              <w:left w:val="single" w:sz="4" w:space="0" w:color="000000"/>
              <w:bottom w:val="nil"/>
              <w:right w:val="single" w:sz="4" w:space="0" w:color="000000"/>
            </w:tcBorders>
            <w:shd w:val="clear" w:color="000000" w:fill="FFFFFF"/>
            <w:hideMark/>
          </w:tcPr>
          <w:p w14:paraId="6B7C2D59"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Variação Cambial</w:t>
            </w:r>
          </w:p>
        </w:tc>
        <w:tc>
          <w:tcPr>
            <w:tcW w:w="356" w:type="dxa"/>
            <w:tcBorders>
              <w:top w:val="nil"/>
              <w:left w:val="nil"/>
              <w:bottom w:val="nil"/>
              <w:right w:val="single" w:sz="4" w:space="0" w:color="000000"/>
            </w:tcBorders>
            <w:shd w:val="clear" w:color="000000" w:fill="FFFFFF"/>
            <w:hideMark/>
          </w:tcPr>
          <w:p w14:paraId="15E48F78"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7C60A3D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single" w:sz="4" w:space="0" w:color="000000"/>
              <w:left w:val="nil"/>
              <w:bottom w:val="nil"/>
              <w:right w:val="single" w:sz="4" w:space="0" w:color="000000"/>
            </w:tcBorders>
            <w:shd w:val="clear" w:color="000000" w:fill="FFFFFF"/>
            <w:hideMark/>
          </w:tcPr>
          <w:p w14:paraId="227B5B1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7163048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7EB1BA8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034EE22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0447DDA6"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540EE21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5A04E42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08B1086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54DC3513"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49A6FDB1"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Ajustes de Exercícios Anteriores</w:t>
            </w:r>
          </w:p>
        </w:tc>
        <w:tc>
          <w:tcPr>
            <w:tcW w:w="356" w:type="dxa"/>
            <w:tcBorders>
              <w:top w:val="nil"/>
              <w:left w:val="nil"/>
              <w:bottom w:val="nil"/>
              <w:right w:val="single" w:sz="4" w:space="0" w:color="000000"/>
            </w:tcBorders>
            <w:shd w:val="clear" w:color="000000" w:fill="FFFFFF"/>
            <w:hideMark/>
          </w:tcPr>
          <w:p w14:paraId="265F55CE"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326B85E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341.138.979,06</w:t>
            </w:r>
          </w:p>
        </w:tc>
        <w:tc>
          <w:tcPr>
            <w:tcW w:w="1952" w:type="dxa"/>
            <w:gridSpan w:val="2"/>
            <w:tcBorders>
              <w:top w:val="nil"/>
              <w:left w:val="nil"/>
              <w:bottom w:val="nil"/>
              <w:right w:val="single" w:sz="4" w:space="0" w:color="000000"/>
            </w:tcBorders>
            <w:shd w:val="clear" w:color="000000" w:fill="FFFFFF"/>
            <w:hideMark/>
          </w:tcPr>
          <w:p w14:paraId="61FC75A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44.534.486,36</w:t>
            </w:r>
          </w:p>
        </w:tc>
        <w:tc>
          <w:tcPr>
            <w:tcW w:w="1076" w:type="dxa"/>
            <w:tcBorders>
              <w:top w:val="nil"/>
              <w:left w:val="nil"/>
              <w:bottom w:val="nil"/>
              <w:right w:val="single" w:sz="4" w:space="0" w:color="000000"/>
            </w:tcBorders>
            <w:shd w:val="clear" w:color="000000" w:fill="FFFFFF"/>
            <w:hideMark/>
          </w:tcPr>
          <w:p w14:paraId="2D3ABB9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413AAE7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03434686"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46F546D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-8.538.025.127,56</w:t>
            </w:r>
          </w:p>
        </w:tc>
        <w:tc>
          <w:tcPr>
            <w:tcW w:w="1076" w:type="dxa"/>
            <w:tcBorders>
              <w:top w:val="nil"/>
              <w:left w:val="nil"/>
              <w:bottom w:val="nil"/>
              <w:right w:val="single" w:sz="4" w:space="0" w:color="000000"/>
            </w:tcBorders>
            <w:shd w:val="clear" w:color="000000" w:fill="FFFFFF"/>
            <w:hideMark/>
          </w:tcPr>
          <w:p w14:paraId="4AAC715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5485EEE6"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312ADFE6"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-8.152.351.662,14</w:t>
            </w:r>
          </w:p>
        </w:tc>
      </w:tr>
      <w:tr w:rsidR="004B06DB" w:rsidRPr="004B06DB" w14:paraId="42983C08"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1EECEE6C"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Aumento/Redução de Capital</w:t>
            </w:r>
          </w:p>
        </w:tc>
        <w:tc>
          <w:tcPr>
            <w:tcW w:w="356" w:type="dxa"/>
            <w:tcBorders>
              <w:top w:val="nil"/>
              <w:left w:val="nil"/>
              <w:bottom w:val="nil"/>
              <w:right w:val="single" w:sz="4" w:space="0" w:color="000000"/>
            </w:tcBorders>
            <w:shd w:val="clear" w:color="000000" w:fill="FFFFFF"/>
            <w:hideMark/>
          </w:tcPr>
          <w:p w14:paraId="02837AE2"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090DD4D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1.620.704.195,07</w:t>
            </w:r>
          </w:p>
        </w:tc>
        <w:tc>
          <w:tcPr>
            <w:tcW w:w="1952" w:type="dxa"/>
            <w:gridSpan w:val="2"/>
            <w:tcBorders>
              <w:top w:val="nil"/>
              <w:left w:val="nil"/>
              <w:bottom w:val="nil"/>
              <w:right w:val="single" w:sz="4" w:space="0" w:color="000000"/>
            </w:tcBorders>
            <w:shd w:val="clear" w:color="000000" w:fill="FFFFFF"/>
            <w:hideMark/>
          </w:tcPr>
          <w:p w14:paraId="72AA2FE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98.977.960,05</w:t>
            </w:r>
          </w:p>
        </w:tc>
        <w:tc>
          <w:tcPr>
            <w:tcW w:w="1076" w:type="dxa"/>
            <w:tcBorders>
              <w:top w:val="nil"/>
              <w:left w:val="nil"/>
              <w:bottom w:val="nil"/>
              <w:right w:val="single" w:sz="4" w:space="0" w:color="000000"/>
            </w:tcBorders>
            <w:shd w:val="clear" w:color="000000" w:fill="FFFFFF"/>
            <w:hideMark/>
          </w:tcPr>
          <w:p w14:paraId="05FD1A9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59F2B1E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4E9FE5F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67457EDB"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702080C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29F86D3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3A82AF9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1.719.682.155,12</w:t>
            </w:r>
          </w:p>
        </w:tc>
      </w:tr>
      <w:tr w:rsidR="004B06DB" w:rsidRPr="004B06DB" w14:paraId="6154A479"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6543CD81"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Resgate/</w:t>
            </w:r>
            <w:proofErr w:type="spellStart"/>
            <w:r w:rsidRPr="004B06DB">
              <w:rPr>
                <w:rFonts w:ascii="Arial" w:eastAsia="Times New Roman" w:hAnsi="Arial" w:cs="Arial"/>
                <w:color w:val="000000"/>
                <w:kern w:val="0"/>
                <w:sz w:val="14"/>
                <w:szCs w:val="14"/>
                <w:lang w:eastAsia="pt-BR" w:bidi="ar-SA"/>
              </w:rPr>
              <w:t>Reemissão</w:t>
            </w:r>
            <w:proofErr w:type="spellEnd"/>
            <w:r w:rsidRPr="004B06DB">
              <w:rPr>
                <w:rFonts w:ascii="Arial" w:eastAsia="Times New Roman" w:hAnsi="Arial" w:cs="Arial"/>
                <w:color w:val="000000"/>
                <w:kern w:val="0"/>
                <w:sz w:val="14"/>
                <w:szCs w:val="14"/>
                <w:lang w:eastAsia="pt-BR" w:bidi="ar-SA"/>
              </w:rPr>
              <w:t xml:space="preserve"> de Ações e Cotas</w:t>
            </w:r>
          </w:p>
        </w:tc>
        <w:tc>
          <w:tcPr>
            <w:tcW w:w="356" w:type="dxa"/>
            <w:tcBorders>
              <w:top w:val="nil"/>
              <w:left w:val="nil"/>
              <w:bottom w:val="nil"/>
              <w:right w:val="single" w:sz="4" w:space="0" w:color="000000"/>
            </w:tcBorders>
            <w:shd w:val="clear" w:color="000000" w:fill="FFFFFF"/>
            <w:hideMark/>
          </w:tcPr>
          <w:p w14:paraId="752FBC74"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435DB23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7C8BB0F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1611CA2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438517E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3F2DBA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76E23EC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08E7A2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54F2318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6A6289F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5B4C4BE2"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07368F93"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Const./</w:t>
            </w:r>
            <w:proofErr w:type="spellStart"/>
            <w:r w:rsidRPr="004B06DB">
              <w:rPr>
                <w:rFonts w:ascii="Arial" w:eastAsia="Times New Roman" w:hAnsi="Arial" w:cs="Arial"/>
                <w:color w:val="000000"/>
                <w:kern w:val="0"/>
                <w:sz w:val="14"/>
                <w:szCs w:val="14"/>
                <w:lang w:eastAsia="pt-BR" w:bidi="ar-SA"/>
              </w:rPr>
              <w:t>Realiz</w:t>
            </w:r>
            <w:proofErr w:type="spellEnd"/>
            <w:r w:rsidRPr="004B06DB">
              <w:rPr>
                <w:rFonts w:ascii="Arial" w:eastAsia="Times New Roman" w:hAnsi="Arial" w:cs="Arial"/>
                <w:color w:val="000000"/>
                <w:kern w:val="0"/>
                <w:sz w:val="14"/>
                <w:szCs w:val="14"/>
                <w:lang w:eastAsia="pt-BR" w:bidi="ar-SA"/>
              </w:rPr>
              <w:t xml:space="preserve">. </w:t>
            </w:r>
            <w:proofErr w:type="gramStart"/>
            <w:r w:rsidRPr="004B06DB">
              <w:rPr>
                <w:rFonts w:ascii="Arial" w:eastAsia="Times New Roman" w:hAnsi="Arial" w:cs="Arial"/>
                <w:color w:val="000000"/>
                <w:kern w:val="0"/>
                <w:sz w:val="14"/>
                <w:szCs w:val="14"/>
                <w:lang w:eastAsia="pt-BR" w:bidi="ar-SA"/>
              </w:rPr>
              <w:t>da</w:t>
            </w:r>
            <w:proofErr w:type="gramEnd"/>
            <w:r w:rsidRPr="004B06DB">
              <w:rPr>
                <w:rFonts w:ascii="Arial" w:eastAsia="Times New Roman" w:hAnsi="Arial" w:cs="Arial"/>
                <w:color w:val="000000"/>
                <w:kern w:val="0"/>
                <w:sz w:val="14"/>
                <w:szCs w:val="14"/>
                <w:lang w:eastAsia="pt-BR" w:bidi="ar-SA"/>
              </w:rPr>
              <w:t xml:space="preserve"> Reserva de Reavaliação de Ativos</w:t>
            </w:r>
          </w:p>
        </w:tc>
        <w:tc>
          <w:tcPr>
            <w:tcW w:w="356" w:type="dxa"/>
            <w:tcBorders>
              <w:top w:val="nil"/>
              <w:left w:val="nil"/>
              <w:bottom w:val="nil"/>
              <w:right w:val="single" w:sz="4" w:space="0" w:color="000000"/>
            </w:tcBorders>
            <w:shd w:val="clear" w:color="000000" w:fill="FFFFFF"/>
            <w:hideMark/>
          </w:tcPr>
          <w:p w14:paraId="532EB72B"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4235D26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25D479F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358422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4BEE1C2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08BA92B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-661.364,92</w:t>
            </w:r>
          </w:p>
        </w:tc>
        <w:tc>
          <w:tcPr>
            <w:tcW w:w="1116" w:type="dxa"/>
            <w:tcBorders>
              <w:top w:val="nil"/>
              <w:left w:val="nil"/>
              <w:bottom w:val="nil"/>
              <w:right w:val="single" w:sz="4" w:space="0" w:color="000000"/>
            </w:tcBorders>
            <w:shd w:val="clear" w:color="000000" w:fill="FFFFFF"/>
            <w:hideMark/>
          </w:tcPr>
          <w:p w14:paraId="789AE65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17.275.803,42</w:t>
            </w:r>
          </w:p>
        </w:tc>
        <w:tc>
          <w:tcPr>
            <w:tcW w:w="1076" w:type="dxa"/>
            <w:tcBorders>
              <w:top w:val="nil"/>
              <w:left w:val="nil"/>
              <w:bottom w:val="nil"/>
              <w:right w:val="single" w:sz="4" w:space="0" w:color="000000"/>
            </w:tcBorders>
            <w:shd w:val="clear" w:color="000000" w:fill="FFFFFF"/>
            <w:hideMark/>
          </w:tcPr>
          <w:p w14:paraId="6984A25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205445D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5C08DE7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16.614.438,50</w:t>
            </w:r>
          </w:p>
        </w:tc>
      </w:tr>
      <w:tr w:rsidR="004B06DB" w:rsidRPr="004B06DB" w14:paraId="1C6DB245"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1907FB37"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Ajuste de Avaliação Patrimonial</w:t>
            </w:r>
          </w:p>
        </w:tc>
        <w:tc>
          <w:tcPr>
            <w:tcW w:w="356" w:type="dxa"/>
            <w:tcBorders>
              <w:top w:val="nil"/>
              <w:left w:val="nil"/>
              <w:bottom w:val="nil"/>
              <w:right w:val="single" w:sz="4" w:space="0" w:color="000000"/>
            </w:tcBorders>
            <w:shd w:val="clear" w:color="000000" w:fill="FFFFFF"/>
            <w:hideMark/>
          </w:tcPr>
          <w:p w14:paraId="623D25D9"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5EE1F0D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1CE231D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2C9FD47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0AA773C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5511BE9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24C94ECB"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588.189,97</w:t>
            </w:r>
          </w:p>
        </w:tc>
        <w:tc>
          <w:tcPr>
            <w:tcW w:w="1076" w:type="dxa"/>
            <w:tcBorders>
              <w:top w:val="nil"/>
              <w:left w:val="nil"/>
              <w:bottom w:val="nil"/>
              <w:right w:val="single" w:sz="4" w:space="0" w:color="000000"/>
            </w:tcBorders>
            <w:shd w:val="clear" w:color="000000" w:fill="FFFFFF"/>
            <w:hideMark/>
          </w:tcPr>
          <w:p w14:paraId="59E0947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-2.717.985,38</w:t>
            </w:r>
          </w:p>
        </w:tc>
        <w:tc>
          <w:tcPr>
            <w:tcW w:w="976" w:type="dxa"/>
            <w:tcBorders>
              <w:top w:val="nil"/>
              <w:left w:val="nil"/>
              <w:bottom w:val="nil"/>
              <w:right w:val="single" w:sz="4" w:space="0" w:color="000000"/>
            </w:tcBorders>
            <w:shd w:val="clear" w:color="000000" w:fill="FFFFFF"/>
            <w:hideMark/>
          </w:tcPr>
          <w:p w14:paraId="17AC877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50D5280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-2.129.795,41</w:t>
            </w:r>
          </w:p>
        </w:tc>
      </w:tr>
      <w:tr w:rsidR="004B06DB" w:rsidRPr="004B06DB" w14:paraId="00D6B205"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375CC21B"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Resultado do Exercício</w:t>
            </w:r>
          </w:p>
        </w:tc>
        <w:tc>
          <w:tcPr>
            <w:tcW w:w="356" w:type="dxa"/>
            <w:tcBorders>
              <w:top w:val="nil"/>
              <w:left w:val="nil"/>
              <w:bottom w:val="nil"/>
              <w:right w:val="single" w:sz="4" w:space="0" w:color="000000"/>
            </w:tcBorders>
            <w:shd w:val="clear" w:color="000000" w:fill="FFFFFF"/>
            <w:hideMark/>
          </w:tcPr>
          <w:p w14:paraId="7C8F52C2"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2166CB3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7F8F0F2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2E45A6B6"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41194FA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0312D5E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04A5A76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13.282.640.745,42</w:t>
            </w:r>
          </w:p>
        </w:tc>
        <w:tc>
          <w:tcPr>
            <w:tcW w:w="1076" w:type="dxa"/>
            <w:tcBorders>
              <w:top w:val="nil"/>
              <w:left w:val="nil"/>
              <w:bottom w:val="nil"/>
              <w:right w:val="single" w:sz="4" w:space="0" w:color="000000"/>
            </w:tcBorders>
            <w:shd w:val="clear" w:color="000000" w:fill="FFFFFF"/>
            <w:hideMark/>
          </w:tcPr>
          <w:p w14:paraId="6214377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3CA0DCA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023D32E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13.282.640.745,42</w:t>
            </w:r>
          </w:p>
        </w:tc>
      </w:tr>
      <w:tr w:rsidR="004B06DB" w:rsidRPr="004B06DB" w14:paraId="4962156F"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47782516"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Constituição/Reversão de Reservas</w:t>
            </w:r>
          </w:p>
        </w:tc>
        <w:tc>
          <w:tcPr>
            <w:tcW w:w="356" w:type="dxa"/>
            <w:tcBorders>
              <w:top w:val="nil"/>
              <w:left w:val="nil"/>
              <w:bottom w:val="nil"/>
              <w:right w:val="single" w:sz="4" w:space="0" w:color="000000"/>
            </w:tcBorders>
            <w:shd w:val="clear" w:color="000000" w:fill="FFFFFF"/>
            <w:hideMark/>
          </w:tcPr>
          <w:p w14:paraId="6733A177"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42C62F3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480E3AC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4F1D06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2BD5507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317CDCE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1E32F3B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8.653.233.559,18</w:t>
            </w:r>
          </w:p>
        </w:tc>
        <w:tc>
          <w:tcPr>
            <w:tcW w:w="1076" w:type="dxa"/>
            <w:tcBorders>
              <w:top w:val="nil"/>
              <w:left w:val="nil"/>
              <w:bottom w:val="nil"/>
              <w:right w:val="single" w:sz="4" w:space="0" w:color="000000"/>
            </w:tcBorders>
            <w:shd w:val="clear" w:color="000000" w:fill="FFFFFF"/>
            <w:hideMark/>
          </w:tcPr>
          <w:p w14:paraId="23BD7C7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375DB7A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215B5F4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8.653.233.559,18</w:t>
            </w:r>
          </w:p>
        </w:tc>
      </w:tr>
      <w:tr w:rsidR="004B06DB" w:rsidRPr="004B06DB" w14:paraId="7A58464F"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52DD0E7A"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Dividendos/Juros sobre Capital Próprio</w:t>
            </w:r>
          </w:p>
        </w:tc>
        <w:tc>
          <w:tcPr>
            <w:tcW w:w="356" w:type="dxa"/>
            <w:tcBorders>
              <w:top w:val="nil"/>
              <w:left w:val="nil"/>
              <w:bottom w:val="nil"/>
              <w:right w:val="single" w:sz="4" w:space="0" w:color="000000"/>
            </w:tcBorders>
            <w:shd w:val="clear" w:color="000000" w:fill="FFFFFF"/>
            <w:hideMark/>
          </w:tcPr>
          <w:p w14:paraId="05813F48"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4A65624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2E7835A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54B01FA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03BB933B"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4E0BE31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391322E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2E2F9B7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736BF50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0FA2F9D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0BE33BA8"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278E394A"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Provisão Tributária - IR/CS s/ Res. de Reavali</w:t>
            </w:r>
            <w:r w:rsidRPr="004B06DB">
              <w:rPr>
                <w:rFonts w:ascii="Arial" w:eastAsia="Times New Roman" w:hAnsi="Arial" w:cs="Arial"/>
                <w:color w:val="000000"/>
                <w:kern w:val="0"/>
                <w:sz w:val="14"/>
                <w:szCs w:val="14"/>
                <w:lang w:eastAsia="pt-BR" w:bidi="ar-SA"/>
              </w:rPr>
              <w:t>a</w:t>
            </w:r>
            <w:r w:rsidRPr="004B06DB">
              <w:rPr>
                <w:rFonts w:ascii="Arial" w:eastAsia="Times New Roman" w:hAnsi="Arial" w:cs="Arial"/>
                <w:color w:val="000000"/>
                <w:kern w:val="0"/>
                <w:sz w:val="14"/>
                <w:szCs w:val="14"/>
                <w:lang w:eastAsia="pt-BR" w:bidi="ar-SA"/>
              </w:rPr>
              <w:t>ção</w:t>
            </w:r>
          </w:p>
        </w:tc>
        <w:tc>
          <w:tcPr>
            <w:tcW w:w="356" w:type="dxa"/>
            <w:tcBorders>
              <w:top w:val="nil"/>
              <w:left w:val="nil"/>
              <w:bottom w:val="nil"/>
              <w:right w:val="single" w:sz="4" w:space="0" w:color="000000"/>
            </w:tcBorders>
            <w:shd w:val="clear" w:color="000000" w:fill="FFFFFF"/>
            <w:hideMark/>
          </w:tcPr>
          <w:p w14:paraId="163897A3"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141E143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60F97CA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5E311A1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1CC2E05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7B261AD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7FE16A4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05B6DF1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539A33B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5DBF386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77BA2351"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27746204"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xml:space="preserve">Saldos de Fusão, Cisão e </w:t>
            </w:r>
            <w:proofErr w:type="gramStart"/>
            <w:r w:rsidRPr="004B06DB">
              <w:rPr>
                <w:rFonts w:ascii="Arial" w:eastAsia="Times New Roman" w:hAnsi="Arial" w:cs="Arial"/>
                <w:color w:val="000000"/>
                <w:kern w:val="0"/>
                <w:sz w:val="14"/>
                <w:szCs w:val="14"/>
                <w:lang w:eastAsia="pt-BR" w:bidi="ar-SA"/>
              </w:rPr>
              <w:t>Incorporação</w:t>
            </w:r>
            <w:proofErr w:type="gramEnd"/>
          </w:p>
        </w:tc>
        <w:tc>
          <w:tcPr>
            <w:tcW w:w="356" w:type="dxa"/>
            <w:tcBorders>
              <w:top w:val="nil"/>
              <w:left w:val="nil"/>
              <w:bottom w:val="nil"/>
              <w:right w:val="single" w:sz="4" w:space="0" w:color="000000"/>
            </w:tcBorders>
            <w:shd w:val="clear" w:color="000000" w:fill="FFFFFF"/>
            <w:hideMark/>
          </w:tcPr>
          <w:p w14:paraId="36E0FFF5"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70C81EE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4857BB3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8B6520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3576761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1C9E3BF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7D6FF94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4BBB049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60ACE38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63A2CDB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3A8D597C"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3AE9CBB8"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proofErr w:type="gramStart"/>
            <w:r w:rsidRPr="004B06DB">
              <w:rPr>
                <w:rFonts w:ascii="Arial" w:eastAsia="Times New Roman" w:hAnsi="Arial" w:cs="Arial"/>
                <w:color w:val="000000"/>
                <w:kern w:val="0"/>
                <w:sz w:val="14"/>
                <w:szCs w:val="14"/>
                <w:lang w:eastAsia="pt-BR" w:bidi="ar-SA"/>
              </w:rPr>
              <w:lastRenderedPageBreak/>
              <w:t>Adiantamento para Futuro Aumento</w:t>
            </w:r>
            <w:proofErr w:type="gramEnd"/>
            <w:r w:rsidRPr="004B06DB">
              <w:rPr>
                <w:rFonts w:ascii="Arial" w:eastAsia="Times New Roman" w:hAnsi="Arial" w:cs="Arial"/>
                <w:color w:val="000000"/>
                <w:kern w:val="0"/>
                <w:sz w:val="14"/>
                <w:szCs w:val="14"/>
                <w:lang w:eastAsia="pt-BR" w:bidi="ar-SA"/>
              </w:rPr>
              <w:t xml:space="preserve"> de Capital</w:t>
            </w:r>
          </w:p>
        </w:tc>
        <w:tc>
          <w:tcPr>
            <w:tcW w:w="356" w:type="dxa"/>
            <w:tcBorders>
              <w:top w:val="nil"/>
              <w:left w:val="nil"/>
              <w:bottom w:val="nil"/>
              <w:right w:val="single" w:sz="4" w:space="0" w:color="000000"/>
            </w:tcBorders>
            <w:shd w:val="clear" w:color="000000" w:fill="FFFFFF"/>
            <w:hideMark/>
          </w:tcPr>
          <w:p w14:paraId="36391DE6"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483CC20B"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5DECF06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5CF28B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575995A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22CFD33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19E75FEB"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5C5779E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22ECBAA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6EC299A6"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2073A20D" w14:textId="77777777" w:rsidTr="004B06DB">
        <w:trPr>
          <w:trHeight w:val="300"/>
        </w:trPr>
        <w:tc>
          <w:tcPr>
            <w:tcW w:w="3084" w:type="dxa"/>
            <w:gridSpan w:val="4"/>
            <w:tcBorders>
              <w:top w:val="single" w:sz="4" w:space="0" w:color="000000"/>
              <w:left w:val="single" w:sz="4" w:space="0" w:color="000000"/>
              <w:bottom w:val="single" w:sz="4" w:space="0" w:color="000000"/>
              <w:right w:val="single" w:sz="4" w:space="0" w:color="000000"/>
            </w:tcBorders>
            <w:shd w:val="clear" w:color="000000" w:fill="FFFFFF"/>
            <w:hideMark/>
          </w:tcPr>
          <w:p w14:paraId="5BAEBE57"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Saldo Final do Exercício 2019</w:t>
            </w:r>
          </w:p>
        </w:tc>
        <w:tc>
          <w:tcPr>
            <w:tcW w:w="356" w:type="dxa"/>
            <w:tcBorders>
              <w:top w:val="single" w:sz="4" w:space="0" w:color="000000"/>
              <w:left w:val="nil"/>
              <w:bottom w:val="single" w:sz="4" w:space="0" w:color="000000"/>
              <w:right w:val="single" w:sz="4" w:space="0" w:color="000000"/>
            </w:tcBorders>
            <w:shd w:val="clear" w:color="000000" w:fill="FFFFFF"/>
            <w:hideMark/>
          </w:tcPr>
          <w:p w14:paraId="59C8F6B5"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single" w:sz="4" w:space="0" w:color="000000"/>
              <w:left w:val="nil"/>
              <w:bottom w:val="single" w:sz="4" w:space="0" w:color="000000"/>
              <w:right w:val="single" w:sz="4" w:space="0" w:color="000000"/>
            </w:tcBorders>
            <w:shd w:val="clear" w:color="000000" w:fill="FFFFFF"/>
            <w:hideMark/>
          </w:tcPr>
          <w:p w14:paraId="0DAD553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11.664.392.626,51</w:t>
            </w:r>
          </w:p>
        </w:tc>
        <w:tc>
          <w:tcPr>
            <w:tcW w:w="1952" w:type="dxa"/>
            <w:gridSpan w:val="2"/>
            <w:tcBorders>
              <w:top w:val="single" w:sz="4" w:space="0" w:color="000000"/>
              <w:left w:val="nil"/>
              <w:bottom w:val="single" w:sz="4" w:space="0" w:color="000000"/>
              <w:right w:val="single" w:sz="4" w:space="0" w:color="000000"/>
            </w:tcBorders>
            <w:shd w:val="clear" w:color="000000" w:fill="FFFFFF"/>
            <w:hideMark/>
          </w:tcPr>
          <w:p w14:paraId="4DAA380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581.383.549,73</w:t>
            </w:r>
          </w:p>
        </w:tc>
        <w:tc>
          <w:tcPr>
            <w:tcW w:w="1076" w:type="dxa"/>
            <w:tcBorders>
              <w:top w:val="single" w:sz="4" w:space="0" w:color="000000"/>
              <w:left w:val="nil"/>
              <w:bottom w:val="single" w:sz="4" w:space="0" w:color="000000"/>
              <w:right w:val="single" w:sz="4" w:space="0" w:color="000000"/>
            </w:tcBorders>
            <w:shd w:val="clear" w:color="000000" w:fill="FFFFFF"/>
            <w:hideMark/>
          </w:tcPr>
          <w:p w14:paraId="16344EB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2.266.923,14</w:t>
            </w:r>
          </w:p>
        </w:tc>
        <w:tc>
          <w:tcPr>
            <w:tcW w:w="976" w:type="dxa"/>
            <w:tcBorders>
              <w:top w:val="single" w:sz="4" w:space="0" w:color="000000"/>
              <w:left w:val="nil"/>
              <w:bottom w:val="single" w:sz="4" w:space="0" w:color="000000"/>
              <w:right w:val="single" w:sz="4" w:space="0" w:color="000000"/>
            </w:tcBorders>
            <w:shd w:val="clear" w:color="000000" w:fill="FFFFFF"/>
            <w:hideMark/>
          </w:tcPr>
          <w:p w14:paraId="6FBCAB1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single" w:sz="4" w:space="0" w:color="000000"/>
              <w:left w:val="nil"/>
              <w:bottom w:val="single" w:sz="4" w:space="0" w:color="000000"/>
              <w:right w:val="single" w:sz="4" w:space="0" w:color="000000"/>
            </w:tcBorders>
            <w:shd w:val="clear" w:color="000000" w:fill="FFFFFF"/>
            <w:hideMark/>
          </w:tcPr>
          <w:p w14:paraId="33FC0DF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2.695.992,14</w:t>
            </w:r>
          </w:p>
        </w:tc>
        <w:tc>
          <w:tcPr>
            <w:tcW w:w="1116" w:type="dxa"/>
            <w:tcBorders>
              <w:top w:val="single" w:sz="4" w:space="0" w:color="000000"/>
              <w:left w:val="nil"/>
              <w:bottom w:val="single" w:sz="4" w:space="0" w:color="000000"/>
              <w:right w:val="single" w:sz="4" w:space="0" w:color="000000"/>
            </w:tcBorders>
            <w:shd w:val="clear" w:color="000000" w:fill="FFFFFF"/>
            <w:hideMark/>
          </w:tcPr>
          <w:p w14:paraId="67B14FC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178.229.570.499,85</w:t>
            </w:r>
          </w:p>
        </w:tc>
        <w:tc>
          <w:tcPr>
            <w:tcW w:w="1076" w:type="dxa"/>
            <w:tcBorders>
              <w:top w:val="single" w:sz="4" w:space="0" w:color="000000"/>
              <w:left w:val="nil"/>
              <w:bottom w:val="single" w:sz="4" w:space="0" w:color="000000"/>
              <w:right w:val="single" w:sz="4" w:space="0" w:color="000000"/>
            </w:tcBorders>
            <w:shd w:val="clear" w:color="000000" w:fill="FFFFFF"/>
            <w:hideMark/>
          </w:tcPr>
          <w:p w14:paraId="184EF10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35.905.204,38</w:t>
            </w:r>
          </w:p>
        </w:tc>
        <w:tc>
          <w:tcPr>
            <w:tcW w:w="976" w:type="dxa"/>
            <w:tcBorders>
              <w:top w:val="single" w:sz="4" w:space="0" w:color="000000"/>
              <w:left w:val="nil"/>
              <w:bottom w:val="single" w:sz="4" w:space="0" w:color="000000"/>
              <w:right w:val="single" w:sz="4" w:space="0" w:color="000000"/>
            </w:tcBorders>
            <w:shd w:val="clear" w:color="000000" w:fill="FFFFFF"/>
            <w:hideMark/>
          </w:tcPr>
          <w:p w14:paraId="2781113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single" w:sz="4" w:space="0" w:color="000000"/>
              <w:left w:val="nil"/>
              <w:bottom w:val="single" w:sz="4" w:space="0" w:color="000000"/>
              <w:right w:val="single" w:sz="4" w:space="0" w:color="000000"/>
            </w:tcBorders>
            <w:shd w:val="clear" w:color="000000" w:fill="FFFFFF"/>
            <w:hideMark/>
          </w:tcPr>
          <w:p w14:paraId="1D7EB1B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190.516.214.795,75</w:t>
            </w:r>
          </w:p>
        </w:tc>
      </w:tr>
      <w:tr w:rsidR="004B06DB" w:rsidRPr="004B06DB" w14:paraId="58A1DA52" w14:textId="77777777" w:rsidTr="004B06DB">
        <w:trPr>
          <w:trHeight w:val="300"/>
        </w:trPr>
        <w:tc>
          <w:tcPr>
            <w:tcW w:w="14260" w:type="dxa"/>
            <w:gridSpan w:val="15"/>
            <w:tcBorders>
              <w:top w:val="single" w:sz="4" w:space="0" w:color="000000"/>
              <w:left w:val="nil"/>
              <w:bottom w:val="nil"/>
              <w:right w:val="nil"/>
            </w:tcBorders>
            <w:shd w:val="clear" w:color="000000" w:fill="FFFFFF"/>
            <w:hideMark/>
          </w:tcPr>
          <w:p w14:paraId="0F1CA2E5"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r>
      <w:tr w:rsidR="004B06DB" w:rsidRPr="004B06DB" w14:paraId="17F4663B" w14:textId="77777777" w:rsidTr="004B06DB">
        <w:trPr>
          <w:trHeight w:val="300"/>
        </w:trPr>
        <w:tc>
          <w:tcPr>
            <w:tcW w:w="976" w:type="dxa"/>
            <w:tcBorders>
              <w:top w:val="nil"/>
              <w:left w:val="nil"/>
              <w:bottom w:val="nil"/>
              <w:right w:val="nil"/>
            </w:tcBorders>
            <w:shd w:val="clear" w:color="000000" w:fill="FFFFFF"/>
            <w:hideMark/>
          </w:tcPr>
          <w:p w14:paraId="54415F4B"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6AF1A27A"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52F3012E"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56" w:type="dxa"/>
            <w:tcBorders>
              <w:top w:val="nil"/>
              <w:left w:val="nil"/>
              <w:bottom w:val="nil"/>
              <w:right w:val="nil"/>
            </w:tcBorders>
            <w:shd w:val="clear" w:color="000000" w:fill="FFFFFF"/>
            <w:hideMark/>
          </w:tcPr>
          <w:p w14:paraId="4F811A0D"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356" w:type="dxa"/>
            <w:tcBorders>
              <w:top w:val="nil"/>
              <w:left w:val="nil"/>
              <w:bottom w:val="nil"/>
              <w:right w:val="nil"/>
            </w:tcBorders>
            <w:shd w:val="clear" w:color="000000" w:fill="FFFFFF"/>
            <w:hideMark/>
          </w:tcPr>
          <w:p w14:paraId="26D1447C"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453D01C5"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5079A94C"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6660B46E"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26F6C86A"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647345ED"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354E7083"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116" w:type="dxa"/>
            <w:tcBorders>
              <w:top w:val="nil"/>
              <w:left w:val="nil"/>
              <w:bottom w:val="nil"/>
              <w:right w:val="nil"/>
            </w:tcBorders>
            <w:shd w:val="clear" w:color="000000" w:fill="FFFFFF"/>
            <w:hideMark/>
          </w:tcPr>
          <w:p w14:paraId="1D3F1C25"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076" w:type="dxa"/>
            <w:tcBorders>
              <w:top w:val="nil"/>
              <w:left w:val="nil"/>
              <w:bottom w:val="nil"/>
              <w:right w:val="nil"/>
            </w:tcBorders>
            <w:shd w:val="clear" w:color="000000" w:fill="FFFFFF"/>
            <w:hideMark/>
          </w:tcPr>
          <w:p w14:paraId="19278705"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976" w:type="dxa"/>
            <w:tcBorders>
              <w:top w:val="nil"/>
              <w:left w:val="nil"/>
              <w:bottom w:val="nil"/>
              <w:right w:val="nil"/>
            </w:tcBorders>
            <w:shd w:val="clear" w:color="000000" w:fill="FFFFFF"/>
            <w:hideMark/>
          </w:tcPr>
          <w:p w14:paraId="1C737A8C"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c>
          <w:tcPr>
            <w:tcW w:w="1596" w:type="dxa"/>
            <w:tcBorders>
              <w:top w:val="nil"/>
              <w:left w:val="nil"/>
              <w:bottom w:val="nil"/>
              <w:right w:val="nil"/>
            </w:tcBorders>
            <w:shd w:val="clear" w:color="000000" w:fill="FFFFFF"/>
            <w:hideMark/>
          </w:tcPr>
          <w:p w14:paraId="15311B63" w14:textId="77777777" w:rsidR="004B06DB" w:rsidRPr="004B06DB" w:rsidRDefault="004B06DB" w:rsidP="004B06DB">
            <w:pPr>
              <w:widowControl/>
              <w:suppressAutoHyphens w:val="0"/>
              <w:autoSpaceDN/>
              <w:textAlignment w:val="auto"/>
              <w:rPr>
                <w:rFonts w:ascii="SansSerif" w:eastAsia="Times New Roman" w:hAnsi="SansSerif" w:cs="Calibri"/>
                <w:color w:val="000000"/>
                <w:kern w:val="0"/>
                <w:sz w:val="14"/>
                <w:szCs w:val="14"/>
                <w:lang w:eastAsia="pt-BR" w:bidi="ar-SA"/>
              </w:rPr>
            </w:pPr>
            <w:r w:rsidRPr="004B06DB">
              <w:rPr>
                <w:rFonts w:ascii="SansSerif" w:eastAsia="Times New Roman" w:hAnsi="SansSerif" w:cs="Calibri"/>
                <w:color w:val="000000"/>
                <w:kern w:val="0"/>
                <w:sz w:val="14"/>
                <w:szCs w:val="14"/>
                <w:lang w:eastAsia="pt-BR" w:bidi="ar-SA"/>
              </w:rPr>
              <w:t> </w:t>
            </w:r>
          </w:p>
        </w:tc>
      </w:tr>
      <w:tr w:rsidR="004B06DB" w:rsidRPr="004B06DB" w14:paraId="2ACBDC1C" w14:textId="77777777" w:rsidTr="004B06DB">
        <w:trPr>
          <w:trHeight w:val="300"/>
        </w:trPr>
        <w:tc>
          <w:tcPr>
            <w:tcW w:w="3084"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602A0EE"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Especificação</w:t>
            </w:r>
          </w:p>
        </w:tc>
        <w:tc>
          <w:tcPr>
            <w:tcW w:w="35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DE4867A"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N.E.</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307E31E"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Patrimônio/ Capital Social</w:t>
            </w:r>
          </w:p>
        </w:tc>
        <w:tc>
          <w:tcPr>
            <w:tcW w:w="195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A0C5D9"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proofErr w:type="spellStart"/>
            <w:r w:rsidRPr="004B06DB">
              <w:rPr>
                <w:rFonts w:ascii="Arial" w:eastAsia="Times New Roman" w:hAnsi="Arial" w:cs="Arial"/>
                <w:b/>
                <w:bCs/>
                <w:color w:val="000000"/>
                <w:kern w:val="0"/>
                <w:sz w:val="14"/>
                <w:szCs w:val="14"/>
                <w:lang w:eastAsia="pt-BR" w:bidi="ar-SA"/>
              </w:rPr>
              <w:t>Adiant</w:t>
            </w:r>
            <w:proofErr w:type="spellEnd"/>
            <w:r w:rsidRPr="004B06DB">
              <w:rPr>
                <w:rFonts w:ascii="Arial" w:eastAsia="Times New Roman" w:hAnsi="Arial" w:cs="Arial"/>
                <w:b/>
                <w:bCs/>
                <w:color w:val="000000"/>
                <w:kern w:val="0"/>
                <w:sz w:val="14"/>
                <w:szCs w:val="14"/>
                <w:lang w:eastAsia="pt-BR" w:bidi="ar-SA"/>
              </w:rPr>
              <w:t xml:space="preserve">. </w:t>
            </w:r>
            <w:proofErr w:type="gramStart"/>
            <w:r w:rsidRPr="004B06DB">
              <w:rPr>
                <w:rFonts w:ascii="Arial" w:eastAsia="Times New Roman" w:hAnsi="Arial" w:cs="Arial"/>
                <w:b/>
                <w:bCs/>
                <w:color w:val="000000"/>
                <w:kern w:val="0"/>
                <w:sz w:val="14"/>
                <w:szCs w:val="14"/>
                <w:lang w:eastAsia="pt-BR" w:bidi="ar-SA"/>
              </w:rPr>
              <w:t>para</w:t>
            </w:r>
            <w:proofErr w:type="gramEnd"/>
            <w:r w:rsidRPr="004B06DB">
              <w:rPr>
                <w:rFonts w:ascii="Arial" w:eastAsia="Times New Roman" w:hAnsi="Arial" w:cs="Arial"/>
                <w:b/>
                <w:bCs/>
                <w:color w:val="000000"/>
                <w:kern w:val="0"/>
                <w:sz w:val="14"/>
                <w:szCs w:val="14"/>
                <w:lang w:eastAsia="pt-BR" w:bidi="ar-SA"/>
              </w:rPr>
              <w:t xml:space="preserve"> Futuro A</w:t>
            </w:r>
            <w:r w:rsidRPr="004B06DB">
              <w:rPr>
                <w:rFonts w:ascii="Arial" w:eastAsia="Times New Roman" w:hAnsi="Arial" w:cs="Arial"/>
                <w:b/>
                <w:bCs/>
                <w:color w:val="000000"/>
                <w:kern w:val="0"/>
                <w:sz w:val="14"/>
                <w:szCs w:val="14"/>
                <w:lang w:eastAsia="pt-BR" w:bidi="ar-SA"/>
              </w:rPr>
              <w:t>u</w:t>
            </w:r>
            <w:r w:rsidRPr="004B06DB">
              <w:rPr>
                <w:rFonts w:ascii="Arial" w:eastAsia="Times New Roman" w:hAnsi="Arial" w:cs="Arial"/>
                <w:b/>
                <w:bCs/>
                <w:color w:val="000000"/>
                <w:kern w:val="0"/>
                <w:sz w:val="14"/>
                <w:szCs w:val="14"/>
                <w:lang w:eastAsia="pt-BR" w:bidi="ar-SA"/>
              </w:rPr>
              <w:t>mento de Capital (AFAC)</w:t>
            </w:r>
          </w:p>
        </w:tc>
        <w:tc>
          <w:tcPr>
            <w:tcW w:w="10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2D2E867"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Reserva de Capital</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02A97B4"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Reservas de Lucros</w:t>
            </w:r>
          </w:p>
        </w:tc>
        <w:tc>
          <w:tcPr>
            <w:tcW w:w="10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D0A9786"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Demais Reservas</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A63E64C"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Resultados Ac</w:t>
            </w:r>
            <w:r w:rsidRPr="004B06DB">
              <w:rPr>
                <w:rFonts w:ascii="Arial" w:eastAsia="Times New Roman" w:hAnsi="Arial" w:cs="Arial"/>
                <w:b/>
                <w:bCs/>
                <w:color w:val="000000"/>
                <w:kern w:val="0"/>
                <w:sz w:val="14"/>
                <w:szCs w:val="14"/>
                <w:lang w:eastAsia="pt-BR" w:bidi="ar-SA"/>
              </w:rPr>
              <w:t>u</w:t>
            </w:r>
            <w:r w:rsidRPr="004B06DB">
              <w:rPr>
                <w:rFonts w:ascii="Arial" w:eastAsia="Times New Roman" w:hAnsi="Arial" w:cs="Arial"/>
                <w:b/>
                <w:bCs/>
                <w:color w:val="000000"/>
                <w:kern w:val="0"/>
                <w:sz w:val="14"/>
                <w:szCs w:val="14"/>
                <w:lang w:eastAsia="pt-BR" w:bidi="ar-SA"/>
              </w:rPr>
              <w:t>mulados</w:t>
            </w:r>
          </w:p>
        </w:tc>
        <w:tc>
          <w:tcPr>
            <w:tcW w:w="10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86A1CB"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Ajustes de Avaliação Patrimonial</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8F9945B"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Ações/Cotas em Tesour</w:t>
            </w:r>
            <w:r w:rsidRPr="004B06DB">
              <w:rPr>
                <w:rFonts w:ascii="Arial" w:eastAsia="Times New Roman" w:hAnsi="Arial" w:cs="Arial"/>
                <w:b/>
                <w:bCs/>
                <w:color w:val="000000"/>
                <w:kern w:val="0"/>
                <w:sz w:val="14"/>
                <w:szCs w:val="14"/>
                <w:lang w:eastAsia="pt-BR" w:bidi="ar-SA"/>
              </w:rPr>
              <w:t>a</w:t>
            </w:r>
            <w:r w:rsidRPr="004B06DB">
              <w:rPr>
                <w:rFonts w:ascii="Arial" w:eastAsia="Times New Roman" w:hAnsi="Arial" w:cs="Arial"/>
                <w:b/>
                <w:bCs/>
                <w:color w:val="000000"/>
                <w:kern w:val="0"/>
                <w:sz w:val="14"/>
                <w:szCs w:val="14"/>
                <w:lang w:eastAsia="pt-BR" w:bidi="ar-SA"/>
              </w:rPr>
              <w:t>ria</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BD35F5" w14:textId="77777777" w:rsidR="004B06DB" w:rsidRPr="004B06DB" w:rsidRDefault="004B06DB" w:rsidP="004B06DB">
            <w:pPr>
              <w:widowControl/>
              <w:suppressAutoHyphens w:val="0"/>
              <w:autoSpaceDN/>
              <w:jc w:val="center"/>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Total</w:t>
            </w:r>
          </w:p>
        </w:tc>
      </w:tr>
      <w:tr w:rsidR="004B06DB" w:rsidRPr="004B06DB" w14:paraId="4C2BE8F2" w14:textId="77777777" w:rsidTr="004B06DB">
        <w:trPr>
          <w:trHeight w:val="300"/>
        </w:trPr>
        <w:tc>
          <w:tcPr>
            <w:tcW w:w="3084" w:type="dxa"/>
            <w:gridSpan w:val="4"/>
            <w:vMerge/>
            <w:tcBorders>
              <w:top w:val="single" w:sz="4" w:space="0" w:color="000000"/>
              <w:left w:val="single" w:sz="4" w:space="0" w:color="000000"/>
              <w:bottom w:val="single" w:sz="4" w:space="0" w:color="000000"/>
              <w:right w:val="single" w:sz="4" w:space="0" w:color="000000"/>
            </w:tcBorders>
            <w:vAlign w:val="center"/>
            <w:hideMark/>
          </w:tcPr>
          <w:p w14:paraId="69C7EB6C"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356" w:type="dxa"/>
            <w:vMerge/>
            <w:tcBorders>
              <w:top w:val="single" w:sz="4" w:space="0" w:color="000000"/>
              <w:left w:val="single" w:sz="4" w:space="0" w:color="000000"/>
              <w:bottom w:val="single" w:sz="4" w:space="0" w:color="000000"/>
              <w:right w:val="single" w:sz="4" w:space="0" w:color="000000"/>
            </w:tcBorders>
            <w:vAlign w:val="center"/>
            <w:hideMark/>
          </w:tcPr>
          <w:p w14:paraId="359F727D"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40F80099"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952" w:type="dxa"/>
            <w:gridSpan w:val="2"/>
            <w:vMerge/>
            <w:tcBorders>
              <w:top w:val="single" w:sz="4" w:space="0" w:color="000000"/>
              <w:left w:val="single" w:sz="4" w:space="0" w:color="000000"/>
              <w:bottom w:val="single" w:sz="4" w:space="0" w:color="000000"/>
              <w:right w:val="single" w:sz="4" w:space="0" w:color="000000"/>
            </w:tcBorders>
            <w:vAlign w:val="center"/>
            <w:hideMark/>
          </w:tcPr>
          <w:p w14:paraId="053BC999"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single" w:sz="4" w:space="0" w:color="000000"/>
              <w:left w:val="single" w:sz="4" w:space="0" w:color="000000"/>
              <w:bottom w:val="single" w:sz="4" w:space="0" w:color="000000"/>
              <w:right w:val="single" w:sz="4" w:space="0" w:color="000000"/>
            </w:tcBorders>
            <w:vAlign w:val="center"/>
            <w:hideMark/>
          </w:tcPr>
          <w:p w14:paraId="61B1A827"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778CDB7F"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single" w:sz="4" w:space="0" w:color="000000"/>
              <w:left w:val="single" w:sz="4" w:space="0" w:color="000000"/>
              <w:bottom w:val="single" w:sz="4" w:space="0" w:color="000000"/>
              <w:right w:val="single" w:sz="4" w:space="0" w:color="000000"/>
            </w:tcBorders>
            <w:vAlign w:val="center"/>
            <w:hideMark/>
          </w:tcPr>
          <w:p w14:paraId="71CD9696"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116" w:type="dxa"/>
            <w:vMerge/>
            <w:tcBorders>
              <w:top w:val="single" w:sz="4" w:space="0" w:color="000000"/>
              <w:left w:val="single" w:sz="4" w:space="0" w:color="000000"/>
              <w:bottom w:val="single" w:sz="4" w:space="0" w:color="000000"/>
              <w:right w:val="single" w:sz="4" w:space="0" w:color="000000"/>
            </w:tcBorders>
            <w:vAlign w:val="center"/>
            <w:hideMark/>
          </w:tcPr>
          <w:p w14:paraId="7716F7A4"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single" w:sz="4" w:space="0" w:color="000000"/>
              <w:left w:val="single" w:sz="4" w:space="0" w:color="000000"/>
              <w:bottom w:val="single" w:sz="4" w:space="0" w:color="000000"/>
              <w:right w:val="single" w:sz="4" w:space="0" w:color="000000"/>
            </w:tcBorders>
            <w:vAlign w:val="center"/>
            <w:hideMark/>
          </w:tcPr>
          <w:p w14:paraId="47275839"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4B70501C"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14:paraId="2EBE0E00"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p>
        </w:tc>
      </w:tr>
      <w:tr w:rsidR="004B06DB" w:rsidRPr="004B06DB" w14:paraId="26F5600B" w14:textId="77777777" w:rsidTr="004B06DB">
        <w:trPr>
          <w:trHeight w:val="300"/>
        </w:trPr>
        <w:tc>
          <w:tcPr>
            <w:tcW w:w="3084" w:type="dxa"/>
            <w:gridSpan w:val="4"/>
            <w:vMerge/>
            <w:tcBorders>
              <w:top w:val="single" w:sz="4" w:space="0" w:color="000000"/>
              <w:left w:val="single" w:sz="4" w:space="0" w:color="000000"/>
              <w:bottom w:val="single" w:sz="4" w:space="0" w:color="000000"/>
              <w:right w:val="single" w:sz="4" w:space="0" w:color="000000"/>
            </w:tcBorders>
            <w:vAlign w:val="center"/>
            <w:hideMark/>
          </w:tcPr>
          <w:p w14:paraId="4B9468AD"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356" w:type="dxa"/>
            <w:vMerge/>
            <w:tcBorders>
              <w:top w:val="single" w:sz="4" w:space="0" w:color="000000"/>
              <w:left w:val="single" w:sz="4" w:space="0" w:color="000000"/>
              <w:bottom w:val="single" w:sz="4" w:space="0" w:color="000000"/>
              <w:right w:val="single" w:sz="4" w:space="0" w:color="000000"/>
            </w:tcBorders>
            <w:vAlign w:val="center"/>
            <w:hideMark/>
          </w:tcPr>
          <w:p w14:paraId="178089BF"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39311025"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952" w:type="dxa"/>
            <w:gridSpan w:val="2"/>
            <w:vMerge/>
            <w:tcBorders>
              <w:top w:val="single" w:sz="4" w:space="0" w:color="000000"/>
              <w:left w:val="single" w:sz="4" w:space="0" w:color="000000"/>
              <w:bottom w:val="single" w:sz="4" w:space="0" w:color="000000"/>
              <w:right w:val="single" w:sz="4" w:space="0" w:color="000000"/>
            </w:tcBorders>
            <w:vAlign w:val="center"/>
            <w:hideMark/>
          </w:tcPr>
          <w:p w14:paraId="2A453847"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single" w:sz="4" w:space="0" w:color="000000"/>
              <w:left w:val="single" w:sz="4" w:space="0" w:color="000000"/>
              <w:bottom w:val="single" w:sz="4" w:space="0" w:color="000000"/>
              <w:right w:val="single" w:sz="4" w:space="0" w:color="000000"/>
            </w:tcBorders>
            <w:vAlign w:val="center"/>
            <w:hideMark/>
          </w:tcPr>
          <w:p w14:paraId="3C8CD7A8"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023A1609"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single" w:sz="4" w:space="0" w:color="000000"/>
              <w:left w:val="single" w:sz="4" w:space="0" w:color="000000"/>
              <w:bottom w:val="single" w:sz="4" w:space="0" w:color="000000"/>
              <w:right w:val="single" w:sz="4" w:space="0" w:color="000000"/>
            </w:tcBorders>
            <w:vAlign w:val="center"/>
            <w:hideMark/>
          </w:tcPr>
          <w:p w14:paraId="096C0E1F"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116" w:type="dxa"/>
            <w:vMerge/>
            <w:tcBorders>
              <w:top w:val="single" w:sz="4" w:space="0" w:color="000000"/>
              <w:left w:val="single" w:sz="4" w:space="0" w:color="000000"/>
              <w:bottom w:val="single" w:sz="4" w:space="0" w:color="000000"/>
              <w:right w:val="single" w:sz="4" w:space="0" w:color="000000"/>
            </w:tcBorders>
            <w:vAlign w:val="center"/>
            <w:hideMark/>
          </w:tcPr>
          <w:p w14:paraId="11666D3F"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076" w:type="dxa"/>
            <w:vMerge/>
            <w:tcBorders>
              <w:top w:val="single" w:sz="4" w:space="0" w:color="000000"/>
              <w:left w:val="single" w:sz="4" w:space="0" w:color="000000"/>
              <w:bottom w:val="single" w:sz="4" w:space="0" w:color="000000"/>
              <w:right w:val="single" w:sz="4" w:space="0" w:color="000000"/>
            </w:tcBorders>
            <w:vAlign w:val="center"/>
            <w:hideMark/>
          </w:tcPr>
          <w:p w14:paraId="2179B3EA"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54F7DEC7" w14:textId="77777777" w:rsidR="004B06DB" w:rsidRPr="004B06DB" w:rsidRDefault="004B06DB" w:rsidP="004B06DB">
            <w:pPr>
              <w:widowControl/>
              <w:suppressAutoHyphens w:val="0"/>
              <w:autoSpaceDN/>
              <w:textAlignment w:val="auto"/>
              <w:rPr>
                <w:rFonts w:ascii="Arial" w:eastAsia="Times New Roman" w:hAnsi="Arial" w:cs="Arial"/>
                <w:b/>
                <w:bCs/>
                <w:color w:val="000000"/>
                <w:kern w:val="0"/>
                <w:sz w:val="14"/>
                <w:szCs w:val="14"/>
                <w:lang w:eastAsia="pt-BR" w:bidi="ar-SA"/>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14:paraId="442A546B"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p>
        </w:tc>
      </w:tr>
      <w:tr w:rsidR="004B06DB" w:rsidRPr="004B06DB" w14:paraId="25047C61" w14:textId="77777777" w:rsidTr="004B06DB">
        <w:trPr>
          <w:trHeight w:val="300"/>
        </w:trPr>
        <w:tc>
          <w:tcPr>
            <w:tcW w:w="3084" w:type="dxa"/>
            <w:gridSpan w:val="4"/>
            <w:tcBorders>
              <w:top w:val="single" w:sz="4" w:space="0" w:color="000000"/>
              <w:left w:val="single" w:sz="4" w:space="0" w:color="000000"/>
              <w:bottom w:val="single" w:sz="4" w:space="0" w:color="000000"/>
              <w:right w:val="single" w:sz="4" w:space="0" w:color="000000"/>
            </w:tcBorders>
            <w:shd w:val="clear" w:color="000000" w:fill="FFFFFF"/>
            <w:hideMark/>
          </w:tcPr>
          <w:p w14:paraId="2E72514D"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Saldo Inicial do Exercício 2020</w:t>
            </w:r>
          </w:p>
        </w:tc>
        <w:tc>
          <w:tcPr>
            <w:tcW w:w="356" w:type="dxa"/>
            <w:tcBorders>
              <w:top w:val="nil"/>
              <w:left w:val="nil"/>
              <w:bottom w:val="single" w:sz="4" w:space="0" w:color="000000"/>
              <w:right w:val="single" w:sz="4" w:space="0" w:color="000000"/>
            </w:tcBorders>
            <w:shd w:val="clear" w:color="000000" w:fill="FFFFFF"/>
            <w:hideMark/>
          </w:tcPr>
          <w:p w14:paraId="72A5BF80"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single" w:sz="4" w:space="0" w:color="000000"/>
              <w:right w:val="single" w:sz="4" w:space="0" w:color="000000"/>
            </w:tcBorders>
            <w:shd w:val="clear" w:color="000000" w:fill="FFFFFF"/>
            <w:hideMark/>
          </w:tcPr>
          <w:p w14:paraId="5BB08B1B"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11.664.392.626,51</w:t>
            </w:r>
          </w:p>
        </w:tc>
        <w:tc>
          <w:tcPr>
            <w:tcW w:w="1952" w:type="dxa"/>
            <w:gridSpan w:val="2"/>
            <w:tcBorders>
              <w:top w:val="single" w:sz="4" w:space="0" w:color="000000"/>
              <w:left w:val="nil"/>
              <w:bottom w:val="single" w:sz="4" w:space="0" w:color="000000"/>
              <w:right w:val="single" w:sz="4" w:space="0" w:color="000000"/>
            </w:tcBorders>
            <w:shd w:val="clear" w:color="000000" w:fill="FFFFFF"/>
            <w:hideMark/>
          </w:tcPr>
          <w:p w14:paraId="1ED5838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581.383.549,73</w:t>
            </w:r>
          </w:p>
        </w:tc>
        <w:tc>
          <w:tcPr>
            <w:tcW w:w="1076" w:type="dxa"/>
            <w:tcBorders>
              <w:top w:val="nil"/>
              <w:left w:val="nil"/>
              <w:bottom w:val="single" w:sz="4" w:space="0" w:color="000000"/>
              <w:right w:val="single" w:sz="4" w:space="0" w:color="000000"/>
            </w:tcBorders>
            <w:shd w:val="clear" w:color="000000" w:fill="FFFFFF"/>
            <w:hideMark/>
          </w:tcPr>
          <w:p w14:paraId="002350B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2.266.923,14</w:t>
            </w:r>
          </w:p>
        </w:tc>
        <w:tc>
          <w:tcPr>
            <w:tcW w:w="976" w:type="dxa"/>
            <w:tcBorders>
              <w:top w:val="nil"/>
              <w:left w:val="nil"/>
              <w:bottom w:val="single" w:sz="4" w:space="0" w:color="000000"/>
              <w:right w:val="single" w:sz="4" w:space="0" w:color="000000"/>
            </w:tcBorders>
            <w:shd w:val="clear" w:color="000000" w:fill="FFFFFF"/>
            <w:hideMark/>
          </w:tcPr>
          <w:p w14:paraId="65DB8C2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single" w:sz="4" w:space="0" w:color="000000"/>
              <w:right w:val="single" w:sz="4" w:space="0" w:color="000000"/>
            </w:tcBorders>
            <w:shd w:val="clear" w:color="000000" w:fill="FFFFFF"/>
            <w:hideMark/>
          </w:tcPr>
          <w:p w14:paraId="329CF66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2.695.992,14</w:t>
            </w:r>
          </w:p>
        </w:tc>
        <w:tc>
          <w:tcPr>
            <w:tcW w:w="1116" w:type="dxa"/>
            <w:tcBorders>
              <w:top w:val="nil"/>
              <w:left w:val="nil"/>
              <w:bottom w:val="single" w:sz="4" w:space="0" w:color="000000"/>
              <w:right w:val="single" w:sz="4" w:space="0" w:color="000000"/>
            </w:tcBorders>
            <w:shd w:val="clear" w:color="000000" w:fill="FFFFFF"/>
            <w:hideMark/>
          </w:tcPr>
          <w:p w14:paraId="4AA4EEA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178.229.570.499,85</w:t>
            </w:r>
          </w:p>
        </w:tc>
        <w:tc>
          <w:tcPr>
            <w:tcW w:w="1076" w:type="dxa"/>
            <w:tcBorders>
              <w:top w:val="nil"/>
              <w:left w:val="nil"/>
              <w:bottom w:val="single" w:sz="4" w:space="0" w:color="000000"/>
              <w:right w:val="single" w:sz="4" w:space="0" w:color="000000"/>
            </w:tcBorders>
            <w:shd w:val="clear" w:color="000000" w:fill="FFFFFF"/>
            <w:hideMark/>
          </w:tcPr>
          <w:p w14:paraId="34639F4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35.905.204,38</w:t>
            </w:r>
          </w:p>
        </w:tc>
        <w:tc>
          <w:tcPr>
            <w:tcW w:w="976" w:type="dxa"/>
            <w:tcBorders>
              <w:top w:val="nil"/>
              <w:left w:val="nil"/>
              <w:bottom w:val="single" w:sz="4" w:space="0" w:color="000000"/>
              <w:right w:val="single" w:sz="4" w:space="0" w:color="000000"/>
            </w:tcBorders>
            <w:shd w:val="clear" w:color="000000" w:fill="FFFFFF"/>
            <w:hideMark/>
          </w:tcPr>
          <w:p w14:paraId="6CE3671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single" w:sz="4" w:space="0" w:color="000000"/>
              <w:right w:val="single" w:sz="4" w:space="0" w:color="000000"/>
            </w:tcBorders>
            <w:shd w:val="clear" w:color="000000" w:fill="FFFFFF"/>
            <w:hideMark/>
          </w:tcPr>
          <w:p w14:paraId="6AF71C4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190.516.214.795,75</w:t>
            </w:r>
          </w:p>
        </w:tc>
      </w:tr>
      <w:tr w:rsidR="004B06DB" w:rsidRPr="004B06DB" w14:paraId="05702F7F" w14:textId="77777777" w:rsidTr="004B06DB">
        <w:trPr>
          <w:trHeight w:val="300"/>
        </w:trPr>
        <w:tc>
          <w:tcPr>
            <w:tcW w:w="3084" w:type="dxa"/>
            <w:gridSpan w:val="4"/>
            <w:tcBorders>
              <w:top w:val="single" w:sz="4" w:space="0" w:color="000000"/>
              <w:left w:val="single" w:sz="4" w:space="0" w:color="000000"/>
              <w:bottom w:val="nil"/>
              <w:right w:val="single" w:sz="4" w:space="0" w:color="000000"/>
            </w:tcBorders>
            <w:shd w:val="clear" w:color="000000" w:fill="FFFFFF"/>
            <w:hideMark/>
          </w:tcPr>
          <w:p w14:paraId="38244BB6"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Variação Cambial</w:t>
            </w:r>
          </w:p>
        </w:tc>
        <w:tc>
          <w:tcPr>
            <w:tcW w:w="356" w:type="dxa"/>
            <w:tcBorders>
              <w:top w:val="nil"/>
              <w:left w:val="nil"/>
              <w:bottom w:val="nil"/>
              <w:right w:val="single" w:sz="4" w:space="0" w:color="000000"/>
            </w:tcBorders>
            <w:shd w:val="clear" w:color="000000" w:fill="FFFFFF"/>
            <w:hideMark/>
          </w:tcPr>
          <w:p w14:paraId="637960FA"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428A4B2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single" w:sz="4" w:space="0" w:color="000000"/>
              <w:left w:val="nil"/>
              <w:bottom w:val="nil"/>
              <w:right w:val="single" w:sz="4" w:space="0" w:color="000000"/>
            </w:tcBorders>
            <w:shd w:val="clear" w:color="000000" w:fill="FFFFFF"/>
            <w:hideMark/>
          </w:tcPr>
          <w:p w14:paraId="4E73274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32B6F3D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2FB61EA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78C3D84B"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0C4DA25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1959CF6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2577710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7238BB2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68357A79"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3BDABF54"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Ajustes de Exercícios Anteriores</w:t>
            </w:r>
          </w:p>
        </w:tc>
        <w:tc>
          <w:tcPr>
            <w:tcW w:w="356" w:type="dxa"/>
            <w:tcBorders>
              <w:top w:val="nil"/>
              <w:left w:val="nil"/>
              <w:bottom w:val="nil"/>
              <w:right w:val="single" w:sz="4" w:space="0" w:color="000000"/>
            </w:tcBorders>
            <w:shd w:val="clear" w:color="000000" w:fill="FFFFFF"/>
            <w:hideMark/>
          </w:tcPr>
          <w:p w14:paraId="51EAC917"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26</w:t>
            </w:r>
          </w:p>
        </w:tc>
        <w:tc>
          <w:tcPr>
            <w:tcW w:w="976" w:type="dxa"/>
            <w:tcBorders>
              <w:top w:val="nil"/>
              <w:left w:val="nil"/>
              <w:bottom w:val="nil"/>
              <w:right w:val="single" w:sz="4" w:space="0" w:color="000000"/>
            </w:tcBorders>
            <w:shd w:val="clear" w:color="000000" w:fill="FFFFFF"/>
            <w:hideMark/>
          </w:tcPr>
          <w:p w14:paraId="37314D7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7975034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336.144.009,96</w:t>
            </w:r>
          </w:p>
        </w:tc>
        <w:tc>
          <w:tcPr>
            <w:tcW w:w="1076" w:type="dxa"/>
            <w:tcBorders>
              <w:top w:val="nil"/>
              <w:left w:val="nil"/>
              <w:bottom w:val="nil"/>
              <w:right w:val="single" w:sz="4" w:space="0" w:color="000000"/>
            </w:tcBorders>
            <w:shd w:val="clear" w:color="000000" w:fill="FFFFFF"/>
            <w:hideMark/>
          </w:tcPr>
          <w:p w14:paraId="190C889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10E1378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2B1B85F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59EE30D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154.857.444,37</w:t>
            </w:r>
          </w:p>
        </w:tc>
        <w:tc>
          <w:tcPr>
            <w:tcW w:w="1076" w:type="dxa"/>
            <w:tcBorders>
              <w:top w:val="nil"/>
              <w:left w:val="nil"/>
              <w:bottom w:val="nil"/>
              <w:right w:val="single" w:sz="4" w:space="0" w:color="000000"/>
            </w:tcBorders>
            <w:shd w:val="clear" w:color="000000" w:fill="FFFFFF"/>
            <w:hideMark/>
          </w:tcPr>
          <w:p w14:paraId="21D55E9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119B55B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0F3465E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491.001.454,33</w:t>
            </w:r>
          </w:p>
        </w:tc>
      </w:tr>
      <w:tr w:rsidR="004B06DB" w:rsidRPr="004B06DB" w14:paraId="3B87E9FB"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66A858F5"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Aumento/Redução de Capital</w:t>
            </w:r>
          </w:p>
        </w:tc>
        <w:tc>
          <w:tcPr>
            <w:tcW w:w="356" w:type="dxa"/>
            <w:tcBorders>
              <w:top w:val="nil"/>
              <w:left w:val="nil"/>
              <w:bottom w:val="nil"/>
              <w:right w:val="single" w:sz="4" w:space="0" w:color="000000"/>
            </w:tcBorders>
            <w:shd w:val="clear" w:color="000000" w:fill="FFFFFF"/>
            <w:hideMark/>
          </w:tcPr>
          <w:p w14:paraId="6369A983"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27</w:t>
            </w:r>
          </w:p>
        </w:tc>
        <w:tc>
          <w:tcPr>
            <w:tcW w:w="976" w:type="dxa"/>
            <w:tcBorders>
              <w:top w:val="nil"/>
              <w:left w:val="nil"/>
              <w:bottom w:val="nil"/>
              <w:right w:val="single" w:sz="4" w:space="0" w:color="000000"/>
            </w:tcBorders>
            <w:shd w:val="clear" w:color="000000" w:fill="FFFFFF"/>
            <w:hideMark/>
          </w:tcPr>
          <w:p w14:paraId="6798DFC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515.689.315,56</w:t>
            </w:r>
          </w:p>
        </w:tc>
        <w:tc>
          <w:tcPr>
            <w:tcW w:w="1952" w:type="dxa"/>
            <w:gridSpan w:val="2"/>
            <w:tcBorders>
              <w:top w:val="nil"/>
              <w:left w:val="nil"/>
              <w:bottom w:val="nil"/>
              <w:right w:val="single" w:sz="4" w:space="0" w:color="000000"/>
            </w:tcBorders>
            <w:shd w:val="clear" w:color="000000" w:fill="FFFFFF"/>
            <w:hideMark/>
          </w:tcPr>
          <w:p w14:paraId="6ECCCECB"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-515.625.304,59</w:t>
            </w:r>
          </w:p>
        </w:tc>
        <w:tc>
          <w:tcPr>
            <w:tcW w:w="1076" w:type="dxa"/>
            <w:tcBorders>
              <w:top w:val="nil"/>
              <w:left w:val="nil"/>
              <w:bottom w:val="nil"/>
              <w:right w:val="single" w:sz="4" w:space="0" w:color="000000"/>
            </w:tcBorders>
            <w:shd w:val="clear" w:color="000000" w:fill="FFFFFF"/>
            <w:hideMark/>
          </w:tcPr>
          <w:p w14:paraId="4226403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507ABBE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0F88382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77E028A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D85919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382F741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0F86A58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64.010,97</w:t>
            </w:r>
          </w:p>
        </w:tc>
      </w:tr>
      <w:tr w:rsidR="004B06DB" w:rsidRPr="004B06DB" w14:paraId="76B6633E"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68280AC9"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Resgate/</w:t>
            </w:r>
            <w:proofErr w:type="spellStart"/>
            <w:r w:rsidRPr="004B06DB">
              <w:rPr>
                <w:rFonts w:ascii="Arial" w:eastAsia="Times New Roman" w:hAnsi="Arial" w:cs="Arial"/>
                <w:color w:val="000000"/>
                <w:kern w:val="0"/>
                <w:sz w:val="14"/>
                <w:szCs w:val="14"/>
                <w:lang w:eastAsia="pt-BR" w:bidi="ar-SA"/>
              </w:rPr>
              <w:t>Reemissão</w:t>
            </w:r>
            <w:proofErr w:type="spellEnd"/>
            <w:r w:rsidRPr="004B06DB">
              <w:rPr>
                <w:rFonts w:ascii="Arial" w:eastAsia="Times New Roman" w:hAnsi="Arial" w:cs="Arial"/>
                <w:color w:val="000000"/>
                <w:kern w:val="0"/>
                <w:sz w:val="14"/>
                <w:szCs w:val="14"/>
                <w:lang w:eastAsia="pt-BR" w:bidi="ar-SA"/>
              </w:rPr>
              <w:t xml:space="preserve"> de Ações e Cotas</w:t>
            </w:r>
          </w:p>
        </w:tc>
        <w:tc>
          <w:tcPr>
            <w:tcW w:w="356" w:type="dxa"/>
            <w:tcBorders>
              <w:top w:val="nil"/>
              <w:left w:val="nil"/>
              <w:bottom w:val="nil"/>
              <w:right w:val="single" w:sz="4" w:space="0" w:color="000000"/>
            </w:tcBorders>
            <w:shd w:val="clear" w:color="000000" w:fill="FFFFFF"/>
            <w:hideMark/>
          </w:tcPr>
          <w:p w14:paraId="6332C198"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2D39D8B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1F3C691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B981AB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4546321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30FC014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4ECAF79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5B88FEB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319FDE4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5D1E83E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5489AECF"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4E0A422D"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Const./</w:t>
            </w:r>
            <w:proofErr w:type="spellStart"/>
            <w:r w:rsidRPr="004B06DB">
              <w:rPr>
                <w:rFonts w:ascii="Arial" w:eastAsia="Times New Roman" w:hAnsi="Arial" w:cs="Arial"/>
                <w:color w:val="000000"/>
                <w:kern w:val="0"/>
                <w:sz w:val="14"/>
                <w:szCs w:val="14"/>
                <w:lang w:eastAsia="pt-BR" w:bidi="ar-SA"/>
              </w:rPr>
              <w:t>Realiz</w:t>
            </w:r>
            <w:proofErr w:type="spellEnd"/>
            <w:r w:rsidRPr="004B06DB">
              <w:rPr>
                <w:rFonts w:ascii="Arial" w:eastAsia="Times New Roman" w:hAnsi="Arial" w:cs="Arial"/>
                <w:color w:val="000000"/>
                <w:kern w:val="0"/>
                <w:sz w:val="14"/>
                <w:szCs w:val="14"/>
                <w:lang w:eastAsia="pt-BR" w:bidi="ar-SA"/>
              </w:rPr>
              <w:t xml:space="preserve">. </w:t>
            </w:r>
            <w:proofErr w:type="gramStart"/>
            <w:r w:rsidRPr="004B06DB">
              <w:rPr>
                <w:rFonts w:ascii="Arial" w:eastAsia="Times New Roman" w:hAnsi="Arial" w:cs="Arial"/>
                <w:color w:val="000000"/>
                <w:kern w:val="0"/>
                <w:sz w:val="14"/>
                <w:szCs w:val="14"/>
                <w:lang w:eastAsia="pt-BR" w:bidi="ar-SA"/>
              </w:rPr>
              <w:t>da</w:t>
            </w:r>
            <w:proofErr w:type="gramEnd"/>
            <w:r w:rsidRPr="004B06DB">
              <w:rPr>
                <w:rFonts w:ascii="Arial" w:eastAsia="Times New Roman" w:hAnsi="Arial" w:cs="Arial"/>
                <w:color w:val="000000"/>
                <w:kern w:val="0"/>
                <w:sz w:val="14"/>
                <w:szCs w:val="14"/>
                <w:lang w:eastAsia="pt-BR" w:bidi="ar-SA"/>
              </w:rPr>
              <w:t xml:space="preserve"> Reserva de Reavaliação de Ativos</w:t>
            </w:r>
          </w:p>
        </w:tc>
        <w:tc>
          <w:tcPr>
            <w:tcW w:w="356" w:type="dxa"/>
            <w:tcBorders>
              <w:top w:val="nil"/>
              <w:left w:val="nil"/>
              <w:bottom w:val="nil"/>
              <w:right w:val="single" w:sz="4" w:space="0" w:color="000000"/>
            </w:tcBorders>
            <w:shd w:val="clear" w:color="000000" w:fill="FFFFFF"/>
            <w:hideMark/>
          </w:tcPr>
          <w:p w14:paraId="7A998D8A"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28</w:t>
            </w:r>
          </w:p>
        </w:tc>
        <w:tc>
          <w:tcPr>
            <w:tcW w:w="976" w:type="dxa"/>
            <w:tcBorders>
              <w:top w:val="nil"/>
              <w:left w:val="nil"/>
              <w:bottom w:val="nil"/>
              <w:right w:val="single" w:sz="4" w:space="0" w:color="000000"/>
            </w:tcBorders>
            <w:shd w:val="clear" w:color="000000" w:fill="FFFFFF"/>
            <w:hideMark/>
          </w:tcPr>
          <w:p w14:paraId="6FD7D52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46181F5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26772A0B"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4494AEE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1705C12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-496.742,88</w:t>
            </w:r>
          </w:p>
        </w:tc>
        <w:tc>
          <w:tcPr>
            <w:tcW w:w="1116" w:type="dxa"/>
            <w:tcBorders>
              <w:top w:val="nil"/>
              <w:left w:val="nil"/>
              <w:bottom w:val="nil"/>
              <w:right w:val="single" w:sz="4" w:space="0" w:color="000000"/>
            </w:tcBorders>
            <w:shd w:val="clear" w:color="000000" w:fill="FFFFFF"/>
            <w:hideMark/>
          </w:tcPr>
          <w:p w14:paraId="52CF158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55.094.154,80</w:t>
            </w:r>
          </w:p>
        </w:tc>
        <w:tc>
          <w:tcPr>
            <w:tcW w:w="1076" w:type="dxa"/>
            <w:tcBorders>
              <w:top w:val="nil"/>
              <w:left w:val="nil"/>
              <w:bottom w:val="nil"/>
              <w:right w:val="single" w:sz="4" w:space="0" w:color="000000"/>
            </w:tcBorders>
            <w:shd w:val="clear" w:color="000000" w:fill="FFFFFF"/>
            <w:hideMark/>
          </w:tcPr>
          <w:p w14:paraId="6D7AF17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208ED00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21D070F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54.597.411,92</w:t>
            </w:r>
          </w:p>
        </w:tc>
      </w:tr>
      <w:tr w:rsidR="004B06DB" w:rsidRPr="004B06DB" w14:paraId="4489C418"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41040C32"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Ajuste de Avaliação Patrimonial</w:t>
            </w:r>
          </w:p>
        </w:tc>
        <w:tc>
          <w:tcPr>
            <w:tcW w:w="356" w:type="dxa"/>
            <w:tcBorders>
              <w:top w:val="nil"/>
              <w:left w:val="nil"/>
              <w:bottom w:val="nil"/>
              <w:right w:val="single" w:sz="4" w:space="0" w:color="000000"/>
            </w:tcBorders>
            <w:shd w:val="clear" w:color="000000" w:fill="FFFFFF"/>
            <w:hideMark/>
          </w:tcPr>
          <w:p w14:paraId="5354C190"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29</w:t>
            </w:r>
          </w:p>
        </w:tc>
        <w:tc>
          <w:tcPr>
            <w:tcW w:w="976" w:type="dxa"/>
            <w:tcBorders>
              <w:top w:val="nil"/>
              <w:left w:val="nil"/>
              <w:bottom w:val="nil"/>
              <w:right w:val="single" w:sz="4" w:space="0" w:color="000000"/>
            </w:tcBorders>
            <w:shd w:val="clear" w:color="000000" w:fill="FFFFFF"/>
            <w:hideMark/>
          </w:tcPr>
          <w:p w14:paraId="7592A4A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15C27CD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13D3C7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0545B00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5D7F77C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7E22E8B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1C46324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-2.199.063,46</w:t>
            </w:r>
          </w:p>
        </w:tc>
        <w:tc>
          <w:tcPr>
            <w:tcW w:w="976" w:type="dxa"/>
            <w:tcBorders>
              <w:top w:val="nil"/>
              <w:left w:val="nil"/>
              <w:bottom w:val="nil"/>
              <w:right w:val="single" w:sz="4" w:space="0" w:color="000000"/>
            </w:tcBorders>
            <w:shd w:val="clear" w:color="000000" w:fill="FFFFFF"/>
            <w:hideMark/>
          </w:tcPr>
          <w:p w14:paraId="4C04D05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6FB9C36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-2.199.063,46</w:t>
            </w:r>
          </w:p>
        </w:tc>
      </w:tr>
      <w:tr w:rsidR="004B06DB" w:rsidRPr="004B06DB" w14:paraId="1EEA6D4D"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7434B4CB"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Resultado do Exercício</w:t>
            </w:r>
          </w:p>
        </w:tc>
        <w:tc>
          <w:tcPr>
            <w:tcW w:w="356" w:type="dxa"/>
            <w:tcBorders>
              <w:top w:val="nil"/>
              <w:left w:val="nil"/>
              <w:bottom w:val="nil"/>
              <w:right w:val="single" w:sz="4" w:space="0" w:color="000000"/>
            </w:tcBorders>
            <w:shd w:val="clear" w:color="000000" w:fill="FFFFFF"/>
            <w:hideMark/>
          </w:tcPr>
          <w:p w14:paraId="2508B50D"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30</w:t>
            </w:r>
          </w:p>
        </w:tc>
        <w:tc>
          <w:tcPr>
            <w:tcW w:w="976" w:type="dxa"/>
            <w:tcBorders>
              <w:top w:val="nil"/>
              <w:left w:val="nil"/>
              <w:bottom w:val="nil"/>
              <w:right w:val="single" w:sz="4" w:space="0" w:color="000000"/>
            </w:tcBorders>
            <w:shd w:val="clear" w:color="000000" w:fill="FFFFFF"/>
            <w:hideMark/>
          </w:tcPr>
          <w:p w14:paraId="5A167D6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2BD4BAE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1B13AA8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5C82D39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21FD198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05CA4F8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16.650.106.057,39</w:t>
            </w:r>
          </w:p>
        </w:tc>
        <w:tc>
          <w:tcPr>
            <w:tcW w:w="1076" w:type="dxa"/>
            <w:tcBorders>
              <w:top w:val="nil"/>
              <w:left w:val="nil"/>
              <w:bottom w:val="nil"/>
              <w:right w:val="single" w:sz="4" w:space="0" w:color="000000"/>
            </w:tcBorders>
            <w:shd w:val="clear" w:color="000000" w:fill="FFFFFF"/>
            <w:hideMark/>
          </w:tcPr>
          <w:p w14:paraId="3D59B9F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363F52D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365967A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16.650.106.057,39</w:t>
            </w:r>
          </w:p>
        </w:tc>
      </w:tr>
      <w:tr w:rsidR="004B06DB" w:rsidRPr="004B06DB" w14:paraId="5CC359D0"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226FF193"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Constituição/Reversão de Reservas</w:t>
            </w:r>
          </w:p>
        </w:tc>
        <w:tc>
          <w:tcPr>
            <w:tcW w:w="356" w:type="dxa"/>
            <w:tcBorders>
              <w:top w:val="nil"/>
              <w:left w:val="nil"/>
              <w:bottom w:val="nil"/>
              <w:right w:val="single" w:sz="4" w:space="0" w:color="000000"/>
            </w:tcBorders>
            <w:shd w:val="clear" w:color="000000" w:fill="FFFFFF"/>
            <w:hideMark/>
          </w:tcPr>
          <w:p w14:paraId="3B935CA2" w14:textId="77777777" w:rsidR="004B06DB" w:rsidRPr="004B06DB" w:rsidRDefault="004B06DB" w:rsidP="004B06DB">
            <w:pPr>
              <w:widowControl/>
              <w:suppressAutoHyphens w:val="0"/>
              <w:autoSpaceDN/>
              <w:jc w:val="center"/>
              <w:textAlignment w:val="auto"/>
              <w:rPr>
                <w:rFonts w:ascii="Arial" w:eastAsia="Times New Roman" w:hAnsi="Arial" w:cs="Arial"/>
                <w:b/>
                <w:bCs/>
                <w:color w:val="000000"/>
                <w:kern w:val="0"/>
                <w:sz w:val="14"/>
                <w:szCs w:val="14"/>
                <w:lang w:eastAsia="pt-BR" w:bidi="ar-SA"/>
              </w:rPr>
            </w:pPr>
            <w:r w:rsidRPr="004B06DB">
              <w:rPr>
                <w:rFonts w:ascii="Arial" w:eastAsia="Times New Roman" w:hAnsi="Arial" w:cs="Arial"/>
                <w:b/>
                <w:bCs/>
                <w:color w:val="000000"/>
                <w:kern w:val="0"/>
                <w:sz w:val="14"/>
                <w:szCs w:val="14"/>
                <w:lang w:eastAsia="pt-BR" w:bidi="ar-SA"/>
              </w:rPr>
              <w:t>31</w:t>
            </w:r>
          </w:p>
        </w:tc>
        <w:tc>
          <w:tcPr>
            <w:tcW w:w="976" w:type="dxa"/>
            <w:tcBorders>
              <w:top w:val="nil"/>
              <w:left w:val="nil"/>
              <w:bottom w:val="nil"/>
              <w:right w:val="single" w:sz="4" w:space="0" w:color="000000"/>
            </w:tcBorders>
            <w:shd w:val="clear" w:color="000000" w:fill="FFFFFF"/>
            <w:hideMark/>
          </w:tcPr>
          <w:p w14:paraId="1F55909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3098AD4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C3B332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-2.266.923,14</w:t>
            </w:r>
          </w:p>
        </w:tc>
        <w:tc>
          <w:tcPr>
            <w:tcW w:w="976" w:type="dxa"/>
            <w:tcBorders>
              <w:top w:val="nil"/>
              <w:left w:val="nil"/>
              <w:bottom w:val="nil"/>
              <w:right w:val="single" w:sz="4" w:space="0" w:color="000000"/>
            </w:tcBorders>
            <w:shd w:val="clear" w:color="000000" w:fill="FFFFFF"/>
            <w:hideMark/>
          </w:tcPr>
          <w:p w14:paraId="36268D9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0013216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78F4C80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17.388.097,38</w:t>
            </w:r>
          </w:p>
        </w:tc>
        <w:tc>
          <w:tcPr>
            <w:tcW w:w="1076" w:type="dxa"/>
            <w:tcBorders>
              <w:top w:val="nil"/>
              <w:left w:val="nil"/>
              <w:bottom w:val="nil"/>
              <w:right w:val="single" w:sz="4" w:space="0" w:color="000000"/>
            </w:tcBorders>
            <w:shd w:val="clear" w:color="000000" w:fill="FFFFFF"/>
            <w:hideMark/>
          </w:tcPr>
          <w:p w14:paraId="61A99D9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430E84A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1F034D9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15.121.174,24</w:t>
            </w:r>
          </w:p>
        </w:tc>
      </w:tr>
      <w:tr w:rsidR="004B06DB" w:rsidRPr="004B06DB" w14:paraId="5C2CA701"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4D596BDC"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Dividendos/Juros sobre Capital Próprio</w:t>
            </w:r>
          </w:p>
        </w:tc>
        <w:tc>
          <w:tcPr>
            <w:tcW w:w="356" w:type="dxa"/>
            <w:tcBorders>
              <w:top w:val="nil"/>
              <w:left w:val="nil"/>
              <w:bottom w:val="nil"/>
              <w:right w:val="single" w:sz="4" w:space="0" w:color="000000"/>
            </w:tcBorders>
            <w:shd w:val="clear" w:color="000000" w:fill="FFFFFF"/>
            <w:hideMark/>
          </w:tcPr>
          <w:p w14:paraId="7A8BB4F4"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5CA9F34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7EE6770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A70528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721A037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6B04D07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32BD469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224A942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22219E7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7EC8107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4C1BDAF4"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380FC248"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Provisão Tributária - IR/CS s/ Res. de Reavali</w:t>
            </w:r>
            <w:r w:rsidRPr="004B06DB">
              <w:rPr>
                <w:rFonts w:ascii="Arial" w:eastAsia="Times New Roman" w:hAnsi="Arial" w:cs="Arial"/>
                <w:color w:val="000000"/>
                <w:kern w:val="0"/>
                <w:sz w:val="14"/>
                <w:szCs w:val="14"/>
                <w:lang w:eastAsia="pt-BR" w:bidi="ar-SA"/>
              </w:rPr>
              <w:t>a</w:t>
            </w:r>
            <w:r w:rsidRPr="004B06DB">
              <w:rPr>
                <w:rFonts w:ascii="Arial" w:eastAsia="Times New Roman" w:hAnsi="Arial" w:cs="Arial"/>
                <w:color w:val="000000"/>
                <w:kern w:val="0"/>
                <w:sz w:val="14"/>
                <w:szCs w:val="14"/>
                <w:lang w:eastAsia="pt-BR" w:bidi="ar-SA"/>
              </w:rPr>
              <w:t>ção</w:t>
            </w:r>
          </w:p>
        </w:tc>
        <w:tc>
          <w:tcPr>
            <w:tcW w:w="356" w:type="dxa"/>
            <w:tcBorders>
              <w:top w:val="nil"/>
              <w:left w:val="nil"/>
              <w:bottom w:val="nil"/>
              <w:right w:val="single" w:sz="4" w:space="0" w:color="000000"/>
            </w:tcBorders>
            <w:shd w:val="clear" w:color="000000" w:fill="FFFFFF"/>
            <w:hideMark/>
          </w:tcPr>
          <w:p w14:paraId="4F9D13BB"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580AC306"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2FE8B21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0D041DC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71F8235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57702FE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05EA511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0934A9BC"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4460396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3A86454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43FAC1DC"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63ABA4A5"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xml:space="preserve">Saldos de Fusão, Cisão e </w:t>
            </w:r>
            <w:proofErr w:type="gramStart"/>
            <w:r w:rsidRPr="004B06DB">
              <w:rPr>
                <w:rFonts w:ascii="Arial" w:eastAsia="Times New Roman" w:hAnsi="Arial" w:cs="Arial"/>
                <w:color w:val="000000"/>
                <w:kern w:val="0"/>
                <w:sz w:val="14"/>
                <w:szCs w:val="14"/>
                <w:lang w:eastAsia="pt-BR" w:bidi="ar-SA"/>
              </w:rPr>
              <w:t>Incorporação</w:t>
            </w:r>
            <w:proofErr w:type="gramEnd"/>
          </w:p>
        </w:tc>
        <w:tc>
          <w:tcPr>
            <w:tcW w:w="356" w:type="dxa"/>
            <w:tcBorders>
              <w:top w:val="nil"/>
              <w:left w:val="nil"/>
              <w:bottom w:val="nil"/>
              <w:right w:val="single" w:sz="4" w:space="0" w:color="000000"/>
            </w:tcBorders>
            <w:shd w:val="clear" w:color="000000" w:fill="FFFFFF"/>
            <w:hideMark/>
          </w:tcPr>
          <w:p w14:paraId="4AD83E42"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64D94E87"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7FA6881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32C03F56"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144AA3A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0E761119"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627A991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1450CDB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7AF1D48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2A741FF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02CE3492" w14:textId="77777777" w:rsidTr="004B06DB">
        <w:trPr>
          <w:trHeight w:val="300"/>
        </w:trPr>
        <w:tc>
          <w:tcPr>
            <w:tcW w:w="3084" w:type="dxa"/>
            <w:gridSpan w:val="4"/>
            <w:tcBorders>
              <w:top w:val="nil"/>
              <w:left w:val="single" w:sz="4" w:space="0" w:color="000000"/>
              <w:bottom w:val="nil"/>
              <w:right w:val="single" w:sz="4" w:space="0" w:color="000000"/>
            </w:tcBorders>
            <w:shd w:val="clear" w:color="000000" w:fill="FFFFFF"/>
            <w:hideMark/>
          </w:tcPr>
          <w:p w14:paraId="05EBF62F"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proofErr w:type="gramStart"/>
            <w:r w:rsidRPr="004B06DB">
              <w:rPr>
                <w:rFonts w:ascii="Arial" w:eastAsia="Times New Roman" w:hAnsi="Arial" w:cs="Arial"/>
                <w:color w:val="000000"/>
                <w:kern w:val="0"/>
                <w:sz w:val="14"/>
                <w:szCs w:val="14"/>
                <w:lang w:eastAsia="pt-BR" w:bidi="ar-SA"/>
              </w:rPr>
              <w:t>Adiantamento para Futuro Aumento</w:t>
            </w:r>
            <w:proofErr w:type="gramEnd"/>
            <w:r w:rsidRPr="004B06DB">
              <w:rPr>
                <w:rFonts w:ascii="Arial" w:eastAsia="Times New Roman" w:hAnsi="Arial" w:cs="Arial"/>
                <w:color w:val="000000"/>
                <w:kern w:val="0"/>
                <w:sz w:val="14"/>
                <w:szCs w:val="14"/>
                <w:lang w:eastAsia="pt-BR" w:bidi="ar-SA"/>
              </w:rPr>
              <w:t xml:space="preserve"> de Capital</w:t>
            </w:r>
          </w:p>
        </w:tc>
        <w:tc>
          <w:tcPr>
            <w:tcW w:w="356" w:type="dxa"/>
            <w:tcBorders>
              <w:top w:val="nil"/>
              <w:left w:val="nil"/>
              <w:bottom w:val="nil"/>
              <w:right w:val="single" w:sz="4" w:space="0" w:color="000000"/>
            </w:tcBorders>
            <w:shd w:val="clear" w:color="000000" w:fill="FFFFFF"/>
            <w:hideMark/>
          </w:tcPr>
          <w:p w14:paraId="485013B5"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nil"/>
              <w:left w:val="nil"/>
              <w:bottom w:val="nil"/>
              <w:right w:val="single" w:sz="4" w:space="0" w:color="000000"/>
            </w:tcBorders>
            <w:shd w:val="clear" w:color="000000" w:fill="FFFFFF"/>
            <w:hideMark/>
          </w:tcPr>
          <w:p w14:paraId="4310EE2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952" w:type="dxa"/>
            <w:gridSpan w:val="2"/>
            <w:tcBorders>
              <w:top w:val="nil"/>
              <w:left w:val="nil"/>
              <w:bottom w:val="nil"/>
              <w:right w:val="single" w:sz="4" w:space="0" w:color="000000"/>
            </w:tcBorders>
            <w:shd w:val="clear" w:color="000000" w:fill="FFFFFF"/>
            <w:hideMark/>
          </w:tcPr>
          <w:p w14:paraId="7B8D417B"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7515FA6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6735136B"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7A36D86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116" w:type="dxa"/>
            <w:tcBorders>
              <w:top w:val="nil"/>
              <w:left w:val="nil"/>
              <w:bottom w:val="nil"/>
              <w:right w:val="single" w:sz="4" w:space="0" w:color="000000"/>
            </w:tcBorders>
            <w:shd w:val="clear" w:color="000000" w:fill="FFFFFF"/>
            <w:hideMark/>
          </w:tcPr>
          <w:p w14:paraId="25188371"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nil"/>
              <w:left w:val="nil"/>
              <w:bottom w:val="nil"/>
              <w:right w:val="single" w:sz="4" w:space="0" w:color="000000"/>
            </w:tcBorders>
            <w:shd w:val="clear" w:color="000000" w:fill="FFFFFF"/>
            <w:hideMark/>
          </w:tcPr>
          <w:p w14:paraId="38775D7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nil"/>
              <w:left w:val="nil"/>
              <w:bottom w:val="nil"/>
              <w:right w:val="single" w:sz="4" w:space="0" w:color="000000"/>
            </w:tcBorders>
            <w:shd w:val="clear" w:color="000000" w:fill="FFFFFF"/>
            <w:hideMark/>
          </w:tcPr>
          <w:p w14:paraId="564A83A3"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nil"/>
              <w:left w:val="nil"/>
              <w:bottom w:val="nil"/>
              <w:right w:val="single" w:sz="4" w:space="0" w:color="000000"/>
            </w:tcBorders>
            <w:shd w:val="clear" w:color="000000" w:fill="FFFFFF"/>
            <w:hideMark/>
          </w:tcPr>
          <w:p w14:paraId="03A8EE64"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r>
      <w:tr w:rsidR="004B06DB" w:rsidRPr="004B06DB" w14:paraId="031CFE75" w14:textId="77777777" w:rsidTr="004B06DB">
        <w:trPr>
          <w:trHeight w:val="300"/>
        </w:trPr>
        <w:tc>
          <w:tcPr>
            <w:tcW w:w="3084" w:type="dxa"/>
            <w:gridSpan w:val="4"/>
            <w:tcBorders>
              <w:top w:val="single" w:sz="4" w:space="0" w:color="000000"/>
              <w:left w:val="single" w:sz="4" w:space="0" w:color="000000"/>
              <w:bottom w:val="single" w:sz="4" w:space="0" w:color="000000"/>
              <w:right w:val="single" w:sz="4" w:space="0" w:color="000000"/>
            </w:tcBorders>
            <w:shd w:val="clear" w:color="000000" w:fill="FFFFFF"/>
            <w:hideMark/>
          </w:tcPr>
          <w:p w14:paraId="3BC36808"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Saldo Final do Exercício 2020</w:t>
            </w:r>
          </w:p>
        </w:tc>
        <w:tc>
          <w:tcPr>
            <w:tcW w:w="356" w:type="dxa"/>
            <w:tcBorders>
              <w:top w:val="single" w:sz="4" w:space="0" w:color="000000"/>
              <w:left w:val="nil"/>
              <w:bottom w:val="single" w:sz="4" w:space="0" w:color="000000"/>
              <w:right w:val="single" w:sz="4" w:space="0" w:color="000000"/>
            </w:tcBorders>
            <w:shd w:val="clear" w:color="000000" w:fill="FFFFFF"/>
            <w:hideMark/>
          </w:tcPr>
          <w:p w14:paraId="527ACE14" w14:textId="77777777" w:rsidR="004B06DB" w:rsidRPr="004B06DB" w:rsidRDefault="004B06DB" w:rsidP="004B06DB">
            <w:pPr>
              <w:widowControl/>
              <w:suppressAutoHyphens w:val="0"/>
              <w:autoSpaceDN/>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 </w:t>
            </w:r>
          </w:p>
        </w:tc>
        <w:tc>
          <w:tcPr>
            <w:tcW w:w="976" w:type="dxa"/>
            <w:tcBorders>
              <w:top w:val="single" w:sz="4" w:space="0" w:color="000000"/>
              <w:left w:val="nil"/>
              <w:bottom w:val="single" w:sz="4" w:space="0" w:color="000000"/>
              <w:right w:val="single" w:sz="4" w:space="0" w:color="000000"/>
            </w:tcBorders>
            <w:shd w:val="clear" w:color="000000" w:fill="FFFFFF"/>
            <w:hideMark/>
          </w:tcPr>
          <w:p w14:paraId="4C40B79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12.180.081.942,07</w:t>
            </w:r>
          </w:p>
        </w:tc>
        <w:tc>
          <w:tcPr>
            <w:tcW w:w="1952" w:type="dxa"/>
            <w:gridSpan w:val="2"/>
            <w:tcBorders>
              <w:top w:val="single" w:sz="4" w:space="0" w:color="000000"/>
              <w:left w:val="nil"/>
              <w:bottom w:val="single" w:sz="4" w:space="0" w:color="000000"/>
              <w:right w:val="single" w:sz="4" w:space="0" w:color="000000"/>
            </w:tcBorders>
            <w:shd w:val="clear" w:color="000000" w:fill="FFFFFF"/>
            <w:hideMark/>
          </w:tcPr>
          <w:p w14:paraId="69CF41DD"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401.902.255,10</w:t>
            </w:r>
          </w:p>
        </w:tc>
        <w:tc>
          <w:tcPr>
            <w:tcW w:w="1076" w:type="dxa"/>
            <w:tcBorders>
              <w:top w:val="single" w:sz="4" w:space="0" w:color="000000"/>
              <w:left w:val="nil"/>
              <w:bottom w:val="single" w:sz="4" w:space="0" w:color="000000"/>
              <w:right w:val="single" w:sz="4" w:space="0" w:color="000000"/>
            </w:tcBorders>
            <w:shd w:val="clear" w:color="000000" w:fill="FFFFFF"/>
            <w:hideMark/>
          </w:tcPr>
          <w:p w14:paraId="4F1EB5B8"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976" w:type="dxa"/>
            <w:tcBorders>
              <w:top w:val="single" w:sz="4" w:space="0" w:color="000000"/>
              <w:left w:val="nil"/>
              <w:bottom w:val="single" w:sz="4" w:space="0" w:color="000000"/>
              <w:right w:val="single" w:sz="4" w:space="0" w:color="000000"/>
            </w:tcBorders>
            <w:shd w:val="clear" w:color="000000" w:fill="FFFFFF"/>
            <w:hideMark/>
          </w:tcPr>
          <w:p w14:paraId="682E260A"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076" w:type="dxa"/>
            <w:tcBorders>
              <w:top w:val="single" w:sz="4" w:space="0" w:color="000000"/>
              <w:left w:val="nil"/>
              <w:bottom w:val="single" w:sz="4" w:space="0" w:color="000000"/>
              <w:right w:val="single" w:sz="4" w:space="0" w:color="000000"/>
            </w:tcBorders>
            <w:shd w:val="clear" w:color="000000" w:fill="FFFFFF"/>
            <w:hideMark/>
          </w:tcPr>
          <w:p w14:paraId="4D763170"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2.199.249,26</w:t>
            </w:r>
          </w:p>
        </w:tc>
        <w:tc>
          <w:tcPr>
            <w:tcW w:w="1116" w:type="dxa"/>
            <w:tcBorders>
              <w:top w:val="single" w:sz="4" w:space="0" w:color="000000"/>
              <w:left w:val="nil"/>
              <w:bottom w:val="single" w:sz="4" w:space="0" w:color="000000"/>
              <w:right w:val="single" w:sz="4" w:space="0" w:color="000000"/>
            </w:tcBorders>
            <w:shd w:val="clear" w:color="000000" w:fill="FFFFFF"/>
            <w:hideMark/>
          </w:tcPr>
          <w:p w14:paraId="4A536D6E"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195.107.016.253,79</w:t>
            </w:r>
          </w:p>
        </w:tc>
        <w:tc>
          <w:tcPr>
            <w:tcW w:w="1076" w:type="dxa"/>
            <w:tcBorders>
              <w:top w:val="single" w:sz="4" w:space="0" w:color="000000"/>
              <w:left w:val="nil"/>
              <w:bottom w:val="single" w:sz="4" w:space="0" w:color="000000"/>
              <w:right w:val="single" w:sz="4" w:space="0" w:color="000000"/>
            </w:tcBorders>
            <w:shd w:val="clear" w:color="000000" w:fill="FFFFFF"/>
            <w:hideMark/>
          </w:tcPr>
          <w:p w14:paraId="7D99E355"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33.706.140,92</w:t>
            </w:r>
          </w:p>
        </w:tc>
        <w:tc>
          <w:tcPr>
            <w:tcW w:w="976" w:type="dxa"/>
            <w:tcBorders>
              <w:top w:val="single" w:sz="4" w:space="0" w:color="000000"/>
              <w:left w:val="nil"/>
              <w:bottom w:val="single" w:sz="4" w:space="0" w:color="000000"/>
              <w:right w:val="single" w:sz="4" w:space="0" w:color="000000"/>
            </w:tcBorders>
            <w:shd w:val="clear" w:color="000000" w:fill="FFFFFF"/>
            <w:hideMark/>
          </w:tcPr>
          <w:p w14:paraId="13B333EF"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w:t>
            </w:r>
          </w:p>
        </w:tc>
        <w:tc>
          <w:tcPr>
            <w:tcW w:w="1596" w:type="dxa"/>
            <w:tcBorders>
              <w:top w:val="single" w:sz="4" w:space="0" w:color="000000"/>
              <w:left w:val="nil"/>
              <w:bottom w:val="single" w:sz="4" w:space="0" w:color="000000"/>
              <w:right w:val="single" w:sz="4" w:space="0" w:color="000000"/>
            </w:tcBorders>
            <w:shd w:val="clear" w:color="000000" w:fill="FFFFFF"/>
            <w:hideMark/>
          </w:tcPr>
          <w:p w14:paraId="5CDC1BA2" w14:textId="77777777" w:rsidR="004B06DB" w:rsidRPr="004B06DB" w:rsidRDefault="004B06DB" w:rsidP="004B06DB">
            <w:pPr>
              <w:widowControl/>
              <w:suppressAutoHyphens w:val="0"/>
              <w:autoSpaceDN/>
              <w:jc w:val="right"/>
              <w:textAlignment w:val="auto"/>
              <w:rPr>
                <w:rFonts w:ascii="Arial" w:eastAsia="Times New Roman" w:hAnsi="Arial" w:cs="Arial"/>
                <w:color w:val="000000"/>
                <w:kern w:val="0"/>
                <w:sz w:val="14"/>
                <w:szCs w:val="14"/>
                <w:lang w:eastAsia="pt-BR" w:bidi="ar-SA"/>
              </w:rPr>
            </w:pPr>
            <w:r w:rsidRPr="004B06DB">
              <w:rPr>
                <w:rFonts w:ascii="Arial" w:eastAsia="Times New Roman" w:hAnsi="Arial" w:cs="Arial"/>
                <w:color w:val="000000"/>
                <w:kern w:val="0"/>
                <w:sz w:val="14"/>
                <w:szCs w:val="14"/>
                <w:lang w:eastAsia="pt-BR" w:bidi="ar-SA"/>
              </w:rPr>
              <w:t>207.724.905.841,14</w:t>
            </w:r>
          </w:p>
        </w:tc>
      </w:tr>
    </w:tbl>
    <w:p w14:paraId="55E7362D" w14:textId="77777777" w:rsidR="00397A9E" w:rsidRDefault="00397A9E"/>
    <w:p w14:paraId="715FCF2D" w14:textId="77777777" w:rsidR="00D4507A" w:rsidRPr="00D4507A" w:rsidRDefault="00D4507A" w:rsidP="00D4507A">
      <w:pPr>
        <w:rPr>
          <w:lang w:eastAsia="en-US" w:bidi="ar-SA"/>
        </w:rPr>
      </w:pPr>
    </w:p>
    <w:p w14:paraId="4A155681" w14:textId="77777777" w:rsidR="00397A9E" w:rsidRDefault="00397A9E">
      <w:pPr>
        <w:rPr>
          <w:lang w:eastAsia="en-US" w:bidi="ar-SA"/>
        </w:rPr>
        <w:sectPr w:rsidR="00397A9E">
          <w:pgSz w:w="16838" w:h="11906" w:orient="landscape"/>
          <w:pgMar w:top="284" w:right="2096" w:bottom="1701" w:left="1418" w:header="720" w:footer="720" w:gutter="0"/>
          <w:cols w:space="720"/>
        </w:sectPr>
      </w:pPr>
      <w:bookmarkStart w:id="7" w:name="_Demonstração_das_Mutações"/>
      <w:bookmarkEnd w:id="5"/>
      <w:bookmarkEnd w:id="6"/>
      <w:bookmarkEnd w:id="7"/>
    </w:p>
    <w:p w14:paraId="4C014E12" w14:textId="77777777" w:rsidR="00D4507A" w:rsidRDefault="00D4507A" w:rsidP="00D4507A">
      <w:pPr>
        <w:pStyle w:val="Ttulo2"/>
        <w:jc w:val="center"/>
        <w:rPr>
          <w:rFonts w:ascii="Times New Roman" w:hAnsi="Times New Roman"/>
          <w:sz w:val="24"/>
          <w:szCs w:val="24"/>
        </w:rPr>
      </w:pPr>
    </w:p>
    <w:p w14:paraId="691CE66C" w14:textId="77777777" w:rsidR="00D4507A" w:rsidRDefault="00D4507A" w:rsidP="00D4507A">
      <w:pPr>
        <w:pStyle w:val="Standard"/>
        <w:jc w:val="both"/>
        <w:rPr>
          <w:rFonts w:cs="Times New Roman"/>
          <w:color w:val="000000"/>
        </w:rPr>
      </w:pPr>
    </w:p>
    <w:p w14:paraId="14C0ADEE" w14:textId="77777777" w:rsidR="00D4507A" w:rsidRDefault="00D4507A" w:rsidP="00D4507A">
      <w:pPr>
        <w:pStyle w:val="Standard"/>
        <w:ind w:left="-426"/>
        <w:jc w:val="both"/>
        <w:rPr>
          <w:rFonts w:cs="Times New Roman"/>
          <w:b/>
          <w:bCs/>
        </w:rPr>
      </w:pPr>
      <w:proofErr w:type="gramStart"/>
      <w:r>
        <w:rPr>
          <w:rFonts w:cs="Times New Roman"/>
          <w:b/>
          <w:bCs/>
        </w:rPr>
        <w:t>3.1)</w:t>
      </w:r>
      <w:proofErr w:type="gramEnd"/>
      <w:r>
        <w:rPr>
          <w:rFonts w:cs="Times New Roman"/>
          <w:b/>
          <w:bCs/>
        </w:rPr>
        <w:t xml:space="preserve"> Resumo das Principais Práticas Contábeis – Base de Elaboração das Demonstrações Contábeis</w:t>
      </w:r>
    </w:p>
    <w:p w14:paraId="3EDD3E21" w14:textId="77777777" w:rsidR="00D4507A" w:rsidRDefault="00D4507A" w:rsidP="00D4507A">
      <w:pPr>
        <w:pStyle w:val="Standard"/>
        <w:ind w:left="-426" w:firstLine="709"/>
        <w:jc w:val="both"/>
        <w:rPr>
          <w:rFonts w:cs="Times New Roman"/>
          <w:bCs/>
        </w:rPr>
      </w:pPr>
    </w:p>
    <w:p w14:paraId="48A55A72" w14:textId="77777777" w:rsidR="00D4507A" w:rsidRDefault="00D4507A" w:rsidP="00D4507A">
      <w:pPr>
        <w:pStyle w:val="Standard"/>
        <w:ind w:left="-426"/>
        <w:jc w:val="both"/>
        <w:rPr>
          <w:rFonts w:cs="Times New Roman"/>
          <w:bCs/>
        </w:rPr>
      </w:pPr>
      <w:r>
        <w:rPr>
          <w:rFonts w:cs="Times New Roman"/>
          <w:bCs/>
        </w:rPr>
        <w:t>As Demonstrações Contábeis – DCON do Ministério do Desenvolvimento Regional foram elaboradas em consonância com os dispositivos da Lei nº 4.320/1964, do Decreto-Lei nº 200/1967, do Decreto nº 93.872/1986, da Lei nº 10.180/2001 e da Lei Complementar nº 101/2000. Abrangeram, também, as Normas Brasileiras de Contabilidade Aplicadas ao Setor Público (NBCASP) do Conselho Federal de Contabilidade (CFC), o Manual de Contabilidade Aplicada ao Setor Público (MCASP- 8ª edição).</w:t>
      </w:r>
    </w:p>
    <w:p w14:paraId="0A8B94D2" w14:textId="77777777" w:rsidR="00D4507A" w:rsidRDefault="00D4507A" w:rsidP="00D4507A">
      <w:pPr>
        <w:pStyle w:val="Standard"/>
        <w:ind w:left="-426"/>
        <w:jc w:val="both"/>
        <w:rPr>
          <w:rFonts w:cs="Times New Roman"/>
          <w:bCs/>
        </w:rPr>
      </w:pPr>
    </w:p>
    <w:p w14:paraId="27D8E1C1" w14:textId="77777777" w:rsidR="00D4507A" w:rsidRDefault="00D4507A" w:rsidP="00D4507A">
      <w:pPr>
        <w:pStyle w:val="Standard"/>
        <w:ind w:left="-426"/>
        <w:jc w:val="both"/>
      </w:pPr>
      <w:r>
        <w:rPr>
          <w:rFonts w:cs="Times New Roman"/>
          <w:bCs/>
        </w:rPr>
        <w:t xml:space="preserve">Os valores constantes das Demonstrações Contábeis foram levantados a partir das informações do Sistema Integrado de Administração Financeira do Governo Federal (SIAFI) e tiveram como escopo as informações consolidadas em nível de Órgão Superior, ou seja, englobaram as contas do Ministério, no que se refere à execução de suas unidades gestoras, as contas dos Órgãos e entidades vinculadas e também </w:t>
      </w:r>
      <w:r>
        <w:rPr>
          <w:rFonts w:cs="Times New Roman"/>
          <w:bCs/>
          <w:color w:val="000000"/>
        </w:rPr>
        <w:t>dos Fundos Regionais e Fundos Constitucionais, a saber: CODEVASF; DNOCS; ANA; SUDECO (FDCO); SUDENE (FDNE); SUDAM (FDA); TRENSURB; CBTU; FNHIS; FNO; FCO e FNE.</w:t>
      </w:r>
    </w:p>
    <w:p w14:paraId="46597C0F" w14:textId="77777777" w:rsidR="00D4507A" w:rsidRDefault="00D4507A" w:rsidP="00D4507A">
      <w:pPr>
        <w:pStyle w:val="Standard"/>
        <w:ind w:left="-426"/>
        <w:jc w:val="both"/>
        <w:rPr>
          <w:rFonts w:cs="Times New Roman"/>
          <w:bCs/>
          <w:color w:val="000000"/>
        </w:rPr>
      </w:pPr>
    </w:p>
    <w:p w14:paraId="71F92835" w14:textId="77777777" w:rsidR="00D4507A" w:rsidRDefault="00D4507A" w:rsidP="00D4507A">
      <w:pPr>
        <w:pStyle w:val="Standard"/>
        <w:ind w:left="-426"/>
        <w:jc w:val="both"/>
        <w:rPr>
          <w:rFonts w:cs="Times New Roman"/>
          <w:bCs/>
        </w:rPr>
      </w:pPr>
      <w:r>
        <w:rPr>
          <w:rFonts w:cs="Times New Roman"/>
          <w:bCs/>
        </w:rPr>
        <w:t>Na consolidação das demonstrações contábeis do MDR não foram utilizados os critérios de exclusão e compensações, considerando que no SIAFI este mecanismo está disponibilizado apenas em nível do Balanço Geral da União. Entretanto estas demonstrações contábeis consolidadas representam o agregado dos saldos de todas as unidades gestoras, órgãos e entidades, em nível de Órgão Superior.</w:t>
      </w:r>
    </w:p>
    <w:p w14:paraId="7E887482" w14:textId="77777777" w:rsidR="00D4507A" w:rsidRDefault="00D4507A" w:rsidP="00D4507A">
      <w:pPr>
        <w:pStyle w:val="Standard"/>
        <w:ind w:left="-426"/>
        <w:jc w:val="both"/>
        <w:rPr>
          <w:rFonts w:cs="Times New Roman"/>
          <w:bCs/>
        </w:rPr>
      </w:pPr>
    </w:p>
    <w:p w14:paraId="53EA97C9" w14:textId="77777777" w:rsidR="00D4507A" w:rsidRDefault="00D4507A" w:rsidP="00D4507A">
      <w:pPr>
        <w:pStyle w:val="Standard"/>
        <w:ind w:left="-426"/>
        <w:jc w:val="both"/>
        <w:rPr>
          <w:rFonts w:cs="Times New Roman"/>
          <w:bCs/>
        </w:rPr>
      </w:pPr>
      <w:r>
        <w:rPr>
          <w:rFonts w:cs="Times New Roman"/>
          <w:bCs/>
        </w:rPr>
        <w:t>As estruturas e a composição das DCON estão de acordo com as bases propostas pelas práticas contábeis brasileiras (doravante modelo PCASP). Dessa forma, as DCON são compostas por:</w:t>
      </w:r>
    </w:p>
    <w:p w14:paraId="69CDDDE6" w14:textId="77777777" w:rsidR="00D4507A" w:rsidRDefault="00D4507A" w:rsidP="00D4507A">
      <w:pPr>
        <w:pStyle w:val="Standard"/>
        <w:ind w:left="-426"/>
        <w:jc w:val="both"/>
        <w:rPr>
          <w:rFonts w:cs="Times New Roman"/>
          <w:bCs/>
        </w:rPr>
      </w:pPr>
    </w:p>
    <w:p w14:paraId="19C69F44" w14:textId="77777777" w:rsidR="00D4507A" w:rsidRDefault="00D4507A" w:rsidP="00D4507A">
      <w:pPr>
        <w:pStyle w:val="Standard"/>
        <w:ind w:left="-426"/>
        <w:jc w:val="both"/>
        <w:rPr>
          <w:rFonts w:cs="Times New Roman"/>
          <w:bCs/>
        </w:rPr>
      </w:pPr>
      <w:r>
        <w:rPr>
          <w:rFonts w:cs="Times New Roman"/>
          <w:bCs/>
        </w:rPr>
        <w:t>Balanço Patrimonial (BP);</w:t>
      </w:r>
    </w:p>
    <w:p w14:paraId="73D8BDF4" w14:textId="77777777" w:rsidR="00D4507A" w:rsidRDefault="00D4507A" w:rsidP="00D4507A">
      <w:pPr>
        <w:pStyle w:val="Standard"/>
        <w:ind w:left="-426"/>
        <w:jc w:val="both"/>
        <w:rPr>
          <w:rFonts w:cs="Times New Roman"/>
          <w:bCs/>
        </w:rPr>
      </w:pPr>
      <w:r>
        <w:rPr>
          <w:rFonts w:cs="Times New Roman"/>
          <w:bCs/>
        </w:rPr>
        <w:t>Demonstração das Variações Patrimoniais (DVP);</w:t>
      </w:r>
    </w:p>
    <w:p w14:paraId="5CFC3A11" w14:textId="77777777" w:rsidR="00D4507A" w:rsidRDefault="00D4507A" w:rsidP="00D4507A">
      <w:pPr>
        <w:pStyle w:val="Standard"/>
        <w:ind w:left="-426"/>
        <w:jc w:val="both"/>
        <w:rPr>
          <w:rFonts w:cs="Times New Roman"/>
          <w:bCs/>
        </w:rPr>
      </w:pPr>
      <w:r>
        <w:rPr>
          <w:rFonts w:cs="Times New Roman"/>
          <w:bCs/>
        </w:rPr>
        <w:t>Balanço Orçamentário (BO);</w:t>
      </w:r>
    </w:p>
    <w:p w14:paraId="534C84E7" w14:textId="77777777" w:rsidR="00D4507A" w:rsidRDefault="00D4507A" w:rsidP="00D4507A">
      <w:pPr>
        <w:pStyle w:val="Standard"/>
        <w:ind w:left="-426"/>
        <w:jc w:val="both"/>
        <w:rPr>
          <w:rFonts w:cs="Times New Roman"/>
          <w:bCs/>
        </w:rPr>
      </w:pPr>
      <w:r>
        <w:rPr>
          <w:rFonts w:cs="Times New Roman"/>
          <w:bCs/>
        </w:rPr>
        <w:t>Balanço Financeiro (BF);</w:t>
      </w:r>
    </w:p>
    <w:p w14:paraId="39936CE2" w14:textId="77777777" w:rsidR="00D4507A" w:rsidRDefault="00D4507A" w:rsidP="00D4507A">
      <w:pPr>
        <w:pStyle w:val="Standard"/>
        <w:ind w:left="-426"/>
        <w:jc w:val="both"/>
        <w:rPr>
          <w:rFonts w:cs="Times New Roman"/>
          <w:bCs/>
        </w:rPr>
      </w:pPr>
      <w:r>
        <w:rPr>
          <w:rFonts w:cs="Times New Roman"/>
          <w:bCs/>
        </w:rPr>
        <w:t>Demonstração dos Fluxos de Caixa (DFC);</w:t>
      </w:r>
    </w:p>
    <w:p w14:paraId="67C4E135" w14:textId="77777777" w:rsidR="00D4507A" w:rsidRDefault="00D4507A" w:rsidP="00D4507A">
      <w:pPr>
        <w:pStyle w:val="Standard"/>
        <w:ind w:left="-426"/>
        <w:jc w:val="both"/>
        <w:rPr>
          <w:rFonts w:cs="Times New Roman"/>
          <w:bCs/>
        </w:rPr>
      </w:pPr>
      <w:r>
        <w:rPr>
          <w:rFonts w:cs="Times New Roman"/>
          <w:bCs/>
        </w:rPr>
        <w:t>Demonstração das Mutações do Patrimônio Líquido (DMPL).</w:t>
      </w:r>
    </w:p>
    <w:p w14:paraId="0700968F" w14:textId="77777777" w:rsidR="00D4507A" w:rsidRDefault="00D4507A" w:rsidP="00D4507A">
      <w:pPr>
        <w:pStyle w:val="Standard"/>
        <w:ind w:left="-426"/>
        <w:jc w:val="both"/>
        <w:rPr>
          <w:rFonts w:cs="Times New Roman"/>
          <w:bCs/>
        </w:rPr>
      </w:pPr>
    </w:p>
    <w:p w14:paraId="3C9C996E" w14:textId="77777777" w:rsidR="00D4507A" w:rsidRDefault="00D4507A" w:rsidP="00D4507A">
      <w:pPr>
        <w:pStyle w:val="Standard"/>
        <w:ind w:left="-426"/>
        <w:jc w:val="both"/>
        <w:rPr>
          <w:rFonts w:cs="Times New Roman"/>
          <w:bCs/>
        </w:rPr>
      </w:pPr>
      <w:r>
        <w:rPr>
          <w:rFonts w:cs="Times New Roman"/>
          <w:bCs/>
        </w:rPr>
        <w:t xml:space="preserve">O uso do conceito de conta única, derivado do princípio de unidade de tesouraria (conforme art. 1º e 2º do Decreto nº 93.872/1986), exige que todas as receitas e as despesas, orçamentárias e </w:t>
      </w:r>
      <w:proofErr w:type="gramStart"/>
      <w:r>
        <w:rPr>
          <w:rFonts w:cs="Times New Roman"/>
          <w:bCs/>
        </w:rPr>
        <w:t>extra orçamentárias</w:t>
      </w:r>
      <w:proofErr w:type="gramEnd"/>
      <w:r>
        <w:rPr>
          <w:rFonts w:cs="Times New Roman"/>
          <w:bCs/>
        </w:rPr>
        <w:t>, sejam controladas na conta única da União, prática adotada por este Órgão.</w:t>
      </w:r>
    </w:p>
    <w:p w14:paraId="5EB6F49D" w14:textId="77777777" w:rsidR="00D4507A" w:rsidRDefault="00D4507A" w:rsidP="00D4507A">
      <w:pPr>
        <w:pStyle w:val="Standard"/>
        <w:rPr>
          <w:rFonts w:cs="Times New Roman"/>
          <w:b/>
          <w:bCs/>
          <w:color w:val="000000"/>
        </w:rPr>
      </w:pPr>
    </w:p>
    <w:p w14:paraId="2BD31B34" w14:textId="77777777" w:rsidR="00D4507A" w:rsidRDefault="00D4507A" w:rsidP="00D4507A">
      <w:pPr>
        <w:pStyle w:val="Standard"/>
        <w:ind w:left="-426"/>
        <w:jc w:val="both"/>
        <w:rPr>
          <w:rFonts w:cs="Times New Roman"/>
          <w:b/>
          <w:bCs/>
        </w:rPr>
      </w:pPr>
      <w:proofErr w:type="gramStart"/>
      <w:r>
        <w:rPr>
          <w:rFonts w:cs="Times New Roman"/>
          <w:b/>
          <w:bCs/>
        </w:rPr>
        <w:t>3.2)</w:t>
      </w:r>
      <w:proofErr w:type="gramEnd"/>
      <w:r>
        <w:rPr>
          <w:rFonts w:cs="Times New Roman"/>
          <w:b/>
          <w:bCs/>
        </w:rPr>
        <w:t xml:space="preserve"> Resumo dos Principais Critérios e Políticas Contábeis aplicadas ao Setor Público</w:t>
      </w:r>
    </w:p>
    <w:p w14:paraId="5CC77082" w14:textId="77777777" w:rsidR="00D4507A" w:rsidRDefault="00D4507A" w:rsidP="00D4507A">
      <w:pPr>
        <w:pStyle w:val="Standard"/>
        <w:ind w:left="-426"/>
        <w:jc w:val="both"/>
        <w:rPr>
          <w:rFonts w:cs="Times New Roman"/>
          <w:b/>
          <w:bCs/>
        </w:rPr>
      </w:pPr>
    </w:p>
    <w:p w14:paraId="6A34042A" w14:textId="77777777" w:rsidR="00D4507A" w:rsidRDefault="00D4507A" w:rsidP="00D4507A">
      <w:pPr>
        <w:pStyle w:val="Standard"/>
        <w:ind w:left="-426"/>
        <w:jc w:val="both"/>
        <w:rPr>
          <w:rFonts w:cs="Times New Roman"/>
          <w:bCs/>
        </w:rPr>
      </w:pPr>
      <w:r>
        <w:rPr>
          <w:rFonts w:cs="Times New Roman"/>
          <w:bCs/>
        </w:rPr>
        <w:t>A seguir, serão apresentados os principais critérios e políticas contábeis adotados no âmbito da União, seguidos por este Ministério, tendo em consideração as opções e premissas do MCASP.</w:t>
      </w:r>
    </w:p>
    <w:p w14:paraId="6890B066" w14:textId="77777777" w:rsidR="00D4507A" w:rsidRDefault="00D4507A" w:rsidP="00D4507A">
      <w:pPr>
        <w:pStyle w:val="Standard"/>
        <w:rPr>
          <w:rFonts w:cs="Times New Roman"/>
          <w:color w:val="000000"/>
        </w:rPr>
      </w:pPr>
    </w:p>
    <w:p w14:paraId="11CC1D89" w14:textId="77777777" w:rsidR="00D4507A" w:rsidRDefault="00D4507A" w:rsidP="00D4507A">
      <w:pPr>
        <w:pStyle w:val="Standard"/>
        <w:numPr>
          <w:ilvl w:val="0"/>
          <w:numId w:val="6"/>
        </w:numPr>
        <w:ind w:left="426" w:firstLine="0"/>
        <w:jc w:val="both"/>
      </w:pPr>
      <w:r>
        <w:rPr>
          <w:rFonts w:cs="Times New Roman"/>
          <w:b/>
          <w:color w:val="000000"/>
        </w:rPr>
        <w:t>Moeda funcional e saldos em moedas estrangeiras -</w:t>
      </w:r>
      <w:r>
        <w:rPr>
          <w:rFonts w:cs="Times New Roman"/>
          <w:color w:val="000000"/>
        </w:rPr>
        <w:t xml:space="preserve"> A moeda funcional da União é o Real. Os saldos em moeda estrangeira são convertidos para a moeda funcional, empregando-se a taxa de câmbio vigente na data das demonstrações contábeis.  A única exceção se refere aos saldos iniciais de Caixa e Equivalentes de Caixa, no BF e na DFC, que utilizam a taxa vigente no dia 31 de dezembro do exercício anterior.</w:t>
      </w:r>
    </w:p>
    <w:p w14:paraId="5E95DA7F" w14:textId="77777777" w:rsidR="00D4507A" w:rsidRDefault="00D4507A" w:rsidP="00D4507A">
      <w:pPr>
        <w:pStyle w:val="Standard"/>
        <w:ind w:left="426"/>
        <w:jc w:val="both"/>
        <w:rPr>
          <w:rFonts w:cs="Times New Roman"/>
          <w:color w:val="000000"/>
        </w:rPr>
      </w:pPr>
    </w:p>
    <w:p w14:paraId="35EC3026" w14:textId="77777777" w:rsidR="00D4507A" w:rsidRDefault="00D4507A" w:rsidP="00D4507A">
      <w:pPr>
        <w:pStyle w:val="Standard"/>
        <w:numPr>
          <w:ilvl w:val="0"/>
          <w:numId w:val="6"/>
        </w:numPr>
        <w:ind w:left="426" w:firstLine="0"/>
        <w:jc w:val="both"/>
      </w:pPr>
      <w:r>
        <w:rPr>
          <w:rFonts w:cs="Times New Roman"/>
          <w:b/>
          <w:color w:val="000000"/>
        </w:rPr>
        <w:t>Caixa e equivalentes de caixa</w:t>
      </w:r>
      <w:r>
        <w:rPr>
          <w:rFonts w:cs="Times New Roman"/>
          <w:color w:val="000000"/>
        </w:rPr>
        <w:t xml:space="preserve"> - Incluem dinheiro em caixa, conta única, demais depósitos bancários e aplicações de liquidez imediata. Os valores são mensurados e avaliados pelo valor de custo, e, quando aplicável, são acrescidos dos rendimentos auferidos até a data apresentada nas demonstrações contábeis.</w:t>
      </w:r>
    </w:p>
    <w:p w14:paraId="40FFFEDE" w14:textId="77777777" w:rsidR="00D4507A" w:rsidRDefault="00D4507A" w:rsidP="00D4507A">
      <w:pPr>
        <w:pStyle w:val="Normal3"/>
        <w:ind w:left="426"/>
        <w:rPr>
          <w:rFonts w:ascii="Times New Roman" w:eastAsia="SimSun" w:hAnsi="Times New Roman" w:cs="Times New Roman"/>
          <w:sz w:val="24"/>
          <w:szCs w:val="24"/>
        </w:rPr>
      </w:pPr>
    </w:p>
    <w:p w14:paraId="37E1550E"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 xml:space="preserve">Investimentos e aplicações temporárias </w:t>
      </w:r>
      <w:proofErr w:type="gramStart"/>
      <w:r>
        <w:rPr>
          <w:rFonts w:ascii="Times New Roman" w:eastAsia="SimSun" w:hAnsi="Times New Roman" w:cs="Times New Roman"/>
          <w:b/>
          <w:sz w:val="24"/>
          <w:szCs w:val="24"/>
        </w:rPr>
        <w:t>a curto prazo</w:t>
      </w:r>
      <w:proofErr w:type="gramEnd"/>
      <w:r>
        <w:rPr>
          <w:rFonts w:ascii="Times New Roman" w:eastAsia="SimSun" w:hAnsi="Times New Roman" w:cs="Times New Roman"/>
          <w:sz w:val="24"/>
          <w:szCs w:val="24"/>
        </w:rPr>
        <w:t xml:space="preserve"> - São as aplicações de recursos em títulos e valores mobiliários, não destinadas à negociação e que não fazem parte das atividades operacionais da União. Os valores são avaliados e mensurados pelo valor de custo, e, quando aplicável, são acrescidos dos rendimentos auferidos até a data apresentada nas demonstrações contábeis. Quando mensuráveis são registrados os ajustes para perdas de tais ativos.</w:t>
      </w:r>
    </w:p>
    <w:p w14:paraId="5A88BBB9" w14:textId="77777777" w:rsidR="00D4507A" w:rsidRDefault="00D4507A" w:rsidP="00D4507A">
      <w:pPr>
        <w:pStyle w:val="Normal3"/>
        <w:ind w:left="426" w:firstLine="0"/>
        <w:rPr>
          <w:rFonts w:ascii="Times New Roman" w:eastAsia="SimSun" w:hAnsi="Times New Roman" w:cs="Times New Roman"/>
          <w:sz w:val="24"/>
          <w:szCs w:val="24"/>
        </w:rPr>
      </w:pPr>
    </w:p>
    <w:p w14:paraId="4A96868B"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Depósitos Restituíveis</w:t>
      </w:r>
      <w:r>
        <w:rPr>
          <w:rFonts w:ascii="Times New Roman" w:eastAsia="SimSun" w:hAnsi="Times New Roman" w:cs="Times New Roman"/>
          <w:sz w:val="24"/>
          <w:szCs w:val="24"/>
        </w:rPr>
        <w:t xml:space="preserve"> - são os valores depositados para garantia contratual a título de caução dos fornecedores de bens, serviços e obras e estão reconhecidos pelo seu custo histórico acrescido dos rendimentos do período.</w:t>
      </w:r>
    </w:p>
    <w:p w14:paraId="0BB45046" w14:textId="77777777" w:rsidR="00D4507A" w:rsidRDefault="00D4507A" w:rsidP="00D4507A">
      <w:pPr>
        <w:pStyle w:val="PargrafodaLista"/>
        <w:ind w:left="426"/>
        <w:rPr>
          <w:rFonts w:cs="Times New Roman"/>
          <w:color w:val="000000"/>
          <w:szCs w:val="24"/>
        </w:rPr>
      </w:pPr>
    </w:p>
    <w:p w14:paraId="1F7855BD"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 xml:space="preserve">Créditos </w:t>
      </w:r>
      <w:proofErr w:type="gramStart"/>
      <w:r>
        <w:rPr>
          <w:rFonts w:ascii="Times New Roman" w:eastAsia="SimSun" w:hAnsi="Times New Roman" w:cs="Times New Roman"/>
          <w:b/>
          <w:sz w:val="24"/>
          <w:szCs w:val="24"/>
        </w:rPr>
        <w:t>a curto prazo</w:t>
      </w:r>
      <w:proofErr w:type="gramEnd"/>
      <w:r>
        <w:rPr>
          <w:rFonts w:ascii="Times New Roman" w:eastAsia="SimSun" w:hAnsi="Times New Roman" w:cs="Times New Roman"/>
          <w:b/>
          <w:sz w:val="24"/>
          <w:szCs w:val="24"/>
        </w:rPr>
        <w:t xml:space="preserve"> - </w:t>
      </w:r>
      <w:r>
        <w:rPr>
          <w:rFonts w:ascii="Times New Roman" w:eastAsia="SimSun" w:hAnsi="Times New Roman" w:cs="Times New Roman"/>
          <w:sz w:val="24"/>
          <w:szCs w:val="24"/>
        </w:rPr>
        <w:t xml:space="preserve">Compreendem os direitos a receber a curto prazo relacionados, principalmente, com:  créditos tributários; créditos não tributários; dívida ativa; transferências concedidas; empréstimos e financiamentos concedidos; adiantamentos; e valores a compensar. Os valores são mensurados e avaliados pelo valor original, acrescido das atualizações monetárias e juros. É constituído também ajuste para perdas, com base na análise dos riscos de realização dos créditos a receber. </w:t>
      </w:r>
    </w:p>
    <w:p w14:paraId="667DF200" w14:textId="77777777" w:rsidR="00D4507A" w:rsidRDefault="00D4507A" w:rsidP="00D4507A">
      <w:pPr>
        <w:pStyle w:val="PargrafodaLista"/>
        <w:ind w:left="426"/>
        <w:rPr>
          <w:rFonts w:cs="Times New Roman"/>
          <w:color w:val="000000"/>
          <w:szCs w:val="24"/>
        </w:rPr>
      </w:pPr>
    </w:p>
    <w:p w14:paraId="08B9C8A3"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 xml:space="preserve">Estoques </w:t>
      </w:r>
      <w:r>
        <w:rPr>
          <w:rFonts w:ascii="Times New Roman" w:eastAsia="SimSun" w:hAnsi="Times New Roman" w:cs="Times New Roman"/>
          <w:sz w:val="24"/>
          <w:szCs w:val="24"/>
        </w:rPr>
        <w:t>– Compreendem as mercadorias para revenda (dentre elas, os estoques reguladores da União), os produtos acabados e os em elaboração, almoxarifado e adiantamento a fornecedores. Na entrada, esses bens são avaliados pelo valor de aquisição ou produção/construção. O método para mensuração e avaliação das saídas dos estoques é o custo médio ponderado. Há, também, a possibilidade de redução de valores do estoque, mediante as contas para ajustes para perdas ou para redução ao valor de mercado, quando o valor registrado estiver superior ao valor de mercado</w:t>
      </w:r>
      <w:r>
        <w:rPr>
          <w:rFonts w:ascii="Times New Roman" w:hAnsi="Times New Roman" w:cs="Times New Roman"/>
          <w:sz w:val="24"/>
          <w:szCs w:val="24"/>
        </w:rPr>
        <w:t>.</w:t>
      </w:r>
    </w:p>
    <w:p w14:paraId="5A52D880" w14:textId="77777777" w:rsidR="00D4507A" w:rsidRDefault="00D4507A" w:rsidP="00D4507A">
      <w:pPr>
        <w:pStyle w:val="Normal3"/>
        <w:ind w:left="426" w:firstLine="0"/>
        <w:rPr>
          <w:rFonts w:ascii="Times New Roman" w:hAnsi="Times New Roman" w:cs="Times New Roman"/>
          <w:sz w:val="24"/>
          <w:szCs w:val="24"/>
        </w:rPr>
      </w:pPr>
    </w:p>
    <w:p w14:paraId="374884B0"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 xml:space="preserve">Ativo realizável </w:t>
      </w:r>
      <w:proofErr w:type="gramStart"/>
      <w:r>
        <w:rPr>
          <w:rFonts w:ascii="Times New Roman" w:eastAsia="SimSun" w:hAnsi="Times New Roman" w:cs="Times New Roman"/>
          <w:b/>
          <w:sz w:val="24"/>
          <w:szCs w:val="24"/>
        </w:rPr>
        <w:t>a longo prazo</w:t>
      </w:r>
      <w:proofErr w:type="gramEnd"/>
      <w:r>
        <w:rPr>
          <w:rFonts w:ascii="Times New Roman" w:eastAsia="SimSun" w:hAnsi="Times New Roman" w:cs="Times New Roman"/>
          <w:sz w:val="24"/>
          <w:szCs w:val="24"/>
        </w:rPr>
        <w:t xml:space="preserve"> - Compreendem os direitos a receber a longo prazo principalmente com:  créditos tributários; créditos não tributários; dívida ativa; empréstimos e financiamentos concedidos; investimentos temporários; e estoques. Os valores são avaliados e mensurados pelo valor original e, quando aplicável, são acrescidos das atualizações e correções monetárias, de acordo com as taxas especificadas nas respectivas operações. A exceção se refere aos estoques, que são avaliados e mensurados da seguinte forma: nas entradas, pelo valor de aquisição ou produção/construção; e nas saídas, pelo custo médio ponderado. Para todos os ativos desse item, quando mensuráveis, são registrados os ajustes para perdas.</w:t>
      </w:r>
    </w:p>
    <w:p w14:paraId="741713C6" w14:textId="77777777" w:rsidR="00D4507A" w:rsidRDefault="00D4507A" w:rsidP="00D4507A">
      <w:pPr>
        <w:pStyle w:val="PargrafodaLista"/>
        <w:ind w:left="426"/>
        <w:rPr>
          <w:rFonts w:cs="Times New Roman"/>
          <w:color w:val="000000"/>
          <w:szCs w:val="24"/>
        </w:rPr>
      </w:pPr>
    </w:p>
    <w:p w14:paraId="345E89D8"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Ajuste para Perdas da Dívida Ativa</w:t>
      </w:r>
      <w:r>
        <w:rPr>
          <w:rFonts w:ascii="Times New Roman" w:eastAsia="SimSun" w:hAnsi="Times New Roman" w:cs="Times New Roman"/>
          <w:sz w:val="24"/>
          <w:szCs w:val="24"/>
        </w:rPr>
        <w:t xml:space="preserve"> – a metodologia adotada para mensuração do ajuste para perdas dos créditos da dívida ativa</w:t>
      </w:r>
      <w:proofErr w:type="gramStart"/>
      <w:r>
        <w:rPr>
          <w:rFonts w:ascii="Times New Roman" w:eastAsia="SimSun" w:hAnsi="Times New Roman" w:cs="Times New Roman"/>
          <w:sz w:val="24"/>
          <w:szCs w:val="24"/>
        </w:rPr>
        <w:t>, foi</w:t>
      </w:r>
      <w:proofErr w:type="gramEnd"/>
      <w:r>
        <w:rPr>
          <w:rFonts w:ascii="Times New Roman" w:eastAsia="SimSun" w:hAnsi="Times New Roman" w:cs="Times New Roman"/>
          <w:sz w:val="24"/>
          <w:szCs w:val="24"/>
        </w:rPr>
        <w:t xml:space="preserve"> pelo histórico de recebimentos, e houve algum tipo de classificação dos créditos pelas suas características de </w:t>
      </w:r>
      <w:proofErr w:type="spellStart"/>
      <w:r>
        <w:rPr>
          <w:rFonts w:ascii="Times New Roman" w:eastAsia="SimSun" w:hAnsi="Times New Roman" w:cs="Times New Roman"/>
          <w:sz w:val="24"/>
          <w:szCs w:val="24"/>
        </w:rPr>
        <w:t>recuperabilidade</w:t>
      </w:r>
      <w:proofErr w:type="spellEnd"/>
      <w:r>
        <w:rPr>
          <w:rFonts w:ascii="Times New Roman" w:eastAsia="SimSun" w:hAnsi="Times New Roman" w:cs="Times New Roman"/>
          <w:sz w:val="24"/>
          <w:szCs w:val="24"/>
        </w:rPr>
        <w:t>;</w:t>
      </w:r>
    </w:p>
    <w:p w14:paraId="29DAE123" w14:textId="77777777" w:rsidR="00D4507A" w:rsidRDefault="00D4507A" w:rsidP="00D4507A">
      <w:pPr>
        <w:pStyle w:val="PargrafodaLista"/>
        <w:ind w:left="426"/>
        <w:rPr>
          <w:rFonts w:cs="Times New Roman"/>
          <w:color w:val="000000"/>
          <w:szCs w:val="24"/>
        </w:rPr>
      </w:pPr>
    </w:p>
    <w:p w14:paraId="4CFBC1FF"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 xml:space="preserve">Investimentos </w:t>
      </w:r>
      <w:r>
        <w:rPr>
          <w:rFonts w:ascii="Times New Roman" w:eastAsia="SimSun" w:hAnsi="Times New Roman" w:cs="Times New Roman"/>
          <w:sz w:val="24"/>
          <w:szCs w:val="24"/>
        </w:rPr>
        <w:t xml:space="preserve">– São compostos por: participações permanentes; propriedades para investimento; e demais investimentos. As participações permanentes representam os investimentos realizados em empresas, consórcios públicos e fundos realizados pela União. Quando há influência significativa, são mensurados e avaliados pelo método da equivalência patrimonial. Quando não há influência significativa, são mensurados e avaliados pelo método de custo, sendo reconhecidas as perdas prováveis apuradas em avaliações periódicas. As propriedades para investimento compreendem os bens imóveis mantidos com fins de renda e/ou ganho de capital, que não são usados nas operações e que não serão vendidos em curto prazo. As entidades que compõem a União têm utilizado dois critérios para mensuração e avaliação desses bens: valor justo e custo depreciado. Os demais investimentos representam cotas </w:t>
      </w:r>
      <w:proofErr w:type="gramStart"/>
      <w:r>
        <w:rPr>
          <w:rFonts w:ascii="Times New Roman" w:eastAsia="SimSun" w:hAnsi="Times New Roman" w:cs="Times New Roman"/>
          <w:sz w:val="24"/>
          <w:szCs w:val="24"/>
        </w:rPr>
        <w:t>integralizadas no Fundo Fiscal de Investimento e Estabilização (FFIE)</w:t>
      </w:r>
      <w:proofErr w:type="gramEnd"/>
      <w:r>
        <w:rPr>
          <w:rFonts w:ascii="Times New Roman" w:eastAsia="SimSun" w:hAnsi="Times New Roman" w:cs="Times New Roman"/>
          <w:sz w:val="24"/>
          <w:szCs w:val="24"/>
        </w:rPr>
        <w:t xml:space="preserve">, mensuradas e avaliadas pelo custo, acrescidas da rentabilidade auferida até a data apresentada nas demonstrações contábeis. Quando </w:t>
      </w:r>
      <w:r>
        <w:rPr>
          <w:rFonts w:ascii="Times New Roman" w:eastAsia="SimSun" w:hAnsi="Times New Roman" w:cs="Times New Roman"/>
          <w:sz w:val="24"/>
          <w:szCs w:val="24"/>
        </w:rPr>
        <w:lastRenderedPageBreak/>
        <w:t>mensuráveis, são registradas as reduções ao valor recuperável (</w:t>
      </w:r>
      <w:proofErr w:type="spellStart"/>
      <w:r>
        <w:rPr>
          <w:rFonts w:ascii="Times New Roman" w:eastAsia="SimSun" w:hAnsi="Times New Roman" w:cs="Times New Roman"/>
          <w:i/>
          <w:sz w:val="24"/>
          <w:szCs w:val="24"/>
        </w:rPr>
        <w:t>impairment</w:t>
      </w:r>
      <w:proofErr w:type="spellEnd"/>
      <w:r>
        <w:rPr>
          <w:rFonts w:ascii="Times New Roman" w:eastAsia="SimSun" w:hAnsi="Times New Roman" w:cs="Times New Roman"/>
          <w:sz w:val="24"/>
          <w:szCs w:val="24"/>
        </w:rPr>
        <w:t>), fruto de avaliações periódicas.</w:t>
      </w:r>
    </w:p>
    <w:p w14:paraId="714E3C02" w14:textId="77777777" w:rsidR="00D4507A" w:rsidRDefault="00D4507A" w:rsidP="00D4507A">
      <w:pPr>
        <w:pStyle w:val="Normal3"/>
        <w:ind w:left="426" w:firstLine="0"/>
        <w:rPr>
          <w:rFonts w:ascii="Times New Roman" w:hAnsi="Times New Roman" w:cs="Times New Roman"/>
          <w:sz w:val="24"/>
          <w:szCs w:val="24"/>
        </w:rPr>
      </w:pPr>
    </w:p>
    <w:p w14:paraId="616119E7"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Imobilizado –</w:t>
      </w:r>
      <w:r>
        <w:rPr>
          <w:rFonts w:ascii="Times New Roman" w:eastAsia="SimSun" w:hAnsi="Times New Roman" w:cs="Times New Roman"/>
          <w:sz w:val="24"/>
          <w:szCs w:val="24"/>
        </w:rPr>
        <w:t xml:space="preserve"> O imobilizado é composto pelos bens móveis e imóveis. É reconhecido inicialmente com base no valor de aquisição, construção ou produção. Após o reconhecimento inicial, ficam sujeitos à depreciação, amortização ou exaustão (quando tiverem vida útil definida), bem como à redução ao valor recuperável e à reavaliação. Os gastos posteriores à aquisição, construção ou produção são incorporados ao valor do imobilizado desde que tais gastos aumentem a vida útil do bem e sejam capazes de gerar benefícios econômicos futuros. Se os gastos não gerarem tais benefícios, eles são reconhecidos diretamente como variações patrimoniais diminutivas do período.</w:t>
      </w:r>
    </w:p>
    <w:p w14:paraId="652B9273" w14:textId="77777777" w:rsidR="00D4507A" w:rsidRDefault="00D4507A" w:rsidP="00D4507A">
      <w:pPr>
        <w:pStyle w:val="PargrafodaLista"/>
        <w:ind w:left="426"/>
        <w:rPr>
          <w:rFonts w:cs="Times New Roman"/>
          <w:color w:val="000000"/>
          <w:szCs w:val="24"/>
        </w:rPr>
      </w:pPr>
    </w:p>
    <w:p w14:paraId="539E3652"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 xml:space="preserve">Intangível </w:t>
      </w:r>
      <w:r>
        <w:rPr>
          <w:rFonts w:ascii="Times New Roman" w:eastAsia="SimSun" w:hAnsi="Times New Roman" w:cs="Times New Roman"/>
          <w:sz w:val="24"/>
          <w:szCs w:val="24"/>
        </w:rPr>
        <w:t>– Os direitos que tenham por objeto bens incorpóreos, destinados à manutenção da atividade pública ou exercidos com essa finalidade, são mensurados ou avaliados com base no valor de aquisição ou de produção, deduzido o saldo da respectiva conta de amortização acumulada (quando tiverem vida útil definida) e o montante acumulado de quaisquer perdas do valor que tenham sofrido ao longo de sua vida útil por redução ao valor recuperável (</w:t>
      </w:r>
      <w:proofErr w:type="spellStart"/>
      <w:r>
        <w:rPr>
          <w:rFonts w:ascii="Times New Roman" w:eastAsia="SimSun" w:hAnsi="Times New Roman" w:cs="Times New Roman"/>
          <w:i/>
          <w:sz w:val="24"/>
          <w:szCs w:val="24"/>
        </w:rPr>
        <w:t>impairment</w:t>
      </w:r>
      <w:proofErr w:type="spellEnd"/>
      <w:r>
        <w:rPr>
          <w:rFonts w:ascii="Times New Roman" w:eastAsia="SimSun" w:hAnsi="Times New Roman" w:cs="Times New Roman"/>
          <w:sz w:val="24"/>
          <w:szCs w:val="24"/>
        </w:rPr>
        <w:t>).</w:t>
      </w:r>
    </w:p>
    <w:p w14:paraId="7796BAE2" w14:textId="77777777" w:rsidR="00D4507A" w:rsidRDefault="00D4507A" w:rsidP="00D4507A">
      <w:pPr>
        <w:pStyle w:val="PargrafodaLista"/>
        <w:ind w:left="426"/>
        <w:rPr>
          <w:rFonts w:cs="Times New Roman"/>
          <w:color w:val="000000"/>
          <w:szCs w:val="24"/>
        </w:rPr>
      </w:pPr>
    </w:p>
    <w:p w14:paraId="6C8C5ACC"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 xml:space="preserve">Depreciação, amortização e exaustão de bens imóveis não cadastrados no </w:t>
      </w:r>
      <w:proofErr w:type="spellStart"/>
      <w:proofErr w:type="gramStart"/>
      <w:r>
        <w:rPr>
          <w:rFonts w:ascii="Times New Roman" w:eastAsia="SimSun" w:hAnsi="Times New Roman" w:cs="Times New Roman"/>
          <w:b/>
          <w:sz w:val="24"/>
          <w:szCs w:val="24"/>
        </w:rPr>
        <w:t>SPIUnet</w:t>
      </w:r>
      <w:proofErr w:type="spellEnd"/>
      <w:proofErr w:type="gramEnd"/>
      <w:r>
        <w:rPr>
          <w:rFonts w:ascii="Times New Roman" w:eastAsia="SimSun" w:hAnsi="Times New Roman" w:cs="Times New Roman"/>
          <w:b/>
          <w:sz w:val="24"/>
          <w:szCs w:val="24"/>
        </w:rPr>
        <w:t xml:space="preserve"> e bens móveis</w:t>
      </w:r>
      <w:r>
        <w:rPr>
          <w:rFonts w:ascii="Times New Roman" w:eastAsia="SimSun" w:hAnsi="Times New Roman" w:cs="Times New Roman"/>
          <w:sz w:val="24"/>
          <w:szCs w:val="24"/>
        </w:rPr>
        <w:t xml:space="preserve"> - A base de cálculo para a depreciação, a amortização e a exaustão é o custo do ativo imobilizado, compreendendo tanto os custos diretos como os indiretos. O método de cálculo dos encargos de depreciação é aplicável a toda a Administração Pública direta, autárquica e fundacional para os bens imóveis que não são cadastrados no </w:t>
      </w:r>
      <w:proofErr w:type="spellStart"/>
      <w:proofErr w:type="gramStart"/>
      <w:r>
        <w:rPr>
          <w:rFonts w:ascii="Times New Roman" w:eastAsia="SimSun" w:hAnsi="Times New Roman" w:cs="Times New Roman"/>
          <w:sz w:val="24"/>
          <w:szCs w:val="24"/>
        </w:rPr>
        <w:t>SPIUnet</w:t>
      </w:r>
      <w:proofErr w:type="spellEnd"/>
      <w:proofErr w:type="gramEnd"/>
      <w:r>
        <w:rPr>
          <w:rFonts w:ascii="Times New Roman" w:eastAsia="SimSun" w:hAnsi="Times New Roman" w:cs="Times New Roman"/>
          <w:sz w:val="24"/>
          <w:szCs w:val="24"/>
        </w:rPr>
        <w:t xml:space="preserve"> e para os bens móveis é o das quotas constantes. Como regra geral, a depreciação dos bens imóveis não cadastrados no </w:t>
      </w:r>
      <w:proofErr w:type="spellStart"/>
      <w:proofErr w:type="gramStart"/>
      <w:r>
        <w:rPr>
          <w:rFonts w:ascii="Times New Roman" w:eastAsia="SimSun" w:hAnsi="Times New Roman" w:cs="Times New Roman"/>
          <w:sz w:val="24"/>
          <w:szCs w:val="24"/>
        </w:rPr>
        <w:t>SPIUnet</w:t>
      </w:r>
      <w:proofErr w:type="spellEnd"/>
      <w:proofErr w:type="gramEnd"/>
      <w:r>
        <w:rPr>
          <w:rFonts w:ascii="Times New Roman" w:eastAsia="SimSun" w:hAnsi="Times New Roman" w:cs="Times New Roman"/>
          <w:sz w:val="24"/>
          <w:szCs w:val="24"/>
        </w:rPr>
        <w:t xml:space="preserve"> e a dos bens móveis deve ser iniciada a partir do primeiro dia do mês seguinte à data da colocação do bem em utilização. Porém, quando o valor do bem adquirido e o valor da depreciação no primeiro mês sejam relevantes, admite-se, em caráter de exceção, o cômputo da depreciação em fração menor do que um mês.</w:t>
      </w:r>
    </w:p>
    <w:p w14:paraId="5F84371F" w14:textId="77777777" w:rsidR="00D4507A" w:rsidRDefault="00D4507A" w:rsidP="00D4507A">
      <w:pPr>
        <w:pStyle w:val="PargrafodaLista"/>
        <w:ind w:left="426"/>
        <w:rPr>
          <w:rFonts w:cs="Times New Roman"/>
          <w:color w:val="000000"/>
          <w:szCs w:val="24"/>
        </w:rPr>
      </w:pPr>
    </w:p>
    <w:p w14:paraId="6E439991" w14:textId="77777777" w:rsidR="00D4507A" w:rsidRDefault="00D4507A" w:rsidP="00D4507A">
      <w:pPr>
        <w:pStyle w:val="Normal3"/>
        <w:numPr>
          <w:ilvl w:val="1"/>
          <w:numId w:val="2"/>
        </w:numPr>
        <w:ind w:left="426" w:hanging="142"/>
      </w:pPr>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 xml:space="preserve">Depreciação de bens imóveis cadastrados no </w:t>
      </w:r>
      <w:proofErr w:type="spellStart"/>
      <w:proofErr w:type="gramStart"/>
      <w:r>
        <w:rPr>
          <w:rFonts w:ascii="Times New Roman" w:eastAsia="SimSun" w:hAnsi="Times New Roman" w:cs="Times New Roman"/>
          <w:b/>
          <w:sz w:val="24"/>
          <w:szCs w:val="24"/>
        </w:rPr>
        <w:t>SPIUnet</w:t>
      </w:r>
      <w:proofErr w:type="spellEnd"/>
      <w:proofErr w:type="gramEnd"/>
      <w:r>
        <w:rPr>
          <w:rFonts w:ascii="Times New Roman" w:eastAsia="SimSun" w:hAnsi="Times New Roman" w:cs="Times New Roman"/>
          <w:sz w:val="24"/>
          <w:szCs w:val="24"/>
        </w:rPr>
        <w:t xml:space="preserve"> - O valor depreciado dos bens imóveis da União, das autarquias e das fundações públicas federais é apurado mensal e automaticamente pelo sistema </w:t>
      </w:r>
      <w:proofErr w:type="spellStart"/>
      <w:r>
        <w:rPr>
          <w:rFonts w:ascii="Times New Roman" w:eastAsia="SimSun" w:hAnsi="Times New Roman" w:cs="Times New Roman"/>
          <w:sz w:val="24"/>
          <w:szCs w:val="24"/>
        </w:rPr>
        <w:t>SPIUnet</w:t>
      </w:r>
      <w:proofErr w:type="spellEnd"/>
      <w:r>
        <w:rPr>
          <w:rFonts w:ascii="Times New Roman" w:eastAsia="SimSun" w:hAnsi="Times New Roman" w:cs="Times New Roman"/>
          <w:sz w:val="24"/>
          <w:szCs w:val="24"/>
        </w:rPr>
        <w:t xml:space="preserve"> sobre o valor depreciável da acessão, utilizando-se, para tanto, o Método da Parábola de </w:t>
      </w:r>
      <w:proofErr w:type="spellStart"/>
      <w:r>
        <w:rPr>
          <w:rFonts w:ascii="Times New Roman" w:eastAsia="SimSun" w:hAnsi="Times New Roman" w:cs="Times New Roman"/>
          <w:sz w:val="24"/>
          <w:szCs w:val="24"/>
        </w:rPr>
        <w:t>Kuentzle</w:t>
      </w:r>
      <w:proofErr w:type="spellEnd"/>
      <w:r>
        <w:rPr>
          <w:rFonts w:ascii="Times New Roman" w:eastAsia="SimSun" w:hAnsi="Times New Roman" w:cs="Times New Roman"/>
          <w:sz w:val="24"/>
          <w:szCs w:val="24"/>
        </w:rPr>
        <w:t>, e a depreciação será iniciada no mesmo dia em que o bem for colocado em condições de uso. A vida útil será definida com base no laudo de avaliação específica ou, na sua ausência, por parâmetros predefinidos pela Secretaria de Patrimônio da União (SPU) segundo a natureza e as características dos bens imóveis. Nos casos de bens reavaliados, independentemente do fundamento, a depreciação acumulada deve ser zerada e reiniciada a partir do novo valor.</w:t>
      </w:r>
    </w:p>
    <w:p w14:paraId="326752CD" w14:textId="77777777" w:rsidR="00D4507A" w:rsidRDefault="00D4507A" w:rsidP="00D4507A">
      <w:pPr>
        <w:pStyle w:val="PargrafodaLista"/>
        <w:ind w:left="426"/>
        <w:rPr>
          <w:rFonts w:cs="Times New Roman"/>
          <w:color w:val="000000"/>
          <w:szCs w:val="24"/>
        </w:rPr>
      </w:pPr>
    </w:p>
    <w:p w14:paraId="40E05784"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Reavaliação, redução ao valor recuperável</w:t>
      </w:r>
      <w:r>
        <w:rPr>
          <w:rFonts w:ascii="Times New Roman" w:eastAsia="SimSun" w:hAnsi="Times New Roman" w:cs="Times New Roman"/>
          <w:sz w:val="24"/>
          <w:szCs w:val="24"/>
        </w:rPr>
        <w:t xml:space="preserve"> – a base de mensuração utilizada: valor justo (mercado), custo de reposição, informar os procedimentos contábeis e metodologia utilizada para reconhecimento da valorização ou da perda por meio dos testes de </w:t>
      </w:r>
      <w:proofErr w:type="spellStart"/>
      <w:r>
        <w:rPr>
          <w:rFonts w:ascii="Times New Roman" w:eastAsia="SimSun" w:hAnsi="Times New Roman" w:cs="Times New Roman"/>
          <w:sz w:val="24"/>
          <w:szCs w:val="24"/>
        </w:rPr>
        <w:t>recuperabilidade</w:t>
      </w:r>
      <w:proofErr w:type="spellEnd"/>
      <w:r>
        <w:rPr>
          <w:rFonts w:ascii="Times New Roman" w:eastAsia="SimSun" w:hAnsi="Times New Roman" w:cs="Times New Roman"/>
          <w:sz w:val="24"/>
          <w:szCs w:val="24"/>
        </w:rPr>
        <w:t>;</w:t>
      </w:r>
    </w:p>
    <w:p w14:paraId="798A4302" w14:textId="77777777" w:rsidR="00D4507A" w:rsidRDefault="00D4507A" w:rsidP="00D4507A">
      <w:pPr>
        <w:pStyle w:val="PargrafodaLista"/>
        <w:ind w:left="426"/>
        <w:rPr>
          <w:rFonts w:cs="Times New Roman"/>
          <w:color w:val="000000"/>
          <w:szCs w:val="24"/>
        </w:rPr>
      </w:pPr>
    </w:p>
    <w:p w14:paraId="48399EAF"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Passivos circulantes e não circulantes -</w:t>
      </w:r>
      <w:r>
        <w:rPr>
          <w:rFonts w:ascii="Times New Roman" w:eastAsia="SimSun" w:hAnsi="Times New Roman" w:cs="Times New Roman"/>
          <w:sz w:val="24"/>
          <w:szCs w:val="24"/>
        </w:rPr>
        <w:t xml:space="preserve"> As obrigações da União são evidenciadas por valores conhecidos ou calculáveis, acrescidos, quando aplicável, dos correspondentes encargos das variações monetárias e cambiais ocorridas até a data das demonstrações contábeis. Com exceção do resultado diferido (presente somente no passivo não circulante), </w:t>
      </w:r>
      <w:proofErr w:type="gramStart"/>
      <w:r>
        <w:rPr>
          <w:rFonts w:ascii="Times New Roman" w:eastAsia="SimSun" w:hAnsi="Times New Roman" w:cs="Times New Roman"/>
          <w:sz w:val="24"/>
          <w:szCs w:val="24"/>
        </w:rPr>
        <w:t>os passivos circulante</w:t>
      </w:r>
      <w:proofErr w:type="gramEnd"/>
      <w:r>
        <w:rPr>
          <w:rFonts w:ascii="Times New Roman" w:eastAsia="SimSun" w:hAnsi="Times New Roman" w:cs="Times New Roman"/>
          <w:sz w:val="24"/>
          <w:szCs w:val="24"/>
        </w:rPr>
        <w:t xml:space="preserve"> e não circulante apresentam a seguinte divisão: obrigações trabalhistas, previdenciárias e assistenciais; empréstimos e financiamentos; fornecedores e contas a pagar; obrigações fiscais; obrigações de repartições a outros entes; provisões; e demais obrigações. </w:t>
      </w:r>
    </w:p>
    <w:p w14:paraId="65897C42" w14:textId="77777777" w:rsidR="00D4507A" w:rsidRDefault="00D4507A" w:rsidP="00D4507A">
      <w:pPr>
        <w:pStyle w:val="PargrafodaLista"/>
        <w:ind w:left="426"/>
        <w:rPr>
          <w:rFonts w:cs="Times New Roman"/>
          <w:color w:val="000000"/>
          <w:szCs w:val="24"/>
        </w:rPr>
      </w:pPr>
    </w:p>
    <w:p w14:paraId="6670E443" w14:textId="77777777" w:rsidR="00D4507A" w:rsidRDefault="00D4507A" w:rsidP="00D4507A">
      <w:pPr>
        <w:pStyle w:val="Normal3"/>
        <w:numPr>
          <w:ilvl w:val="1"/>
          <w:numId w:val="2"/>
        </w:numPr>
        <w:ind w:left="426" w:hanging="142"/>
      </w:pPr>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Empréstimos e financiamentos</w:t>
      </w:r>
      <w:r>
        <w:rPr>
          <w:rFonts w:ascii="Times New Roman" w:eastAsia="SimSun" w:hAnsi="Times New Roman" w:cs="Times New Roman"/>
          <w:sz w:val="24"/>
          <w:szCs w:val="24"/>
        </w:rPr>
        <w:t xml:space="preserve"> - Compreendem as obrigações financeiras, internas e externas, da União a título de empréstimos, bem como as aquisições financiadas efetuadas diretamente com o fornecedor. Os empréstimos são segregados em dívida mobiliária (tem por base a emissão de títulos da dívida pública) e a dívida contratual (contratos de empréstimos).</w:t>
      </w:r>
    </w:p>
    <w:p w14:paraId="13F1DAF3" w14:textId="77777777" w:rsidR="00D4507A" w:rsidRDefault="00D4507A" w:rsidP="00D4507A">
      <w:pPr>
        <w:pStyle w:val="PargrafodaLista"/>
        <w:ind w:left="426"/>
        <w:rPr>
          <w:rFonts w:cs="Times New Roman"/>
          <w:color w:val="000000"/>
          <w:szCs w:val="24"/>
        </w:rPr>
      </w:pPr>
    </w:p>
    <w:p w14:paraId="40695260"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Provisões –</w:t>
      </w:r>
      <w:r>
        <w:rPr>
          <w:rFonts w:ascii="Times New Roman" w:eastAsia="SimSun" w:hAnsi="Times New Roman" w:cs="Times New Roman"/>
          <w:sz w:val="24"/>
          <w:szCs w:val="24"/>
        </w:rPr>
        <w:t xml:space="preserve"> As provisões estão segregadas em seis categorias: riscos trabalhistas; riscos fiscais; riscos cíveis; repartição de créditos tributários; provisões matemáticas; e outras. As provisões são reconhecidas quando a possibilidade de saída de recursos no futuro é provável, e, é possível a estimação confiável do seu valor. São atualizadas até a data apresentada nas demonstrações contábeis pelo montante provável de perda, observadas suas naturezas e os relatórios técnicos emitidos pelas áreas responsáveis. As provisões referentes às ações judiciais, nas quais a União figura diretamente no polo passivo</w:t>
      </w:r>
      <w:proofErr w:type="gramStart"/>
      <w:r>
        <w:rPr>
          <w:rFonts w:ascii="Times New Roman" w:eastAsia="SimSun" w:hAnsi="Times New Roman" w:cs="Times New Roman"/>
          <w:sz w:val="24"/>
          <w:szCs w:val="24"/>
        </w:rPr>
        <w:t>, estão</w:t>
      </w:r>
      <w:proofErr w:type="gramEnd"/>
      <w:r>
        <w:rPr>
          <w:rFonts w:ascii="Times New Roman" w:eastAsia="SimSun" w:hAnsi="Times New Roman" w:cs="Times New Roman"/>
          <w:sz w:val="24"/>
          <w:szCs w:val="24"/>
        </w:rPr>
        <w:t xml:space="preserve"> de acordo com a Portaria AGU nº 40, de 10 de fevereiro de 2015. </w:t>
      </w:r>
    </w:p>
    <w:p w14:paraId="238A0C43" w14:textId="77777777" w:rsidR="00D4507A" w:rsidRDefault="00D4507A" w:rsidP="00D4507A">
      <w:pPr>
        <w:pStyle w:val="PargrafodaLista"/>
        <w:ind w:left="426"/>
        <w:rPr>
          <w:rFonts w:cs="Times New Roman"/>
          <w:color w:val="000000"/>
          <w:szCs w:val="24"/>
        </w:rPr>
      </w:pPr>
    </w:p>
    <w:p w14:paraId="02052296"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Benefícios a empregados</w:t>
      </w:r>
      <w:r>
        <w:rPr>
          <w:rFonts w:ascii="Times New Roman" w:eastAsia="SimSun" w:hAnsi="Times New Roman" w:cs="Times New Roman"/>
          <w:sz w:val="24"/>
          <w:szCs w:val="24"/>
        </w:rPr>
        <w:t xml:space="preserve"> - Os benefícios a empregados (aqui o termo está sendo utilizado de acordo com o vocabulário da área contábil, porém se refere aos servidores públicos e aos empregados das empresas estatais dependentes), referentes a benefícios de curto prazo para os empregados atuais, são reconhecidos pelo regime de competência de acordo com os serviços prestados, sendo registrados como variações patrimoniais diminutivas. Os benefícios pós-emprego de </w:t>
      </w:r>
      <w:proofErr w:type="gramStart"/>
      <w:r>
        <w:rPr>
          <w:rFonts w:ascii="Times New Roman" w:eastAsia="SimSun" w:hAnsi="Times New Roman" w:cs="Times New Roman"/>
          <w:sz w:val="24"/>
          <w:szCs w:val="24"/>
        </w:rPr>
        <w:t>responsabilidade da União relacionados com aposentadoria e assistência médica</w:t>
      </w:r>
      <w:proofErr w:type="gramEnd"/>
      <w:r>
        <w:rPr>
          <w:rFonts w:ascii="Times New Roman" w:eastAsia="SimSun" w:hAnsi="Times New Roman" w:cs="Times New Roman"/>
          <w:sz w:val="24"/>
          <w:szCs w:val="24"/>
        </w:rPr>
        <w:t xml:space="preserve"> são também reconhecidos pelo regime de competência.</w:t>
      </w:r>
    </w:p>
    <w:p w14:paraId="1A0C8978" w14:textId="77777777" w:rsidR="00D4507A" w:rsidRDefault="00D4507A" w:rsidP="00D4507A">
      <w:pPr>
        <w:pStyle w:val="PargrafodaLista"/>
        <w:ind w:left="426"/>
        <w:rPr>
          <w:rFonts w:cs="Times New Roman"/>
          <w:color w:val="000000"/>
          <w:szCs w:val="24"/>
        </w:rPr>
      </w:pPr>
    </w:p>
    <w:p w14:paraId="6E02842E"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Ativos e Passivos Contingentes</w:t>
      </w:r>
      <w:r>
        <w:rPr>
          <w:rFonts w:ascii="Times New Roman" w:eastAsia="SimSun" w:hAnsi="Times New Roman" w:cs="Times New Roman"/>
          <w:sz w:val="24"/>
          <w:szCs w:val="24"/>
        </w:rPr>
        <w:t xml:space="preserve"> – Os ativos e passivos contingentes não são reconhecidos nas demonstrações contábeis. Quando relevantes são contabilizados em contas de controles e evidenciados nas notas explicativas no tópico Outras Informações Relevantes.</w:t>
      </w:r>
    </w:p>
    <w:p w14:paraId="7195C368" w14:textId="77777777" w:rsidR="00D4507A" w:rsidRDefault="00D4507A" w:rsidP="00D4507A">
      <w:pPr>
        <w:pStyle w:val="PargrafodaLista"/>
        <w:ind w:left="426"/>
        <w:rPr>
          <w:rFonts w:cs="Times New Roman"/>
          <w:color w:val="000000"/>
          <w:szCs w:val="24"/>
        </w:rPr>
      </w:pPr>
    </w:p>
    <w:p w14:paraId="19765FCD" w14:textId="77777777" w:rsidR="00D4507A" w:rsidRDefault="00D4507A" w:rsidP="00D4507A">
      <w:pPr>
        <w:pStyle w:val="Normal3"/>
        <w:numPr>
          <w:ilvl w:val="1"/>
          <w:numId w:val="2"/>
        </w:numPr>
        <w:ind w:left="426" w:hanging="142"/>
      </w:pPr>
      <w:r>
        <w:rPr>
          <w:rFonts w:ascii="Times New Roman" w:eastAsia="SimSun" w:hAnsi="Times New Roman" w:cs="Times New Roman"/>
          <w:b/>
          <w:sz w:val="24"/>
          <w:szCs w:val="24"/>
        </w:rPr>
        <w:t>Apuração do Resultado</w:t>
      </w:r>
      <w:r>
        <w:rPr>
          <w:rFonts w:ascii="Times New Roman" w:eastAsia="SimSun" w:hAnsi="Times New Roman" w:cs="Times New Roman"/>
          <w:sz w:val="24"/>
          <w:szCs w:val="24"/>
        </w:rPr>
        <w:t xml:space="preserve"> – Nas demonstrações contábeis são apurados os seguintes resultados:</w:t>
      </w:r>
    </w:p>
    <w:p w14:paraId="6D45E80D" w14:textId="77777777" w:rsidR="00D4507A" w:rsidRDefault="00D4507A" w:rsidP="00D4507A">
      <w:pPr>
        <w:pStyle w:val="PargrafodaLista"/>
      </w:pPr>
    </w:p>
    <w:p w14:paraId="2DE43DD9" w14:textId="77777777" w:rsidR="00D4507A" w:rsidRDefault="00D4507A" w:rsidP="00D4507A">
      <w:pPr>
        <w:pStyle w:val="Normal3"/>
        <w:ind w:left="426" w:firstLine="0"/>
      </w:pPr>
    </w:p>
    <w:p w14:paraId="282582E1" w14:textId="77777777" w:rsidR="00D4507A" w:rsidRDefault="00D4507A" w:rsidP="00D4507A">
      <w:pPr>
        <w:pStyle w:val="Normal3"/>
        <w:numPr>
          <w:ilvl w:val="2"/>
          <w:numId w:val="2"/>
        </w:numPr>
        <w:ind w:left="426"/>
      </w:pPr>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Resultado Patrimonial</w:t>
      </w:r>
      <w:r>
        <w:rPr>
          <w:rFonts w:ascii="Times New Roman" w:eastAsia="SimSun" w:hAnsi="Times New Roman" w:cs="Times New Roman"/>
          <w:sz w:val="24"/>
          <w:szCs w:val="24"/>
        </w:rPr>
        <w:t xml:space="preserve"> - na Demonstração das Variações Patrimoniais confrontando as Variações Patrimoniais Aumentativas com as Variações Patrimoniais Diminutivas se o resultado for positivo teremos o Superávit Patrimonial caso contrário será Déficit Patrimonial. </w:t>
      </w:r>
    </w:p>
    <w:p w14:paraId="421AAB6F" w14:textId="77777777" w:rsidR="00D4507A" w:rsidRDefault="00D4507A" w:rsidP="00D4507A">
      <w:pPr>
        <w:pStyle w:val="Normal3"/>
        <w:ind w:left="426" w:firstLine="0"/>
        <w:rPr>
          <w:rFonts w:ascii="Times New Roman" w:hAnsi="Times New Roman" w:cs="Times New Roman"/>
          <w:sz w:val="24"/>
          <w:szCs w:val="24"/>
        </w:rPr>
      </w:pPr>
    </w:p>
    <w:p w14:paraId="142F95EC" w14:textId="77777777" w:rsidR="00D4507A" w:rsidRDefault="00D4507A" w:rsidP="00D4507A">
      <w:pPr>
        <w:pStyle w:val="Normal3"/>
        <w:numPr>
          <w:ilvl w:val="2"/>
          <w:numId w:val="2"/>
        </w:numPr>
        <w:ind w:left="426"/>
      </w:pPr>
      <w:r>
        <w:rPr>
          <w:rFonts w:ascii="Times New Roman" w:eastAsia="SimSun" w:hAnsi="Times New Roman" w:cs="Times New Roman"/>
          <w:b/>
          <w:sz w:val="24"/>
          <w:szCs w:val="24"/>
        </w:rPr>
        <w:t>No Balanço Orçamentário</w:t>
      </w:r>
      <w:r>
        <w:rPr>
          <w:rFonts w:ascii="Times New Roman" w:eastAsia="SimSun" w:hAnsi="Times New Roman" w:cs="Times New Roman"/>
          <w:sz w:val="24"/>
          <w:szCs w:val="24"/>
        </w:rPr>
        <w:t xml:space="preserve"> é apurado o Resultado Orçamentário o valor da coluna Receitas Realizadas menos a Despesa Empenhada, se for positivo teremos o Superávit Orçamentário e caso contrário um Déficit Orçamentário.</w:t>
      </w:r>
    </w:p>
    <w:p w14:paraId="009734FD" w14:textId="77777777" w:rsidR="00D4507A" w:rsidRDefault="00D4507A" w:rsidP="00D4507A">
      <w:pPr>
        <w:pStyle w:val="PargrafodaLista"/>
        <w:ind w:left="426"/>
        <w:rPr>
          <w:rFonts w:cs="Times New Roman"/>
          <w:color w:val="000000"/>
          <w:szCs w:val="24"/>
        </w:rPr>
      </w:pPr>
    </w:p>
    <w:p w14:paraId="43D86E81" w14:textId="77777777" w:rsidR="00D4507A" w:rsidRDefault="00D4507A" w:rsidP="00D4507A">
      <w:pPr>
        <w:pStyle w:val="Normal3"/>
        <w:numPr>
          <w:ilvl w:val="2"/>
          <w:numId w:val="2"/>
        </w:numPr>
        <w:ind w:left="426"/>
      </w:pPr>
      <w:r>
        <w:rPr>
          <w:rFonts w:ascii="Times New Roman" w:eastAsia="SimSun" w:hAnsi="Times New Roman" w:cs="Times New Roman"/>
          <w:b/>
          <w:sz w:val="24"/>
          <w:szCs w:val="24"/>
        </w:rPr>
        <w:t>No Balanço Financeiro</w:t>
      </w:r>
      <w:r>
        <w:rPr>
          <w:rFonts w:ascii="Times New Roman" w:eastAsia="SimSun" w:hAnsi="Times New Roman" w:cs="Times New Roman"/>
          <w:sz w:val="24"/>
          <w:szCs w:val="24"/>
        </w:rPr>
        <w:t xml:space="preserve"> ou na </w:t>
      </w:r>
      <w:r w:rsidRPr="006E5440">
        <w:rPr>
          <w:rFonts w:ascii="Times New Roman" w:eastAsia="SimSun" w:hAnsi="Times New Roman" w:cs="Times New Roman"/>
          <w:b/>
          <w:sz w:val="24"/>
          <w:szCs w:val="24"/>
        </w:rPr>
        <w:t>Demonstração do Fluxo de Caixa</w:t>
      </w:r>
      <w:r>
        <w:rPr>
          <w:rFonts w:ascii="Times New Roman" w:eastAsia="SimSun" w:hAnsi="Times New Roman" w:cs="Times New Roman"/>
          <w:sz w:val="24"/>
          <w:szCs w:val="24"/>
        </w:rPr>
        <w:t xml:space="preserve"> é apurado o Resultado Financeiro confrontando o Saldo Atual de Caixa e Equivalência de Caixa menos o Saldo Anterior, se for positivo será um Superávit Financeiro caso contrário um Déficit Financeiro. Esta apuração no Resultado Financeiro não se confunde com </w:t>
      </w:r>
      <w:proofErr w:type="gramStart"/>
      <w:r>
        <w:rPr>
          <w:rFonts w:ascii="Times New Roman" w:eastAsia="SimSun" w:hAnsi="Times New Roman" w:cs="Times New Roman"/>
          <w:sz w:val="24"/>
          <w:szCs w:val="24"/>
        </w:rPr>
        <w:t>a apuração feito no Balanço Patrimonial</w:t>
      </w:r>
      <w:proofErr w:type="gramEnd"/>
      <w:r>
        <w:rPr>
          <w:rFonts w:ascii="Times New Roman" w:eastAsia="SimSun" w:hAnsi="Times New Roman" w:cs="Times New Roman"/>
          <w:sz w:val="24"/>
          <w:szCs w:val="24"/>
        </w:rPr>
        <w:t xml:space="preserve"> entre os Ativos Financeiros menos os Passivos Financeiros, este se superávit é inclusive fonte para abertura de créditos adicionais.</w:t>
      </w:r>
    </w:p>
    <w:p w14:paraId="6114253A" w14:textId="77777777" w:rsidR="00D4507A" w:rsidRDefault="00D4507A" w:rsidP="00D4507A">
      <w:pPr>
        <w:pStyle w:val="PargrafodaLista"/>
        <w:rPr>
          <w:rFonts w:cs="Times New Roman"/>
          <w:szCs w:val="24"/>
        </w:rPr>
      </w:pPr>
    </w:p>
    <w:p w14:paraId="5CE5099F" w14:textId="77777777" w:rsidR="00D4507A" w:rsidRDefault="00D4507A" w:rsidP="00D4507A">
      <w:pPr>
        <w:pStyle w:val="Standard"/>
        <w:jc w:val="both"/>
        <w:rPr>
          <w:rFonts w:cs="Times New Roman"/>
          <w:b/>
          <w:bCs/>
          <w:color w:val="000000"/>
        </w:rPr>
      </w:pPr>
    </w:p>
    <w:p w14:paraId="59AEF3A6" w14:textId="77777777" w:rsidR="00D4507A" w:rsidRDefault="00D4507A" w:rsidP="00D4507A">
      <w:pPr>
        <w:pStyle w:val="Standard"/>
        <w:jc w:val="both"/>
        <w:rPr>
          <w:rFonts w:cs="Times New Roman"/>
          <w:b/>
          <w:bCs/>
          <w:color w:val="000000"/>
        </w:rPr>
      </w:pPr>
    </w:p>
    <w:p w14:paraId="27C60DCF" w14:textId="77777777" w:rsidR="00D4507A" w:rsidRDefault="00D4507A" w:rsidP="00D4507A">
      <w:pPr>
        <w:pStyle w:val="Standard"/>
        <w:jc w:val="both"/>
        <w:rPr>
          <w:rFonts w:cs="Times New Roman"/>
          <w:b/>
          <w:bCs/>
          <w:color w:val="000000"/>
        </w:rPr>
      </w:pPr>
      <w:proofErr w:type="gramStart"/>
      <w:r>
        <w:rPr>
          <w:rFonts w:cs="Times New Roman"/>
          <w:b/>
          <w:bCs/>
          <w:color w:val="000000"/>
        </w:rPr>
        <w:t>4</w:t>
      </w:r>
      <w:proofErr w:type="gramEnd"/>
      <w:r>
        <w:rPr>
          <w:rFonts w:cs="Times New Roman"/>
          <w:b/>
          <w:bCs/>
          <w:color w:val="000000"/>
        </w:rPr>
        <w:t>) Plano de Implantação de Procedimentos Contábeis Patrimoniais</w:t>
      </w:r>
    </w:p>
    <w:p w14:paraId="740C8441" w14:textId="77777777" w:rsidR="00D4507A" w:rsidRDefault="00D4507A" w:rsidP="00D4507A">
      <w:pPr>
        <w:pStyle w:val="Standard"/>
        <w:jc w:val="both"/>
        <w:rPr>
          <w:rFonts w:cs="Times New Roman"/>
          <w:b/>
          <w:bCs/>
          <w:color w:val="000000"/>
        </w:rPr>
      </w:pPr>
    </w:p>
    <w:p w14:paraId="1F3AAB73" w14:textId="77777777" w:rsidR="00D4507A" w:rsidRDefault="00D4507A" w:rsidP="00D4507A">
      <w:pPr>
        <w:pStyle w:val="Standard"/>
        <w:jc w:val="both"/>
        <w:rPr>
          <w:rFonts w:cs="Times New Roman"/>
          <w:color w:val="000000"/>
        </w:rPr>
      </w:pPr>
      <w:r>
        <w:rPr>
          <w:rFonts w:cs="Times New Roman"/>
          <w:color w:val="000000"/>
        </w:rPr>
        <w:t xml:space="preserve">A Portaria STN nº 548/2015 dispõe sobre os prazos limites de adoção dos procedimentos </w:t>
      </w:r>
      <w:r>
        <w:rPr>
          <w:rFonts w:cs="Times New Roman"/>
          <w:color w:val="000000"/>
        </w:rPr>
        <w:lastRenderedPageBreak/>
        <w:t xml:space="preserve">contábeis patrimoniais aplicáveis aos entes da Federação. Na referida portaria foi aprovado o Plano de Implantação dos Procedimentos Contábeis Patrimoniais (PIPCP), estando os procedimentos definidos na Portaria STN nº 634/2013, e as regras aplicáveis descritas no Manual de Contabilidade Aplicado ao Setor Público. </w:t>
      </w:r>
    </w:p>
    <w:p w14:paraId="28D01BBE" w14:textId="77777777" w:rsidR="00D4507A" w:rsidRDefault="00D4507A" w:rsidP="00D4507A">
      <w:pPr>
        <w:pStyle w:val="Standard"/>
        <w:jc w:val="both"/>
        <w:rPr>
          <w:rFonts w:cs="Times New Roman"/>
          <w:color w:val="FF0000"/>
        </w:rPr>
      </w:pPr>
    </w:p>
    <w:p w14:paraId="52C50E01" w14:textId="77777777" w:rsidR="00D4507A" w:rsidRDefault="00D4507A" w:rsidP="00D4507A">
      <w:pPr>
        <w:pStyle w:val="Standard"/>
        <w:jc w:val="both"/>
        <w:rPr>
          <w:rFonts w:cs="Times New Roman"/>
          <w:color w:val="000000"/>
        </w:rPr>
      </w:pPr>
      <w:r>
        <w:rPr>
          <w:rFonts w:cs="Times New Roman"/>
          <w:color w:val="000000"/>
        </w:rPr>
        <w:t xml:space="preserve">No contexto da União ficaram definidos os prazos apresentados no quadro abaixo, seguido por este Ministério e demais Órgãos da União. Demonstrado a situação que se encontra cada procedimento: implantado, em andamento, não iniciado. </w:t>
      </w:r>
    </w:p>
    <w:p w14:paraId="6CB72F3A" w14:textId="77777777" w:rsidR="00D4507A" w:rsidRDefault="00D4507A" w:rsidP="00D4507A">
      <w:pPr>
        <w:pStyle w:val="Standard"/>
        <w:jc w:val="both"/>
        <w:rPr>
          <w:rFonts w:cs="Times New Roman"/>
          <w:color w:val="000000"/>
        </w:rPr>
      </w:pPr>
    </w:p>
    <w:tbl>
      <w:tblPr>
        <w:tblW w:w="9778" w:type="dxa"/>
        <w:jc w:val="center"/>
        <w:tblCellMar>
          <w:left w:w="10" w:type="dxa"/>
          <w:right w:w="10" w:type="dxa"/>
        </w:tblCellMar>
        <w:tblLook w:val="04A0" w:firstRow="1" w:lastRow="0" w:firstColumn="1" w:lastColumn="0" w:noHBand="0" w:noVBand="1"/>
      </w:tblPr>
      <w:tblGrid>
        <w:gridCol w:w="6959"/>
        <w:gridCol w:w="1509"/>
        <w:gridCol w:w="1310"/>
      </w:tblGrid>
      <w:tr w:rsidR="00D4507A" w14:paraId="72155865" w14:textId="77777777" w:rsidTr="00D4507A">
        <w:trPr>
          <w:trHeight w:val="250"/>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BAF5E" w14:textId="77777777" w:rsidR="00D4507A" w:rsidRDefault="00D4507A" w:rsidP="00D4507A">
            <w:pPr>
              <w:pStyle w:val="Standard"/>
              <w:jc w:val="both"/>
              <w:rPr>
                <w:rFonts w:cs="Times New Roman"/>
                <w:color w:val="000000"/>
              </w:rPr>
            </w:pPr>
            <w:r>
              <w:rPr>
                <w:rFonts w:cs="Times New Roman"/>
                <w:color w:val="000000"/>
              </w:rPr>
              <w:t xml:space="preserve">Procedimento Contábil Patrimonial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3872F" w14:textId="77777777" w:rsidR="00D4507A" w:rsidRDefault="00D4507A" w:rsidP="00D4507A">
            <w:pPr>
              <w:pStyle w:val="Standard"/>
              <w:jc w:val="both"/>
              <w:rPr>
                <w:rFonts w:cs="Times New Roman"/>
                <w:color w:val="000000"/>
              </w:rPr>
            </w:pPr>
            <w:r>
              <w:rPr>
                <w:rFonts w:cs="Times New Roman"/>
                <w:color w:val="000000"/>
              </w:rPr>
              <w:t>Prazo União</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5EE58" w14:textId="77777777" w:rsidR="00D4507A" w:rsidRDefault="00D4507A" w:rsidP="00D4507A">
            <w:pPr>
              <w:pStyle w:val="Standard"/>
              <w:jc w:val="both"/>
              <w:rPr>
                <w:rFonts w:cs="Times New Roman"/>
                <w:color w:val="000000"/>
              </w:rPr>
            </w:pPr>
            <w:r>
              <w:rPr>
                <w:rFonts w:cs="Times New Roman"/>
                <w:color w:val="000000"/>
              </w:rPr>
              <w:t xml:space="preserve">Situação </w:t>
            </w:r>
          </w:p>
        </w:tc>
      </w:tr>
      <w:tr w:rsidR="00D4507A" w14:paraId="70B3D2DA" w14:textId="77777777" w:rsidTr="00D4507A">
        <w:trPr>
          <w:trHeight w:val="270"/>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FDE6" w14:textId="77777777" w:rsidR="00D4507A" w:rsidRDefault="00D4507A" w:rsidP="00D4507A">
            <w:pPr>
              <w:pStyle w:val="Standard"/>
              <w:jc w:val="both"/>
            </w:pPr>
            <w:r>
              <w:rPr>
                <w:rFonts w:cs="Times New Roman"/>
                <w:color w:val="000000"/>
              </w:rPr>
              <w:t xml:space="preserve">PCP 1 - Reconhecimento, mensuração e evidenciação dos </w:t>
            </w:r>
            <w:r>
              <w:rPr>
                <w:rFonts w:cs="Times New Roman"/>
                <w:b/>
                <w:bCs/>
                <w:color w:val="000000"/>
              </w:rPr>
              <w:t xml:space="preserve">créditos oriundos de receitas tributárias e de contribuições </w:t>
            </w:r>
            <w:r>
              <w:rPr>
                <w:rFonts w:cs="Times New Roman"/>
                <w:color w:val="000000"/>
              </w:rPr>
              <w:t>(exceto créditos previdenciários), bem como dos respectivos encargos, multas, ajustes para perdas e registro de obrigações relacionadas à repartição de receitas.</w:t>
            </w:r>
          </w:p>
          <w:p w14:paraId="19D526EA"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2A7FD" w14:textId="77777777" w:rsidR="00D4507A" w:rsidRDefault="00D4507A" w:rsidP="00D4507A">
            <w:pPr>
              <w:pStyle w:val="Standard"/>
              <w:jc w:val="center"/>
              <w:rPr>
                <w:rFonts w:cs="Times New Roman"/>
                <w:color w:val="000000"/>
              </w:rPr>
            </w:pPr>
            <w:r>
              <w:rPr>
                <w:rFonts w:cs="Times New Roman"/>
                <w:color w:val="000000"/>
              </w:rPr>
              <w:t>2017</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6B9B"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6379A2B6" w14:textId="77777777" w:rsidTr="00D4507A">
        <w:trPr>
          <w:trHeight w:val="1022"/>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CE237" w14:textId="77777777" w:rsidR="00D4507A" w:rsidRDefault="00D4507A" w:rsidP="00D4507A">
            <w:pPr>
              <w:pStyle w:val="Standard"/>
              <w:jc w:val="both"/>
            </w:pPr>
            <w:r>
              <w:rPr>
                <w:rFonts w:cs="Times New Roman"/>
                <w:color w:val="000000"/>
              </w:rPr>
              <w:t xml:space="preserve">PCP 2 - Reconhecimento, mensuração e evidenciação </w:t>
            </w:r>
            <w:r>
              <w:rPr>
                <w:rFonts w:cs="Times New Roman"/>
                <w:b/>
                <w:bCs/>
                <w:color w:val="000000"/>
              </w:rPr>
              <w:t>dos créditos previdenciários,</w:t>
            </w:r>
            <w:r>
              <w:rPr>
                <w:rFonts w:cs="Times New Roman"/>
                <w:color w:val="000000"/>
              </w:rPr>
              <w:t xml:space="preserve"> bem como dos respectivos encargos, multas, ajustes para perdas.</w:t>
            </w:r>
          </w:p>
          <w:p w14:paraId="2C6F3CE9"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083D2" w14:textId="77777777" w:rsidR="00D4507A" w:rsidRDefault="00D4507A" w:rsidP="00D4507A">
            <w:pPr>
              <w:pStyle w:val="Standard"/>
              <w:jc w:val="center"/>
              <w:rPr>
                <w:rFonts w:cs="Times New Roman"/>
                <w:color w:val="000000"/>
              </w:rPr>
            </w:pPr>
            <w:r>
              <w:rPr>
                <w:rFonts w:cs="Times New Roman"/>
                <w:color w:val="000000"/>
              </w:rPr>
              <w:t>2018</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EC93"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07B92394" w14:textId="77777777" w:rsidTr="00D4507A">
        <w:trPr>
          <w:trHeight w:val="1262"/>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3FBC1" w14:textId="77777777" w:rsidR="00D4507A" w:rsidRDefault="00D4507A" w:rsidP="00D4507A">
            <w:pPr>
              <w:pStyle w:val="Standard"/>
              <w:jc w:val="both"/>
            </w:pPr>
            <w:r>
              <w:rPr>
                <w:rFonts w:cs="Times New Roman"/>
                <w:color w:val="000000"/>
              </w:rPr>
              <w:t xml:space="preserve">PCP 3 - Reconhecimento, mensuração e evidenciação </w:t>
            </w:r>
            <w:r>
              <w:rPr>
                <w:rFonts w:cs="Times New Roman"/>
                <w:b/>
                <w:bCs/>
                <w:color w:val="000000"/>
              </w:rPr>
              <w:t xml:space="preserve">dos demais créditos </w:t>
            </w:r>
            <w:r>
              <w:rPr>
                <w:rFonts w:cs="Times New Roman"/>
                <w:color w:val="000000"/>
              </w:rPr>
              <w:t>a receber, (exceto créditos tributários, previdenciários e de contribuições a receber), bem como dos respectivos encargos, multas e ajustes para perdas.</w:t>
            </w:r>
          </w:p>
          <w:p w14:paraId="32BDFA93"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29C9D" w14:textId="77777777" w:rsidR="00D4507A" w:rsidRDefault="00D4507A" w:rsidP="00D4507A">
            <w:pPr>
              <w:pStyle w:val="Standard"/>
              <w:jc w:val="center"/>
              <w:rPr>
                <w:rFonts w:cs="Times New Roman"/>
                <w:color w:val="000000"/>
              </w:rPr>
            </w:pPr>
            <w:r>
              <w:rPr>
                <w:rFonts w:cs="Times New Roman"/>
                <w:color w:val="000000"/>
              </w:rPr>
              <w:t>Imediato</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0A41"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763B04B6" w14:textId="77777777" w:rsidTr="00D4507A">
        <w:trPr>
          <w:trHeight w:val="761"/>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8E93" w14:textId="77777777" w:rsidR="00D4507A" w:rsidRDefault="00D4507A" w:rsidP="00D4507A">
            <w:pPr>
              <w:pStyle w:val="Standard"/>
              <w:jc w:val="both"/>
              <w:rPr>
                <w:rFonts w:cs="Times New Roman"/>
                <w:color w:val="000000"/>
              </w:rPr>
            </w:pPr>
            <w:r>
              <w:rPr>
                <w:rFonts w:cs="Times New Roman"/>
                <w:color w:val="000000"/>
              </w:rPr>
              <w:t>PCP</w:t>
            </w:r>
            <w:proofErr w:type="gramStart"/>
            <w:r>
              <w:rPr>
                <w:rFonts w:cs="Times New Roman"/>
                <w:color w:val="000000"/>
              </w:rPr>
              <w:t xml:space="preserve">  </w:t>
            </w:r>
            <w:proofErr w:type="gramEnd"/>
            <w:r>
              <w:rPr>
                <w:rFonts w:cs="Times New Roman"/>
                <w:color w:val="000000"/>
              </w:rPr>
              <w:t>4 -Reconhecimento, mensuração e evidenciação da Dívida Ativa, tributária e não tributária, e respectivo ajuste para perdas</w:t>
            </w:r>
          </w:p>
          <w:p w14:paraId="7EE884E0"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E7FA9" w14:textId="77777777" w:rsidR="00D4507A" w:rsidRDefault="00D4507A" w:rsidP="00D4507A">
            <w:pPr>
              <w:pStyle w:val="Standard"/>
              <w:jc w:val="center"/>
              <w:rPr>
                <w:rFonts w:cs="Times New Roman"/>
                <w:color w:val="000000"/>
              </w:rPr>
            </w:pPr>
            <w:r>
              <w:rPr>
                <w:rFonts w:cs="Times New Roman"/>
                <w:color w:val="000000"/>
              </w:rPr>
              <w:t>Imediato</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3AA8"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2EBFC1D3" w14:textId="77777777" w:rsidTr="00D4507A">
        <w:trPr>
          <w:trHeight w:val="761"/>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B779" w14:textId="77777777" w:rsidR="00D4507A" w:rsidRDefault="00D4507A" w:rsidP="00D4507A">
            <w:pPr>
              <w:pStyle w:val="Standard"/>
              <w:jc w:val="both"/>
            </w:pPr>
            <w:r>
              <w:rPr>
                <w:rFonts w:cs="Times New Roman"/>
                <w:color w:val="000000"/>
              </w:rPr>
              <w:t xml:space="preserve">PCP 5 - Reconhecimento, mensuração e evidenciação das </w:t>
            </w:r>
            <w:r>
              <w:rPr>
                <w:rFonts w:cs="Times New Roman"/>
                <w:b/>
                <w:bCs/>
                <w:color w:val="000000"/>
              </w:rPr>
              <w:t xml:space="preserve">provisões por </w:t>
            </w:r>
            <w:proofErr w:type="gramStart"/>
            <w:r>
              <w:rPr>
                <w:rFonts w:cs="Times New Roman"/>
                <w:b/>
                <w:bCs/>
                <w:color w:val="000000"/>
              </w:rPr>
              <w:t>competência</w:t>
            </w:r>
            <w:proofErr w:type="gramEnd"/>
            <w:r>
              <w:rPr>
                <w:rFonts w:cs="Times New Roman"/>
                <w:b/>
                <w:bCs/>
                <w:color w:val="000000"/>
              </w:rPr>
              <w:t xml:space="preserve"> </w:t>
            </w:r>
          </w:p>
          <w:p w14:paraId="54FB7273"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28948" w14:textId="77777777" w:rsidR="00D4507A" w:rsidRDefault="00D4507A" w:rsidP="00D4507A">
            <w:pPr>
              <w:pStyle w:val="Standard"/>
              <w:jc w:val="center"/>
              <w:rPr>
                <w:rFonts w:cs="Times New Roman"/>
                <w:color w:val="000000"/>
              </w:rPr>
            </w:pPr>
            <w:r>
              <w:rPr>
                <w:rFonts w:cs="Times New Roman"/>
                <w:color w:val="000000"/>
              </w:rPr>
              <w:t>2018</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7163"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084C8A73" w14:textId="77777777" w:rsidTr="00D4507A">
        <w:trPr>
          <w:trHeight w:val="761"/>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B93D9" w14:textId="77777777" w:rsidR="00D4507A" w:rsidRDefault="00D4507A" w:rsidP="00D4507A">
            <w:pPr>
              <w:pStyle w:val="Standard"/>
              <w:jc w:val="both"/>
            </w:pPr>
            <w:r>
              <w:rPr>
                <w:rFonts w:cs="Times New Roman"/>
                <w:color w:val="000000"/>
              </w:rPr>
              <w:t xml:space="preserve">PCP 6 - Evidenciação de </w:t>
            </w:r>
            <w:r>
              <w:rPr>
                <w:rFonts w:cs="Times New Roman"/>
                <w:b/>
                <w:bCs/>
                <w:color w:val="000000"/>
              </w:rPr>
              <w:t xml:space="preserve">ativos e passivos contingentes </w:t>
            </w:r>
            <w:r>
              <w:rPr>
                <w:rFonts w:cs="Times New Roman"/>
                <w:color w:val="000000"/>
              </w:rPr>
              <w:t>em contas de controle e em notas explicativas</w:t>
            </w:r>
          </w:p>
          <w:p w14:paraId="58E3974A"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FD936" w14:textId="77777777" w:rsidR="00D4507A" w:rsidRDefault="00D4507A" w:rsidP="00D4507A">
            <w:pPr>
              <w:pStyle w:val="Standard"/>
              <w:jc w:val="center"/>
              <w:rPr>
                <w:rFonts w:cs="Times New Roman"/>
                <w:color w:val="000000"/>
              </w:rPr>
            </w:pPr>
            <w:r>
              <w:rPr>
                <w:rFonts w:cs="Times New Roman"/>
                <w:color w:val="000000"/>
              </w:rPr>
              <w:t>2018</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CB299"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2EE0681D" w14:textId="77777777" w:rsidTr="00D4507A">
        <w:trPr>
          <w:trHeight w:val="1262"/>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22C8" w14:textId="77777777" w:rsidR="00D4507A" w:rsidRDefault="00D4507A" w:rsidP="00D4507A">
            <w:pPr>
              <w:pStyle w:val="Standard"/>
              <w:jc w:val="both"/>
            </w:pPr>
            <w:r>
              <w:rPr>
                <w:rFonts w:cs="Times New Roman"/>
                <w:color w:val="000000"/>
              </w:rPr>
              <w:t xml:space="preserve">PCP 7 - Reconhecimento, mensuração e evidenciação dos </w:t>
            </w:r>
            <w:r>
              <w:rPr>
                <w:rFonts w:cs="Times New Roman"/>
                <w:b/>
                <w:bCs/>
                <w:color w:val="000000"/>
              </w:rPr>
              <w:t>bens móveis e imóveis</w:t>
            </w:r>
            <w:r>
              <w:rPr>
                <w:rFonts w:cs="Times New Roman"/>
                <w:color w:val="000000"/>
              </w:rPr>
              <w:t>; respectiva depreciação ou exaustão; reavaliação e redução ao valor recuperável (exceto bens do patrimônio cultural e de infraestrutura</w:t>
            </w:r>
            <w:proofErr w:type="gramStart"/>
            <w:r>
              <w:rPr>
                <w:rFonts w:cs="Times New Roman"/>
                <w:color w:val="000000"/>
              </w:rPr>
              <w:t>)</w:t>
            </w:r>
            <w:proofErr w:type="gramEnd"/>
            <w:r>
              <w:rPr>
                <w:rFonts w:cs="Times New Roman"/>
                <w:color w:val="000000"/>
              </w:rPr>
              <w:t xml:space="preserve"> </w:t>
            </w:r>
          </w:p>
          <w:p w14:paraId="650B5E05"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2E054" w14:textId="77777777" w:rsidR="00D4507A" w:rsidRDefault="00D4507A" w:rsidP="00D4507A">
            <w:pPr>
              <w:pStyle w:val="Standard"/>
              <w:jc w:val="center"/>
              <w:rPr>
                <w:rFonts w:cs="Times New Roman"/>
                <w:color w:val="000000"/>
              </w:rPr>
            </w:pPr>
            <w:r>
              <w:rPr>
                <w:rFonts w:cs="Times New Roman"/>
                <w:color w:val="000000"/>
              </w:rPr>
              <w:t>Imediato</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A951"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0F89318D" w14:textId="77777777" w:rsidTr="00D4507A">
        <w:trPr>
          <w:trHeight w:val="1022"/>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6E0AC" w14:textId="77777777" w:rsidR="00D4507A" w:rsidRDefault="00D4507A" w:rsidP="00D4507A">
            <w:pPr>
              <w:pStyle w:val="Standard"/>
              <w:jc w:val="both"/>
            </w:pPr>
            <w:r>
              <w:rPr>
                <w:rFonts w:cs="Times New Roman"/>
                <w:color w:val="000000"/>
              </w:rPr>
              <w:t xml:space="preserve">PCP 8 - Reconhecimento, mensuração e evidenciação </w:t>
            </w:r>
            <w:r>
              <w:rPr>
                <w:rFonts w:cs="Times New Roman"/>
                <w:b/>
                <w:bCs/>
                <w:color w:val="000000"/>
              </w:rPr>
              <w:t>dos bens de infraestrutura;</w:t>
            </w:r>
            <w:r>
              <w:rPr>
                <w:rFonts w:cs="Times New Roman"/>
                <w:color w:val="000000"/>
              </w:rPr>
              <w:t xml:space="preserve"> respectiva depreciação, amortização ou exaustão; reavaliação e redução ao valor </w:t>
            </w:r>
            <w:proofErr w:type="gramStart"/>
            <w:r>
              <w:rPr>
                <w:rFonts w:cs="Times New Roman"/>
                <w:color w:val="000000"/>
              </w:rPr>
              <w:t>recuperável</w:t>
            </w:r>
            <w:proofErr w:type="gramEnd"/>
          </w:p>
          <w:p w14:paraId="0CE612E9"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21D3" w14:textId="77777777" w:rsidR="00D4507A" w:rsidRDefault="00D4507A" w:rsidP="00D4507A">
            <w:pPr>
              <w:pStyle w:val="Standard"/>
              <w:jc w:val="center"/>
              <w:rPr>
                <w:rFonts w:cs="Times New Roman"/>
                <w:color w:val="000000"/>
              </w:rPr>
            </w:pPr>
            <w:r>
              <w:rPr>
                <w:rFonts w:cs="Times New Roman"/>
                <w:color w:val="000000"/>
              </w:rPr>
              <w:t>2019</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89CB"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414DA897" w14:textId="77777777" w:rsidTr="00D4507A">
        <w:trPr>
          <w:trHeight w:val="1262"/>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EAAFE" w14:textId="77777777" w:rsidR="00D4507A" w:rsidRDefault="00D4507A" w:rsidP="00D4507A">
            <w:pPr>
              <w:pStyle w:val="Standard"/>
              <w:jc w:val="both"/>
            </w:pPr>
            <w:r>
              <w:rPr>
                <w:rFonts w:cs="Times New Roman"/>
                <w:color w:val="000000"/>
              </w:rPr>
              <w:t xml:space="preserve">PCP 9 - Reconhecimento, mensuração e evidenciação dos </w:t>
            </w:r>
            <w:r>
              <w:rPr>
                <w:rFonts w:cs="Times New Roman"/>
                <w:b/>
                <w:bCs/>
                <w:color w:val="000000"/>
              </w:rPr>
              <w:t>bens do patrimônio cultural</w:t>
            </w:r>
            <w:r>
              <w:rPr>
                <w:rFonts w:cs="Times New Roman"/>
                <w:color w:val="000000"/>
              </w:rPr>
              <w:t>; respectiva depreciação, amortização ou exaustão; reavaliação e redução ao valor recuperável (quando passível de registro segundo IPSAS, NBC TSP e MCASP</w:t>
            </w:r>
            <w:proofErr w:type="gramStart"/>
            <w:r>
              <w:rPr>
                <w:rFonts w:cs="Times New Roman"/>
                <w:color w:val="000000"/>
              </w:rPr>
              <w:t>)</w:t>
            </w:r>
            <w:proofErr w:type="gramEnd"/>
            <w:r>
              <w:rPr>
                <w:rFonts w:cs="Times New Roman"/>
                <w:color w:val="000000"/>
              </w:rPr>
              <w:t xml:space="preserve"> </w:t>
            </w:r>
          </w:p>
          <w:p w14:paraId="083291AB"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AF3DD" w14:textId="77777777" w:rsidR="00D4507A" w:rsidRDefault="00D4507A" w:rsidP="00D4507A">
            <w:pPr>
              <w:pStyle w:val="Standard"/>
              <w:jc w:val="center"/>
              <w:rPr>
                <w:rFonts w:cs="Times New Roman"/>
                <w:color w:val="000000"/>
              </w:rPr>
            </w:pPr>
            <w:r>
              <w:rPr>
                <w:rFonts w:cs="Times New Roman"/>
                <w:color w:val="000000"/>
              </w:rPr>
              <w:t>2021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153E" w14:textId="77777777" w:rsidR="00D4507A" w:rsidRDefault="00D4507A" w:rsidP="00D4507A">
            <w:pPr>
              <w:pStyle w:val="Standard"/>
              <w:jc w:val="both"/>
              <w:rPr>
                <w:rFonts w:cs="Times New Roman"/>
                <w:color w:val="000000"/>
              </w:rPr>
            </w:pPr>
            <w:r>
              <w:rPr>
                <w:rFonts w:cs="Times New Roman"/>
                <w:color w:val="000000"/>
              </w:rPr>
              <w:t>Não iniciado</w:t>
            </w:r>
          </w:p>
        </w:tc>
      </w:tr>
      <w:tr w:rsidR="00D4507A" w14:paraId="181D9C1B" w14:textId="77777777" w:rsidTr="00D4507A">
        <w:trPr>
          <w:trHeight w:val="1012"/>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9841E" w14:textId="77777777" w:rsidR="00D4507A" w:rsidRDefault="00D4507A" w:rsidP="00D4507A">
            <w:pPr>
              <w:pStyle w:val="Standard"/>
              <w:jc w:val="both"/>
            </w:pPr>
            <w:r>
              <w:rPr>
                <w:rFonts w:cs="Times New Roman"/>
                <w:color w:val="000000"/>
              </w:rPr>
              <w:t xml:space="preserve">PCP 10 - Reconhecimento, mensuração e evidenciação das obrigações por competência decorrentes </w:t>
            </w:r>
            <w:r>
              <w:rPr>
                <w:rFonts w:cs="Times New Roman"/>
                <w:b/>
                <w:bCs/>
                <w:color w:val="000000"/>
              </w:rPr>
              <w:t>de empréstimos, financiamentos e dívidas contratuais e mobiliárias.</w:t>
            </w:r>
          </w:p>
          <w:p w14:paraId="2E5E55E1"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1708D" w14:textId="77777777" w:rsidR="00D4507A" w:rsidRDefault="00D4507A" w:rsidP="00D4507A">
            <w:pPr>
              <w:pStyle w:val="Standard"/>
              <w:jc w:val="center"/>
              <w:rPr>
                <w:rFonts w:cs="Times New Roman"/>
                <w:color w:val="000000"/>
              </w:rPr>
            </w:pPr>
            <w:r>
              <w:rPr>
                <w:rFonts w:cs="Times New Roman"/>
                <w:color w:val="000000"/>
              </w:rPr>
              <w:t>Imediato</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7CCEE"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1D79459B" w14:textId="77777777" w:rsidTr="00D4507A">
        <w:trPr>
          <w:trHeight w:val="1012"/>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82E3" w14:textId="77777777" w:rsidR="00D4507A" w:rsidRDefault="00D4507A" w:rsidP="00D4507A">
            <w:pPr>
              <w:pStyle w:val="Standard"/>
              <w:jc w:val="both"/>
            </w:pPr>
            <w:r>
              <w:rPr>
                <w:rFonts w:cs="Times New Roman"/>
                <w:color w:val="000000"/>
              </w:rPr>
              <w:lastRenderedPageBreak/>
              <w:t xml:space="preserve">PCP 11 - Reconhecimento, mensuração e evidenciação das obrigações por competência decorrentes de </w:t>
            </w:r>
            <w:r>
              <w:rPr>
                <w:rFonts w:cs="Times New Roman"/>
                <w:b/>
                <w:bCs/>
                <w:color w:val="000000"/>
              </w:rPr>
              <w:t xml:space="preserve">benefícios a empregados </w:t>
            </w:r>
            <w:r>
              <w:rPr>
                <w:rFonts w:cs="Times New Roman"/>
                <w:color w:val="000000"/>
              </w:rPr>
              <w:t>(</w:t>
            </w:r>
            <w:proofErr w:type="spellStart"/>
            <w:r>
              <w:rPr>
                <w:rFonts w:cs="Times New Roman"/>
                <w:color w:val="000000"/>
              </w:rPr>
              <w:t>ex</w:t>
            </w:r>
            <w:proofErr w:type="spellEnd"/>
            <w:r>
              <w:rPr>
                <w:rFonts w:cs="Times New Roman"/>
                <w:color w:val="000000"/>
              </w:rPr>
              <w:t xml:space="preserve">: 13º salário, férias, </w:t>
            </w:r>
            <w:proofErr w:type="spellStart"/>
            <w:r>
              <w:rPr>
                <w:rFonts w:cs="Times New Roman"/>
                <w:color w:val="000000"/>
              </w:rPr>
              <w:t>etc</w:t>
            </w:r>
            <w:proofErr w:type="spellEnd"/>
            <w:r>
              <w:rPr>
                <w:rFonts w:cs="Times New Roman"/>
                <w:color w:val="000000"/>
              </w:rPr>
              <w:t>).</w:t>
            </w:r>
          </w:p>
          <w:p w14:paraId="1F7C1875"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F9BF" w14:textId="77777777" w:rsidR="00D4507A" w:rsidRDefault="00D4507A" w:rsidP="00D4507A">
            <w:pPr>
              <w:pStyle w:val="Standard"/>
              <w:jc w:val="center"/>
              <w:rPr>
                <w:rFonts w:cs="Times New Roman"/>
                <w:color w:val="000000"/>
              </w:rPr>
            </w:pPr>
            <w:r>
              <w:rPr>
                <w:rFonts w:cs="Times New Roman"/>
                <w:color w:val="000000"/>
              </w:rPr>
              <w:t>Imediato</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40BE6"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4DD5EBFB" w14:textId="77777777" w:rsidTr="00D4507A">
        <w:trPr>
          <w:trHeight w:val="1022"/>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016FC" w14:textId="77777777" w:rsidR="00D4507A" w:rsidRDefault="00D4507A" w:rsidP="00D4507A">
            <w:pPr>
              <w:pStyle w:val="Standard"/>
              <w:jc w:val="both"/>
            </w:pPr>
            <w:r>
              <w:rPr>
                <w:rFonts w:cs="Times New Roman"/>
                <w:color w:val="000000"/>
              </w:rPr>
              <w:t xml:space="preserve">PCP 12 - Reconhecimento, mensuração e evidenciação da </w:t>
            </w:r>
            <w:r>
              <w:rPr>
                <w:rFonts w:cs="Times New Roman"/>
                <w:b/>
                <w:bCs/>
                <w:color w:val="000000"/>
              </w:rPr>
              <w:t xml:space="preserve">provisão atuarial </w:t>
            </w:r>
            <w:r>
              <w:rPr>
                <w:rFonts w:cs="Times New Roman"/>
                <w:color w:val="000000"/>
              </w:rPr>
              <w:t>do regime próprio de previdência dos servidores públicos civis e militares.</w:t>
            </w:r>
          </w:p>
          <w:p w14:paraId="772EACEB"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C9860" w14:textId="77777777" w:rsidR="00D4507A" w:rsidRDefault="00D4507A" w:rsidP="00D4507A">
            <w:pPr>
              <w:pStyle w:val="Standard"/>
              <w:jc w:val="center"/>
              <w:rPr>
                <w:rFonts w:cs="Times New Roman"/>
                <w:color w:val="000000"/>
              </w:rPr>
            </w:pPr>
            <w:r>
              <w:rPr>
                <w:rFonts w:cs="Times New Roman"/>
                <w:color w:val="000000"/>
              </w:rPr>
              <w:t>Imediato</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6F04"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0A0CC11F" w14:textId="77777777" w:rsidTr="00D4507A">
        <w:trPr>
          <w:trHeight w:val="751"/>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DC05" w14:textId="77777777" w:rsidR="00D4507A" w:rsidRDefault="00D4507A" w:rsidP="00D4507A">
            <w:pPr>
              <w:pStyle w:val="Standard"/>
              <w:jc w:val="both"/>
            </w:pPr>
            <w:r>
              <w:rPr>
                <w:rFonts w:cs="Times New Roman"/>
                <w:color w:val="000000"/>
              </w:rPr>
              <w:t xml:space="preserve">PCP 13 - Reconhecimento, mensuração e evidenciação das </w:t>
            </w:r>
            <w:r>
              <w:rPr>
                <w:rFonts w:cs="Times New Roman"/>
                <w:b/>
                <w:bCs/>
                <w:color w:val="000000"/>
              </w:rPr>
              <w:t xml:space="preserve">obrigações com fornecedores por competência. </w:t>
            </w:r>
          </w:p>
          <w:p w14:paraId="5B676B81"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1CD7" w14:textId="77777777" w:rsidR="00D4507A" w:rsidRDefault="00D4507A" w:rsidP="00D4507A">
            <w:pPr>
              <w:pStyle w:val="Standard"/>
              <w:jc w:val="center"/>
              <w:rPr>
                <w:rFonts w:cs="Times New Roman"/>
                <w:color w:val="000000"/>
              </w:rPr>
            </w:pPr>
            <w:r>
              <w:rPr>
                <w:rFonts w:cs="Times New Roman"/>
                <w:color w:val="000000"/>
              </w:rPr>
              <w:t>Imediato</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329F1"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5BAE4BA3" w14:textId="77777777" w:rsidTr="00D4507A">
        <w:trPr>
          <w:trHeight w:val="761"/>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6914" w14:textId="77777777" w:rsidR="00D4507A" w:rsidRDefault="00D4507A" w:rsidP="00D4507A">
            <w:pPr>
              <w:pStyle w:val="Standard"/>
              <w:jc w:val="both"/>
            </w:pPr>
            <w:r>
              <w:rPr>
                <w:rFonts w:cs="Times New Roman"/>
                <w:color w:val="000000"/>
              </w:rPr>
              <w:t xml:space="preserve">PCP 14 - Reconhecimento, mensuração e evidenciação das </w:t>
            </w:r>
            <w:r>
              <w:rPr>
                <w:rFonts w:cs="Times New Roman"/>
                <w:b/>
                <w:bCs/>
                <w:color w:val="000000"/>
              </w:rPr>
              <w:t xml:space="preserve">demais obrigações por competência. </w:t>
            </w:r>
          </w:p>
          <w:p w14:paraId="4F20DB30"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9FBF" w14:textId="77777777" w:rsidR="00D4507A" w:rsidRDefault="00D4507A" w:rsidP="00D4507A">
            <w:pPr>
              <w:pStyle w:val="Standard"/>
              <w:jc w:val="center"/>
              <w:rPr>
                <w:rFonts w:cs="Times New Roman"/>
                <w:color w:val="000000"/>
              </w:rPr>
            </w:pPr>
            <w:r>
              <w:rPr>
                <w:rFonts w:cs="Times New Roman"/>
                <w:color w:val="000000"/>
              </w:rPr>
              <w:t>A definir</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E3E06"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4B7A0D9E" w14:textId="77777777" w:rsidTr="00D4507A">
        <w:trPr>
          <w:trHeight w:val="270"/>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95CA" w14:textId="77777777" w:rsidR="00D4507A" w:rsidRDefault="00D4507A" w:rsidP="00D4507A">
            <w:pPr>
              <w:pStyle w:val="Standard"/>
              <w:jc w:val="both"/>
            </w:pPr>
            <w:r>
              <w:rPr>
                <w:rFonts w:cs="Times New Roman"/>
                <w:color w:val="000000"/>
              </w:rPr>
              <w:t xml:space="preserve">PCP 15 - Reconhecimento, mensuração e evidenciação </w:t>
            </w:r>
            <w:r>
              <w:rPr>
                <w:rFonts w:cs="Times New Roman"/>
                <w:b/>
                <w:bCs/>
                <w:color w:val="000000"/>
              </w:rPr>
              <w:t xml:space="preserve">de softwares, marcas, patentes, licenças e congêneres, classificados como </w:t>
            </w:r>
            <w:proofErr w:type="gramStart"/>
            <w:r>
              <w:rPr>
                <w:rFonts w:cs="Times New Roman"/>
                <w:b/>
                <w:bCs/>
                <w:color w:val="000000"/>
              </w:rPr>
              <w:t xml:space="preserve">intangíveis </w:t>
            </w:r>
            <w:r>
              <w:rPr>
                <w:rFonts w:cs="Times New Roman"/>
                <w:color w:val="000000"/>
              </w:rPr>
              <w:t>e eventuais amortização</w:t>
            </w:r>
            <w:proofErr w:type="gramEnd"/>
            <w:r>
              <w:rPr>
                <w:rFonts w:cs="Times New Roman"/>
                <w:color w:val="000000"/>
              </w:rPr>
              <w:t>, reavaliação e redução ao valor recuperável.</w:t>
            </w:r>
          </w:p>
          <w:p w14:paraId="20B73D9A"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300E8" w14:textId="77777777" w:rsidR="00D4507A" w:rsidRDefault="00D4507A" w:rsidP="00D4507A">
            <w:pPr>
              <w:pStyle w:val="Standard"/>
              <w:jc w:val="center"/>
              <w:rPr>
                <w:rFonts w:cs="Times New Roman"/>
                <w:color w:val="000000"/>
              </w:rPr>
            </w:pPr>
            <w:r>
              <w:rPr>
                <w:rFonts w:cs="Times New Roman"/>
                <w:color w:val="000000"/>
              </w:rPr>
              <w:t>2019</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474"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059D9518" w14:textId="77777777" w:rsidTr="00D4507A">
        <w:trPr>
          <w:trHeight w:val="761"/>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93A52" w14:textId="77777777" w:rsidR="00D4507A" w:rsidRDefault="00D4507A" w:rsidP="00D4507A">
            <w:pPr>
              <w:pStyle w:val="Standard"/>
              <w:jc w:val="both"/>
            </w:pPr>
            <w:r>
              <w:rPr>
                <w:rFonts w:cs="Times New Roman"/>
                <w:color w:val="000000"/>
              </w:rPr>
              <w:t xml:space="preserve">PCP 16 - </w:t>
            </w:r>
            <w:proofErr w:type="gramStart"/>
            <w:r>
              <w:rPr>
                <w:rFonts w:cs="Times New Roman"/>
                <w:b/>
                <w:bCs/>
                <w:color w:val="000000"/>
              </w:rPr>
              <w:t xml:space="preserve">Outros ativos intangíveis </w:t>
            </w:r>
            <w:r>
              <w:rPr>
                <w:rFonts w:cs="Times New Roman"/>
                <w:color w:val="000000"/>
              </w:rPr>
              <w:t>e eventuais amortização e redução</w:t>
            </w:r>
            <w:proofErr w:type="gramEnd"/>
            <w:r>
              <w:rPr>
                <w:rFonts w:cs="Times New Roman"/>
                <w:color w:val="000000"/>
              </w:rPr>
              <w:t xml:space="preserve"> a valor recuperável.</w:t>
            </w:r>
          </w:p>
          <w:p w14:paraId="73EF200C"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5868" w14:textId="77777777" w:rsidR="00D4507A" w:rsidRDefault="00D4507A" w:rsidP="00D4507A">
            <w:pPr>
              <w:pStyle w:val="Standard"/>
              <w:jc w:val="center"/>
              <w:rPr>
                <w:rFonts w:cs="Times New Roman"/>
                <w:color w:val="000000"/>
              </w:rPr>
            </w:pPr>
            <w:r>
              <w:rPr>
                <w:rFonts w:cs="Times New Roman"/>
                <w:color w:val="000000"/>
              </w:rPr>
              <w:t>A definir</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64ED" w14:textId="77777777" w:rsidR="00D4507A" w:rsidRDefault="00D4507A" w:rsidP="00D4507A">
            <w:pPr>
              <w:pStyle w:val="Standard"/>
              <w:jc w:val="both"/>
              <w:rPr>
                <w:rFonts w:cs="Times New Roman"/>
                <w:color w:val="000000"/>
              </w:rPr>
            </w:pPr>
            <w:r>
              <w:rPr>
                <w:rFonts w:cs="Times New Roman"/>
                <w:color w:val="000000"/>
              </w:rPr>
              <w:t>Em andamento</w:t>
            </w:r>
          </w:p>
        </w:tc>
      </w:tr>
      <w:tr w:rsidR="00D4507A" w14:paraId="70476D37" w14:textId="77777777" w:rsidTr="00D4507A">
        <w:trPr>
          <w:trHeight w:val="1272"/>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67A7" w14:textId="77777777" w:rsidR="00D4507A" w:rsidRDefault="00D4507A" w:rsidP="00D4507A">
            <w:pPr>
              <w:pStyle w:val="Standard"/>
              <w:jc w:val="both"/>
            </w:pPr>
            <w:r>
              <w:rPr>
                <w:rFonts w:cs="Times New Roman"/>
                <w:color w:val="000000"/>
              </w:rPr>
              <w:t xml:space="preserve">PCP 17 - Reconhecimento, mensuração e evidenciação dos </w:t>
            </w:r>
            <w:r>
              <w:rPr>
                <w:rFonts w:cs="Times New Roman"/>
                <w:b/>
                <w:bCs/>
                <w:color w:val="000000"/>
              </w:rPr>
              <w:t>investimentos permanentes</w:t>
            </w:r>
            <w:r>
              <w:rPr>
                <w:rFonts w:cs="Times New Roman"/>
                <w:color w:val="000000"/>
              </w:rPr>
              <w:t xml:space="preserve">, e respetivos ajustes para perdas e redução ao valor recuperável. </w:t>
            </w:r>
          </w:p>
          <w:p w14:paraId="452E3268" w14:textId="77777777" w:rsidR="00D4507A" w:rsidRDefault="00D4507A" w:rsidP="00D4507A">
            <w:pPr>
              <w:pStyle w:val="Standard"/>
              <w:jc w:val="both"/>
              <w:rPr>
                <w:rFonts w:cs="Times New Roman"/>
                <w:color w:val="000000"/>
              </w:rPr>
            </w:pPr>
            <w:r>
              <w:rPr>
                <w:rFonts w:cs="Times New Roman"/>
                <w:color w:val="000000"/>
              </w:rPr>
              <w:t xml:space="preserve">União </w:t>
            </w:r>
          </w:p>
          <w:p w14:paraId="1850973A"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63E92" w14:textId="77777777" w:rsidR="00D4507A" w:rsidRDefault="00D4507A" w:rsidP="00D4507A">
            <w:pPr>
              <w:pStyle w:val="Standard"/>
              <w:jc w:val="center"/>
              <w:rPr>
                <w:rFonts w:cs="Times New Roman"/>
                <w:color w:val="000000"/>
              </w:rPr>
            </w:pPr>
            <w:r>
              <w:rPr>
                <w:rFonts w:cs="Times New Roman"/>
                <w:color w:val="000000"/>
              </w:rPr>
              <w:t>Imediato</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B5136"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499689FC" w14:textId="77777777" w:rsidTr="00D4507A">
        <w:trPr>
          <w:trHeight w:val="501"/>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C6B2" w14:textId="77777777" w:rsidR="00D4507A" w:rsidRDefault="00D4507A" w:rsidP="00D4507A">
            <w:pPr>
              <w:pStyle w:val="Standard"/>
              <w:jc w:val="both"/>
            </w:pPr>
            <w:r>
              <w:rPr>
                <w:rFonts w:cs="Times New Roman"/>
                <w:color w:val="000000"/>
              </w:rPr>
              <w:t xml:space="preserve">PCP 18 - Reconhecimento, mensuração e evidenciação dos </w:t>
            </w:r>
            <w:r>
              <w:rPr>
                <w:rFonts w:cs="Times New Roman"/>
                <w:b/>
                <w:bCs/>
                <w:color w:val="000000"/>
              </w:rPr>
              <w:t>estoques.</w:t>
            </w:r>
          </w:p>
          <w:p w14:paraId="4D149446"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913C7" w14:textId="77777777" w:rsidR="00D4507A" w:rsidRDefault="00D4507A" w:rsidP="00D4507A">
            <w:pPr>
              <w:pStyle w:val="Standard"/>
              <w:jc w:val="center"/>
              <w:rPr>
                <w:rFonts w:cs="Times New Roman"/>
                <w:color w:val="000000"/>
              </w:rPr>
            </w:pPr>
            <w:r>
              <w:rPr>
                <w:rFonts w:cs="Times New Roman"/>
                <w:color w:val="000000"/>
              </w:rPr>
              <w:t>2019</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84AD" w14:textId="77777777" w:rsidR="00D4507A" w:rsidRDefault="00D4507A" w:rsidP="00D4507A">
            <w:pPr>
              <w:pStyle w:val="Standard"/>
              <w:jc w:val="both"/>
              <w:rPr>
                <w:rFonts w:cs="Times New Roman"/>
                <w:color w:val="000000"/>
              </w:rPr>
            </w:pPr>
            <w:r>
              <w:rPr>
                <w:rFonts w:cs="Times New Roman"/>
                <w:color w:val="000000"/>
              </w:rPr>
              <w:t>Implantado</w:t>
            </w:r>
          </w:p>
        </w:tc>
      </w:tr>
      <w:tr w:rsidR="00D4507A" w14:paraId="6EFA28C1" w14:textId="77777777" w:rsidTr="00D4507A">
        <w:trPr>
          <w:trHeight w:val="1012"/>
          <w:jc w:val="center"/>
        </w:trPr>
        <w:tc>
          <w:tcPr>
            <w:tcW w:w="6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857AC" w14:textId="77777777" w:rsidR="00D4507A" w:rsidRDefault="00D4507A" w:rsidP="00D4507A">
            <w:pPr>
              <w:pStyle w:val="Standard"/>
              <w:jc w:val="both"/>
            </w:pPr>
            <w:r>
              <w:rPr>
                <w:rFonts w:cs="Times New Roman"/>
                <w:color w:val="000000"/>
              </w:rPr>
              <w:t xml:space="preserve">PCP 19 - Reconhecimento, mensuração e evidenciação </w:t>
            </w:r>
            <w:r>
              <w:rPr>
                <w:rFonts w:cs="Times New Roman"/>
                <w:b/>
                <w:bCs/>
                <w:color w:val="000000"/>
              </w:rPr>
              <w:t xml:space="preserve">dos demais aspectos referentes aos procedimentos patrimoniais estabelecidos nas IPSAS, NBC TSP e MCASP </w:t>
            </w:r>
            <w:r>
              <w:rPr>
                <w:rFonts w:cs="Times New Roman"/>
                <w:color w:val="000000"/>
              </w:rPr>
              <w:t xml:space="preserve">(a partir de 01/01/2021). </w:t>
            </w:r>
          </w:p>
          <w:p w14:paraId="1F883422" w14:textId="77777777" w:rsidR="00D4507A" w:rsidRDefault="00D4507A" w:rsidP="00D4507A">
            <w:pPr>
              <w:pStyle w:val="Standard"/>
              <w:jc w:val="both"/>
              <w:rPr>
                <w:rFonts w:cs="Times New Roman"/>
                <w:color w:val="00000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BD3D" w14:textId="77777777" w:rsidR="00D4507A" w:rsidRDefault="00D4507A" w:rsidP="00D4507A">
            <w:pPr>
              <w:pStyle w:val="Standard"/>
              <w:jc w:val="center"/>
              <w:rPr>
                <w:rFonts w:cs="Times New Roman"/>
                <w:color w:val="000000"/>
              </w:rPr>
            </w:pPr>
            <w:r>
              <w:rPr>
                <w:rFonts w:cs="Times New Roman"/>
                <w:color w:val="000000"/>
              </w:rPr>
              <w:t>A definir</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CB28A" w14:textId="77777777" w:rsidR="00D4507A" w:rsidRDefault="00D4507A" w:rsidP="00D4507A">
            <w:pPr>
              <w:pStyle w:val="Standard"/>
              <w:jc w:val="both"/>
              <w:rPr>
                <w:rFonts w:cs="Times New Roman"/>
                <w:color w:val="000000"/>
              </w:rPr>
            </w:pPr>
          </w:p>
        </w:tc>
      </w:tr>
    </w:tbl>
    <w:p w14:paraId="0DFA5F0A" w14:textId="77777777" w:rsidR="00D4507A" w:rsidRDefault="00D4507A" w:rsidP="00D4507A">
      <w:pPr>
        <w:pStyle w:val="Standard"/>
        <w:jc w:val="both"/>
        <w:rPr>
          <w:rFonts w:cs="Times New Roman"/>
          <w:b/>
          <w:bCs/>
          <w:color w:val="FF0000"/>
        </w:rPr>
      </w:pPr>
    </w:p>
    <w:p w14:paraId="591CBDE6" w14:textId="77777777" w:rsidR="00D4507A" w:rsidRDefault="00D4507A" w:rsidP="00D4507A">
      <w:pPr>
        <w:pStyle w:val="Standard"/>
        <w:jc w:val="both"/>
        <w:rPr>
          <w:rFonts w:cs="Times New Roman"/>
          <w:b/>
        </w:rPr>
      </w:pPr>
    </w:p>
    <w:p w14:paraId="3751397D" w14:textId="77777777" w:rsidR="00D4507A" w:rsidRDefault="00D4507A" w:rsidP="001F5575">
      <w:pPr>
        <w:pStyle w:val="Standard"/>
        <w:ind w:right="-708"/>
        <w:jc w:val="both"/>
        <w:sectPr w:rsidR="00D4507A">
          <w:pgSz w:w="11906" w:h="16838"/>
          <w:pgMar w:top="426" w:right="1274" w:bottom="1135" w:left="1701" w:header="720" w:footer="720" w:gutter="0"/>
          <w:cols w:space="720"/>
        </w:sectPr>
      </w:pPr>
    </w:p>
    <w:p w14:paraId="0ED993A1" w14:textId="77777777" w:rsidR="00D4507A" w:rsidRDefault="00D4507A" w:rsidP="00321095">
      <w:pPr>
        <w:pStyle w:val="Standard"/>
        <w:jc w:val="both"/>
        <w:rPr>
          <w:rFonts w:cs="Times New Roman"/>
          <w:b/>
          <w:bCs/>
        </w:rPr>
      </w:pPr>
    </w:p>
    <w:p w14:paraId="52F37B2A" w14:textId="771F28D7" w:rsidR="00321095" w:rsidRPr="00416531" w:rsidRDefault="00321095" w:rsidP="00321095">
      <w:pPr>
        <w:pStyle w:val="Standard"/>
        <w:jc w:val="both"/>
        <w:rPr>
          <w:rFonts w:cs="Times New Roman"/>
          <w:b/>
          <w:bCs/>
        </w:rPr>
      </w:pPr>
      <w:proofErr w:type="gramStart"/>
      <w:r>
        <w:rPr>
          <w:rFonts w:cs="Times New Roman"/>
          <w:b/>
          <w:bCs/>
        </w:rPr>
        <w:t>5</w:t>
      </w:r>
      <w:proofErr w:type="gramEnd"/>
      <w:r w:rsidRPr="00416531">
        <w:rPr>
          <w:rFonts w:cs="Times New Roman"/>
          <w:b/>
          <w:bCs/>
        </w:rPr>
        <w:t>) Notas Explicativas aos It</w:t>
      </w:r>
      <w:r w:rsidR="001F5575">
        <w:rPr>
          <w:rFonts w:cs="Times New Roman"/>
          <w:b/>
          <w:bCs/>
        </w:rPr>
        <w:t>ens das Demonstrações Contábeis</w:t>
      </w:r>
    </w:p>
    <w:p w14:paraId="61C8D824" w14:textId="77777777" w:rsidR="00321095" w:rsidRPr="00416531" w:rsidRDefault="00321095" w:rsidP="00321095">
      <w:pPr>
        <w:pStyle w:val="Standard"/>
        <w:jc w:val="both"/>
        <w:rPr>
          <w:rFonts w:cs="Times New Roman"/>
          <w:b/>
          <w:bCs/>
        </w:rPr>
      </w:pPr>
    </w:p>
    <w:p w14:paraId="7118CDC5" w14:textId="77777777" w:rsidR="00321095" w:rsidRPr="00416531" w:rsidRDefault="00321095" w:rsidP="00321095">
      <w:pPr>
        <w:pStyle w:val="Standard"/>
        <w:jc w:val="both"/>
        <w:rPr>
          <w:rFonts w:cs="Times New Roman"/>
          <w:b/>
          <w:bCs/>
        </w:rPr>
      </w:pPr>
      <w:r w:rsidRPr="00416531">
        <w:rPr>
          <w:rFonts w:cs="Times New Roman"/>
          <w:b/>
          <w:bCs/>
        </w:rPr>
        <w:t>BALANÇO PATRIMONIAL</w:t>
      </w:r>
    </w:p>
    <w:p w14:paraId="5F9ADF99" w14:textId="77777777" w:rsidR="00321095" w:rsidRPr="00416531" w:rsidRDefault="00321095" w:rsidP="00321095">
      <w:pPr>
        <w:pStyle w:val="Standard"/>
        <w:jc w:val="both"/>
        <w:rPr>
          <w:rFonts w:eastAsia="Times New Roman" w:cs="Times New Roman"/>
          <w:b/>
          <w:kern w:val="0"/>
          <w:lang w:eastAsia="en-US" w:bidi="ar-SA"/>
        </w:rPr>
      </w:pPr>
    </w:p>
    <w:p w14:paraId="5380D31D" w14:textId="77777777" w:rsidR="00321095" w:rsidRPr="007C4D42" w:rsidRDefault="00321095" w:rsidP="00321095">
      <w:pPr>
        <w:pStyle w:val="Standard"/>
        <w:jc w:val="both"/>
        <w:rPr>
          <w:rFonts w:cs="Times New Roman"/>
          <w:b/>
          <w:bCs/>
        </w:rPr>
      </w:pPr>
      <w:r w:rsidRPr="007C4D42">
        <w:rPr>
          <w:rFonts w:cs="Times New Roman"/>
          <w:b/>
          <w:bCs/>
        </w:rPr>
        <w:t>Nota 01 – Empréstimos e Financiamentos Concedidos – Curto Prazo</w:t>
      </w:r>
    </w:p>
    <w:p w14:paraId="102FD3E8" w14:textId="77777777" w:rsidR="00321095" w:rsidRPr="007C4D42" w:rsidRDefault="00321095" w:rsidP="00321095">
      <w:pPr>
        <w:pStyle w:val="Standard"/>
        <w:jc w:val="both"/>
        <w:rPr>
          <w:rFonts w:cs="Times New Roman"/>
          <w:bCs/>
        </w:rPr>
      </w:pPr>
    </w:p>
    <w:p w14:paraId="15E132FE" w14:textId="77777777" w:rsidR="00321095" w:rsidRPr="00F43189" w:rsidRDefault="00321095" w:rsidP="00321095">
      <w:pPr>
        <w:pStyle w:val="Standard"/>
        <w:jc w:val="both"/>
        <w:rPr>
          <w:rFonts w:cs="Times New Roman"/>
          <w:bCs/>
        </w:rPr>
      </w:pPr>
      <w:r w:rsidRPr="007C4D42">
        <w:rPr>
          <w:rFonts w:cs="Times New Roman"/>
          <w:bCs/>
        </w:rPr>
        <w:t xml:space="preserve">No quarto trimestre de 2020, no Ativo Circulante, a variação absoluta aumentativa de R$ 9.575.245.674,97, na conta de </w:t>
      </w:r>
      <w:r w:rsidRPr="007C4D42">
        <w:rPr>
          <w:rFonts w:cs="Times New Roman"/>
          <w:b/>
          <w:bCs/>
          <w:i/>
        </w:rPr>
        <w:t>Empréstimos e Financiamentos Concedidos a Curto Prazo</w:t>
      </w:r>
      <w:r w:rsidRPr="007C4D42">
        <w:rPr>
          <w:rFonts w:cs="Times New Roman"/>
          <w:bCs/>
        </w:rPr>
        <w:t>, representou uma variação a maior de 51,74%. O Fundo Constitucional de Financiamento do Centro Oeste – FCO foi o responsável pelo maior acréscimo decorrente deste grupo de contas, em decorrência de transferências de saldos da conta Empréstimos e Financiamentos Concedidos de longo prazo para o curto prazo, no valor de R$5.000.000.000,00, no mês de fevereiro de 2020 que manteve seu impacto nos demais trimestres.</w:t>
      </w:r>
      <w:r>
        <w:rPr>
          <w:rFonts w:cs="Times New Roman"/>
          <w:bCs/>
          <w:color w:val="FF0000"/>
        </w:rPr>
        <w:t xml:space="preserve"> </w:t>
      </w:r>
      <w:r w:rsidRPr="00F43189">
        <w:rPr>
          <w:rFonts w:cs="Times New Roman"/>
          <w:bCs/>
        </w:rPr>
        <w:t>Esta conta representou 12,69% do total do Ativo no trimestre.</w:t>
      </w:r>
    </w:p>
    <w:p w14:paraId="7B6DE73A" w14:textId="77777777" w:rsidR="00321095" w:rsidRPr="007C4D42" w:rsidRDefault="00321095" w:rsidP="00321095">
      <w:pPr>
        <w:pStyle w:val="Standard"/>
        <w:jc w:val="both"/>
        <w:rPr>
          <w:rFonts w:cs="Times New Roman"/>
          <w:bCs/>
          <w:color w:val="FF0000"/>
        </w:rPr>
      </w:pPr>
    </w:p>
    <w:p w14:paraId="424C9BAC" w14:textId="77777777" w:rsidR="00321095" w:rsidRPr="0045670D" w:rsidRDefault="00321095" w:rsidP="00321095">
      <w:pPr>
        <w:pStyle w:val="Standard"/>
        <w:jc w:val="both"/>
        <w:rPr>
          <w:rFonts w:cs="Times New Roman"/>
          <w:b/>
        </w:rPr>
      </w:pPr>
      <w:r w:rsidRPr="0045670D">
        <w:rPr>
          <w:rFonts w:cs="Times New Roman"/>
          <w:b/>
          <w:bCs/>
        </w:rPr>
        <w:t xml:space="preserve">Nota 02 – </w:t>
      </w:r>
      <w:r w:rsidRPr="0045670D">
        <w:rPr>
          <w:rFonts w:cs="Times New Roman"/>
          <w:b/>
        </w:rPr>
        <w:t>Empréstimos e Financiamentos a Longo Prazo</w:t>
      </w:r>
    </w:p>
    <w:p w14:paraId="0FFCFC37" w14:textId="77777777" w:rsidR="00321095" w:rsidRPr="0045670D" w:rsidRDefault="00321095" w:rsidP="00D53E74">
      <w:pPr>
        <w:pStyle w:val="Standard"/>
        <w:jc w:val="both"/>
        <w:rPr>
          <w:rFonts w:cs="Times New Roman"/>
          <w:bCs/>
        </w:rPr>
      </w:pPr>
    </w:p>
    <w:p w14:paraId="77647E94" w14:textId="77777777" w:rsidR="00321095" w:rsidRPr="0045670D" w:rsidRDefault="00321095" w:rsidP="00D53E74">
      <w:pPr>
        <w:pStyle w:val="Standard"/>
        <w:jc w:val="both"/>
        <w:rPr>
          <w:rFonts w:eastAsia="Times New Roman" w:cs="Times New Roman"/>
          <w:b/>
          <w:kern w:val="0"/>
          <w:lang w:eastAsia="en-US" w:bidi="ar-SA"/>
        </w:rPr>
      </w:pPr>
      <w:r w:rsidRPr="0045670D">
        <w:rPr>
          <w:rFonts w:cs="Times New Roman"/>
          <w:bCs/>
        </w:rPr>
        <w:t xml:space="preserve">No quarto trimestre de 2020, ocorreu uma variação absoluta de R$ 12.382.640.553,54 na conta de </w:t>
      </w:r>
      <w:r w:rsidRPr="0045670D">
        <w:rPr>
          <w:rFonts w:cs="Times New Roman"/>
          <w:b/>
          <w:bCs/>
          <w:i/>
        </w:rPr>
        <w:t>Empréstimos e Financiamentos Concedidos a Longo Prazo</w:t>
      </w:r>
      <w:r w:rsidRPr="0045670D">
        <w:rPr>
          <w:rFonts w:cs="Times New Roman"/>
          <w:bCs/>
        </w:rPr>
        <w:t>, representando uma variação percentual de 10,11%. O Fundo Constitucional de Financiamento do Nordeste – FNE e o Fundo Constitucional de Financiamento do Norte - FNO foram os responsáveis pelo maior acréscimo decorrente de contratos de empréstimos e financiamentos concedidos, incluindo os encargos contratuais de juros e correção monetária incidentes sobre as operações de créditos. Esta Conta representou 60,92% do total do Ativo no trimestre.</w:t>
      </w:r>
    </w:p>
    <w:p w14:paraId="6558E13C" w14:textId="77777777" w:rsidR="00321095" w:rsidRPr="007C4D42" w:rsidRDefault="00321095" w:rsidP="00D53E74">
      <w:pPr>
        <w:pStyle w:val="Standard"/>
        <w:jc w:val="both"/>
        <w:rPr>
          <w:color w:val="FF0000"/>
        </w:rPr>
      </w:pPr>
    </w:p>
    <w:p w14:paraId="1DC5A32D" w14:textId="77777777" w:rsidR="00321095" w:rsidRPr="00F9557F" w:rsidRDefault="00321095" w:rsidP="00321095">
      <w:pPr>
        <w:pStyle w:val="Standard"/>
        <w:jc w:val="both"/>
        <w:rPr>
          <w:rFonts w:cs="Times New Roman"/>
          <w:b/>
          <w:bCs/>
        </w:rPr>
      </w:pPr>
      <w:r w:rsidRPr="00F9557F">
        <w:rPr>
          <w:rFonts w:cs="Times New Roman"/>
          <w:b/>
          <w:bCs/>
        </w:rPr>
        <w:t>Nota 03 – Diferido/Amortização Acumulada</w:t>
      </w:r>
    </w:p>
    <w:p w14:paraId="4211A9CC" w14:textId="77777777" w:rsidR="00321095" w:rsidRPr="00F9557F" w:rsidRDefault="00321095" w:rsidP="00321095">
      <w:pPr>
        <w:pStyle w:val="Standard"/>
        <w:jc w:val="both"/>
        <w:rPr>
          <w:rFonts w:cs="Times New Roman"/>
          <w:bCs/>
        </w:rPr>
      </w:pPr>
    </w:p>
    <w:p w14:paraId="3AABD6A5" w14:textId="77777777" w:rsidR="00321095" w:rsidRPr="007C4D42" w:rsidRDefault="00321095" w:rsidP="00321095">
      <w:pPr>
        <w:pStyle w:val="Standard"/>
        <w:jc w:val="both"/>
        <w:rPr>
          <w:rFonts w:cs="Times New Roman"/>
          <w:bCs/>
          <w:color w:val="FF0000"/>
        </w:rPr>
      </w:pPr>
      <w:r w:rsidRPr="00F9557F">
        <w:rPr>
          <w:rFonts w:cs="Times New Roman"/>
          <w:bCs/>
        </w:rPr>
        <w:t xml:space="preserve">Houve redução de 78,96% no grupo Diferido, em virtude aumento de amortização na Companhia Brasileira de Trens Urbanos, unidade da Bahia. A variação absoluta foi de R$ 547.842,35 e </w:t>
      </w:r>
      <w:r>
        <w:rPr>
          <w:rFonts w:cs="Times New Roman"/>
          <w:bCs/>
        </w:rPr>
        <w:t>conforme</w:t>
      </w:r>
      <w:r w:rsidRPr="00F9557F">
        <w:rPr>
          <w:rFonts w:cs="Times New Roman"/>
          <w:bCs/>
        </w:rPr>
        <w:t xml:space="preserve"> escrituração contábil a amortização foi encerrada em julho de 2020.</w:t>
      </w:r>
    </w:p>
    <w:p w14:paraId="6D56421E" w14:textId="77777777" w:rsidR="00321095" w:rsidRPr="007C4D42" w:rsidRDefault="00321095" w:rsidP="00321095">
      <w:pPr>
        <w:pStyle w:val="Standard"/>
        <w:jc w:val="both"/>
        <w:rPr>
          <w:rFonts w:cs="Times New Roman"/>
          <w:bCs/>
          <w:color w:val="FF0000"/>
        </w:rPr>
      </w:pPr>
    </w:p>
    <w:p w14:paraId="2133725C" w14:textId="77777777" w:rsidR="00321095" w:rsidRPr="0034735D" w:rsidRDefault="00321095" w:rsidP="00321095">
      <w:pPr>
        <w:pStyle w:val="Standard"/>
        <w:jc w:val="both"/>
        <w:rPr>
          <w:rFonts w:cs="Times New Roman"/>
          <w:b/>
        </w:rPr>
      </w:pPr>
      <w:r w:rsidRPr="0034735D">
        <w:rPr>
          <w:rFonts w:cs="Times New Roman"/>
          <w:b/>
        </w:rPr>
        <w:t>Nota 04 – Provis</w:t>
      </w:r>
      <w:r>
        <w:rPr>
          <w:rFonts w:cs="Times New Roman"/>
          <w:b/>
        </w:rPr>
        <w:t>ões</w:t>
      </w:r>
      <w:r w:rsidRPr="0034735D">
        <w:rPr>
          <w:rFonts w:cs="Times New Roman"/>
          <w:b/>
        </w:rPr>
        <w:t xml:space="preserve"> a Curto prazo</w:t>
      </w:r>
    </w:p>
    <w:p w14:paraId="4DB6F7D5" w14:textId="77777777" w:rsidR="00321095" w:rsidRPr="0034735D" w:rsidRDefault="00321095" w:rsidP="00321095">
      <w:pPr>
        <w:pStyle w:val="Standard"/>
        <w:jc w:val="both"/>
        <w:rPr>
          <w:rFonts w:cs="Times New Roman"/>
          <w:bCs/>
        </w:rPr>
      </w:pPr>
      <w:r w:rsidRPr="0034735D">
        <w:rPr>
          <w:rFonts w:cs="Times New Roman"/>
          <w:bCs/>
        </w:rPr>
        <w:t xml:space="preserve"> </w:t>
      </w:r>
    </w:p>
    <w:p w14:paraId="7F4E79FF" w14:textId="77777777" w:rsidR="00321095" w:rsidRPr="0034735D" w:rsidRDefault="00321095" w:rsidP="00321095">
      <w:pPr>
        <w:pStyle w:val="Standard"/>
        <w:jc w:val="both"/>
        <w:rPr>
          <w:rFonts w:cs="Times New Roman"/>
          <w:bCs/>
        </w:rPr>
      </w:pPr>
      <w:r w:rsidRPr="0034735D">
        <w:rPr>
          <w:rFonts w:cs="Times New Roman"/>
          <w:bCs/>
        </w:rPr>
        <w:t>No quarto trimestre de 2020 ocorreu uma redução de 89,98% em Provisões a Curto Prazo, ocorrid</w:t>
      </w:r>
      <w:r>
        <w:rPr>
          <w:rFonts w:cs="Times New Roman"/>
          <w:bCs/>
        </w:rPr>
        <w:t>a majoritariamente</w:t>
      </w:r>
      <w:r w:rsidRPr="0034735D">
        <w:rPr>
          <w:rFonts w:cs="Times New Roman"/>
          <w:bCs/>
        </w:rPr>
        <w:t xml:space="preserve"> na Companhia Brasileira de Trens Urbanos, ocasionada pela baixa</w:t>
      </w:r>
      <w:r>
        <w:rPr>
          <w:rFonts w:cs="Times New Roman"/>
          <w:bCs/>
        </w:rPr>
        <w:t xml:space="preserve"> </w:t>
      </w:r>
      <w:r w:rsidRPr="0034735D">
        <w:rPr>
          <w:rFonts w:cs="Times New Roman"/>
          <w:bCs/>
        </w:rPr>
        <w:t>em dezembro dos altos valores registrados em Provisões para Indenizações Cíveis e Provisões para pagamentos de autuações fiscais que se encontram na esfera judicial em fase recursal, na unidade da Administração Central.</w:t>
      </w:r>
      <w:r>
        <w:rPr>
          <w:rFonts w:cs="Times New Roman"/>
          <w:bCs/>
        </w:rPr>
        <w:t xml:space="preserve"> Essas provisões foram registradas no final de 2019 e os saldos baixadas em 2020.</w:t>
      </w:r>
    </w:p>
    <w:p w14:paraId="00AB20C1" w14:textId="77777777" w:rsidR="00321095" w:rsidRPr="007C4D42" w:rsidRDefault="00321095" w:rsidP="00321095">
      <w:pPr>
        <w:pStyle w:val="Standard"/>
        <w:jc w:val="both"/>
        <w:rPr>
          <w:rFonts w:cs="Times New Roman"/>
          <w:bCs/>
          <w:color w:val="FF0000"/>
        </w:rPr>
      </w:pPr>
    </w:p>
    <w:p w14:paraId="40143BFE" w14:textId="77777777" w:rsidR="00321095" w:rsidRPr="00C03B4A" w:rsidRDefault="00321095" w:rsidP="00321095">
      <w:pPr>
        <w:pStyle w:val="Standard"/>
        <w:jc w:val="both"/>
        <w:rPr>
          <w:rFonts w:cs="Times New Roman"/>
          <w:b/>
        </w:rPr>
      </w:pPr>
      <w:r w:rsidRPr="00C03B4A">
        <w:rPr>
          <w:rFonts w:cs="Times New Roman"/>
          <w:b/>
        </w:rPr>
        <w:t>Nota 05 – Provisão a Longo Prazo</w:t>
      </w:r>
    </w:p>
    <w:p w14:paraId="634E5BBC" w14:textId="77777777" w:rsidR="00321095" w:rsidRPr="00C03B4A" w:rsidRDefault="00321095" w:rsidP="00321095">
      <w:pPr>
        <w:pStyle w:val="Standard"/>
        <w:jc w:val="both"/>
      </w:pPr>
    </w:p>
    <w:p w14:paraId="50222625" w14:textId="77777777" w:rsidR="00321095" w:rsidRPr="00C03B4A" w:rsidRDefault="00321095" w:rsidP="00D53E74">
      <w:pPr>
        <w:pStyle w:val="Standard"/>
        <w:jc w:val="both"/>
      </w:pPr>
      <w:r w:rsidRPr="00C03B4A">
        <w:t>Houve aumento absoluto de R$ 2.886.252.620,40, representando variação de 1.536,25%, neste grupo do passivo, também em sua totalidade na Companhia Brasileira de Trens Urbanos e impactado praticamente pela unidade da Administração Central. É relativo a registros de Provisões para Indenizações Trabalhistas para 2021, sendo que em 2019 não houve registro dessa provisão nessa unidade.</w:t>
      </w:r>
    </w:p>
    <w:p w14:paraId="491E3408" w14:textId="77777777" w:rsidR="00321095" w:rsidRPr="007C4D42" w:rsidRDefault="00321095" w:rsidP="00321095">
      <w:pPr>
        <w:pStyle w:val="Standard"/>
        <w:jc w:val="both"/>
        <w:rPr>
          <w:color w:val="FF0000"/>
        </w:rPr>
      </w:pPr>
    </w:p>
    <w:p w14:paraId="26BEE189" w14:textId="77777777" w:rsidR="00321095" w:rsidRPr="007C4D42" w:rsidRDefault="00321095" w:rsidP="00321095">
      <w:pPr>
        <w:pStyle w:val="Standard"/>
        <w:jc w:val="both"/>
        <w:rPr>
          <w:color w:val="FF0000"/>
        </w:rPr>
      </w:pPr>
    </w:p>
    <w:p w14:paraId="03DF1B51" w14:textId="77777777" w:rsidR="00321095" w:rsidRPr="00C37C11" w:rsidRDefault="00321095" w:rsidP="00321095">
      <w:pPr>
        <w:pStyle w:val="Ttulo3"/>
        <w:ind w:left="360" w:hanging="360"/>
        <w:rPr>
          <w:rFonts w:ascii="Times New Roman" w:hAnsi="Times New Roman"/>
          <w:sz w:val="24"/>
        </w:rPr>
      </w:pPr>
      <w:r w:rsidRPr="00C37C11">
        <w:rPr>
          <w:rFonts w:ascii="Times New Roman" w:hAnsi="Times New Roman"/>
          <w:sz w:val="24"/>
        </w:rPr>
        <w:lastRenderedPageBreak/>
        <w:t xml:space="preserve">Nota </w:t>
      </w:r>
      <w:r>
        <w:rPr>
          <w:rFonts w:ascii="Times New Roman" w:hAnsi="Times New Roman"/>
          <w:sz w:val="24"/>
        </w:rPr>
        <w:t>06</w:t>
      </w:r>
      <w:r w:rsidRPr="00C37C11">
        <w:rPr>
          <w:rFonts w:ascii="Times New Roman" w:hAnsi="Times New Roman"/>
          <w:sz w:val="24"/>
        </w:rPr>
        <w:t xml:space="preserve"> – Patrimônio Líquido/Resultados de exercícios anteriores</w:t>
      </w:r>
    </w:p>
    <w:p w14:paraId="21279E09" w14:textId="77777777" w:rsidR="00321095" w:rsidRPr="00C37C11" w:rsidRDefault="00321095" w:rsidP="00321095">
      <w:pPr>
        <w:rPr>
          <w:lang w:eastAsia="en-US" w:bidi="ar-SA"/>
        </w:rPr>
      </w:pPr>
    </w:p>
    <w:p w14:paraId="07E68E2C" w14:textId="77777777" w:rsidR="00321095" w:rsidRDefault="00321095" w:rsidP="00321095">
      <w:pPr>
        <w:pStyle w:val="Standard"/>
        <w:jc w:val="both"/>
        <w:rPr>
          <w:color w:val="FF0000"/>
        </w:rPr>
      </w:pPr>
      <w:r w:rsidRPr="00C37C11">
        <w:rPr>
          <w:rFonts w:eastAsia="Times New Roman" w:cs="Times New Roman"/>
          <w:kern w:val="0"/>
          <w:lang w:eastAsia="en-US" w:bidi="ar-SA"/>
        </w:rPr>
        <w:t xml:space="preserve">A conta de </w:t>
      </w:r>
      <w:r w:rsidRPr="00C37C11">
        <w:rPr>
          <w:b/>
          <w:i/>
        </w:rPr>
        <w:t xml:space="preserve">Resultados de Exercícios Anteriores </w:t>
      </w:r>
      <w:r w:rsidRPr="00C37C11">
        <w:rPr>
          <w:rFonts w:eastAsia="Times New Roman" w:cs="Times New Roman"/>
          <w:kern w:val="0"/>
          <w:lang w:eastAsia="en-US" w:bidi="ar-SA"/>
        </w:rPr>
        <w:t>do grupo Resultados Acumulados – PL,</w:t>
      </w:r>
      <w:r>
        <w:rPr>
          <w:rFonts w:eastAsia="Times New Roman" w:cs="Times New Roman"/>
          <w:i/>
          <w:kern w:val="0"/>
          <w:lang w:eastAsia="en-US" w:bidi="ar-SA"/>
        </w:rPr>
        <w:t xml:space="preserve"> </w:t>
      </w:r>
      <w:r w:rsidRPr="00C37C11">
        <w:rPr>
          <w:rFonts w:eastAsia="Times New Roman" w:cs="Times New Roman"/>
          <w:kern w:val="0"/>
          <w:lang w:eastAsia="en-US" w:bidi="ar-SA"/>
        </w:rPr>
        <w:t xml:space="preserve">apresentou um acréscimo percentual no quarto trimestre de 8,15%, em relação ao exercício de 2019, evidenciando uma variação absoluta aumentativa de R$ 13.435.527.240,55. </w:t>
      </w:r>
      <w:r>
        <w:rPr>
          <w:rFonts w:eastAsia="Times New Roman" w:cs="Times New Roman"/>
          <w:kern w:val="0"/>
          <w:lang w:eastAsia="en-US" w:bidi="ar-SA"/>
        </w:rPr>
        <w:t>As maiores variações de acréscimo referente a Superávit Financeiro ocorreram na Agência Nacional de Águas e no Ministério do Desenvolvimento Regional, especialmente na Secretaria Nacional de Segurança Hídrica e na Secretaria Nacional de Defesa Civil, nessas últimas relacionados à transferência de saldos de Ajustes de Exercícios Anteriores para Superávit na abertura do exercício de 2020. A Companhia de Desenvolvimento dos Vales do São Francisco e do Parnaíba, apresentou variação aumentativa em Prejuízos Acumulado de Exercícios Anteriores, com mais expressão na Administração Central.</w:t>
      </w:r>
      <w:r w:rsidRPr="007C4D42">
        <w:rPr>
          <w:rFonts w:cs="Times New Roman"/>
          <w:bCs/>
          <w:color w:val="FF0000"/>
        </w:rPr>
        <w:t xml:space="preserve"> </w:t>
      </w:r>
      <w:r w:rsidRPr="003B7B8F">
        <w:t>Este Grupo de Contas representou o percentual de 80,55% do total do Passivo e Patrimônio Líquido</w:t>
      </w:r>
      <w:r w:rsidRPr="007C4D42">
        <w:rPr>
          <w:color w:val="FF0000"/>
        </w:rPr>
        <w:t>.</w:t>
      </w:r>
    </w:p>
    <w:p w14:paraId="32E8EBBA" w14:textId="77777777" w:rsidR="001946F9" w:rsidRDefault="001946F9" w:rsidP="00321095">
      <w:pPr>
        <w:pStyle w:val="Standard"/>
        <w:jc w:val="both"/>
        <w:rPr>
          <w:color w:val="FF0000"/>
        </w:rPr>
      </w:pPr>
    </w:p>
    <w:p w14:paraId="2CA80BD3" w14:textId="77777777" w:rsidR="001946F9" w:rsidRDefault="001946F9" w:rsidP="00321095">
      <w:pPr>
        <w:pStyle w:val="Standard"/>
        <w:jc w:val="both"/>
        <w:rPr>
          <w:color w:val="FF0000"/>
        </w:rPr>
      </w:pPr>
    </w:p>
    <w:p w14:paraId="45DA5B8B" w14:textId="77777777" w:rsidR="001946F9" w:rsidRPr="00667AF2" w:rsidRDefault="001946F9" w:rsidP="001946F9">
      <w:pPr>
        <w:pStyle w:val="Standard"/>
        <w:jc w:val="both"/>
        <w:rPr>
          <w:rFonts w:cs="Times New Roman"/>
          <w:b/>
          <w:bCs/>
          <w:color w:val="000000" w:themeColor="text1"/>
        </w:rPr>
      </w:pPr>
      <w:r w:rsidRPr="00667AF2">
        <w:rPr>
          <w:rFonts w:cs="Times New Roman"/>
          <w:b/>
          <w:bCs/>
          <w:color w:val="000000" w:themeColor="text1"/>
        </w:rPr>
        <w:t>DEMONSTRAÇÃO DAS VARIAÇÕES PATRIMONIAIS</w:t>
      </w:r>
    </w:p>
    <w:p w14:paraId="64F6BEAF" w14:textId="77777777" w:rsidR="001946F9" w:rsidRPr="00667AF2" w:rsidRDefault="001946F9" w:rsidP="001946F9">
      <w:pPr>
        <w:pStyle w:val="Standard"/>
        <w:jc w:val="both"/>
        <w:rPr>
          <w:rFonts w:cs="Times New Roman"/>
          <w:b/>
          <w:bCs/>
          <w:color w:val="000000" w:themeColor="text1"/>
        </w:rPr>
      </w:pPr>
    </w:p>
    <w:p w14:paraId="68FE1B96" w14:textId="77777777" w:rsidR="001946F9" w:rsidRPr="00667AF2" w:rsidRDefault="001946F9" w:rsidP="001946F9">
      <w:pPr>
        <w:jc w:val="both"/>
        <w:rPr>
          <w:rFonts w:cs="Times New Roman"/>
          <w:b/>
          <w:color w:val="000000" w:themeColor="text1"/>
        </w:rPr>
      </w:pPr>
      <w:r w:rsidRPr="00667AF2">
        <w:rPr>
          <w:rFonts w:cs="Times New Roman"/>
          <w:b/>
          <w:color w:val="000000" w:themeColor="text1"/>
        </w:rPr>
        <w:t>Nota 07 – Resultado Patrimonial</w:t>
      </w:r>
    </w:p>
    <w:p w14:paraId="7775256D" w14:textId="77777777" w:rsidR="001946F9" w:rsidRPr="00667AF2" w:rsidRDefault="001946F9" w:rsidP="001946F9">
      <w:pPr>
        <w:suppressAutoHyphens w:val="0"/>
        <w:jc w:val="both"/>
        <w:rPr>
          <w:color w:val="000000" w:themeColor="text1"/>
        </w:rPr>
      </w:pPr>
    </w:p>
    <w:p w14:paraId="6429C1EE" w14:textId="77777777" w:rsidR="001946F9" w:rsidRPr="00667AF2" w:rsidRDefault="001946F9" w:rsidP="001946F9">
      <w:pPr>
        <w:jc w:val="both"/>
        <w:rPr>
          <w:color w:val="000000" w:themeColor="text1"/>
        </w:rPr>
      </w:pPr>
      <w:r w:rsidRPr="00667AF2">
        <w:rPr>
          <w:rFonts w:cs="Arial"/>
          <w:color w:val="000000" w:themeColor="text1"/>
        </w:rPr>
        <w:t xml:space="preserve">A apuração do resultado patrimonial implica na confrontação das </w:t>
      </w:r>
      <w:r w:rsidRPr="00667AF2">
        <w:rPr>
          <w:rFonts w:cs="Arial"/>
          <w:b/>
          <w:i/>
          <w:color w:val="000000" w:themeColor="text1"/>
        </w:rPr>
        <w:t>Variações Patrimoniais</w:t>
      </w:r>
      <w:r w:rsidRPr="00667AF2">
        <w:rPr>
          <w:rFonts w:cs="Arial"/>
          <w:b/>
          <w:color w:val="000000" w:themeColor="text1"/>
        </w:rPr>
        <w:t xml:space="preserve"> </w:t>
      </w:r>
      <w:r w:rsidRPr="00667AF2">
        <w:rPr>
          <w:rFonts w:cs="Arial"/>
          <w:b/>
          <w:i/>
          <w:color w:val="000000" w:themeColor="text1"/>
        </w:rPr>
        <w:t>Aumentativas</w:t>
      </w:r>
      <w:r w:rsidRPr="00667AF2">
        <w:rPr>
          <w:rFonts w:cs="Arial"/>
          <w:color w:val="000000" w:themeColor="text1"/>
        </w:rPr>
        <w:t xml:space="preserve"> (VPA) com as </w:t>
      </w:r>
      <w:r w:rsidRPr="00667AF2">
        <w:rPr>
          <w:rFonts w:cs="Arial"/>
          <w:b/>
          <w:i/>
          <w:color w:val="000000" w:themeColor="text1"/>
        </w:rPr>
        <w:t>Variações Patrimoniais Diminutivas</w:t>
      </w:r>
      <w:r w:rsidRPr="00667AF2">
        <w:rPr>
          <w:rFonts w:cs="Arial"/>
          <w:color w:val="000000" w:themeColor="text1"/>
        </w:rPr>
        <w:t xml:space="preserve"> (VPD) e é evidenciado na Demonstração das Variações Patrimoniais – DVP.</w:t>
      </w:r>
    </w:p>
    <w:p w14:paraId="3101A0B4" w14:textId="77777777" w:rsidR="001946F9" w:rsidRPr="00667AF2" w:rsidRDefault="001946F9" w:rsidP="001946F9">
      <w:pPr>
        <w:jc w:val="both"/>
        <w:rPr>
          <w:rFonts w:cs="Arial"/>
          <w:color w:val="000000" w:themeColor="text1"/>
        </w:rPr>
      </w:pPr>
    </w:p>
    <w:p w14:paraId="267ED9AE" w14:textId="77777777" w:rsidR="001946F9" w:rsidRPr="00667AF2" w:rsidRDefault="001946F9" w:rsidP="001946F9">
      <w:pPr>
        <w:jc w:val="both"/>
        <w:rPr>
          <w:rFonts w:cs="Arial"/>
          <w:color w:val="000000" w:themeColor="text1"/>
        </w:rPr>
      </w:pPr>
      <w:r w:rsidRPr="00667AF2">
        <w:rPr>
          <w:rFonts w:cs="Arial"/>
          <w:color w:val="000000" w:themeColor="text1"/>
        </w:rPr>
        <w:t xml:space="preserve">As VPA’S são reconhecidas quando for provável que benefícios econômicos fluirão e quando puderem ser mensuradas confiavelmente, utilizando-se a lógica do regime de competência. As VPD’S são reconhecidas quando for provável que ocorrerá decréscimos nos benefícios econômicos, implicando em saída de recursos ou em redução de ativos ou na assunção de passivos, seguindo a lógica do regime de competência. </w:t>
      </w:r>
    </w:p>
    <w:p w14:paraId="6B71BC34" w14:textId="77777777" w:rsidR="001946F9" w:rsidRPr="00667AF2" w:rsidRDefault="001946F9" w:rsidP="001946F9">
      <w:pPr>
        <w:jc w:val="both"/>
        <w:rPr>
          <w:rFonts w:cs="Arial"/>
          <w:color w:val="000000" w:themeColor="text1"/>
          <w:shd w:val="clear" w:color="auto" w:fill="FFFF00"/>
        </w:rPr>
      </w:pPr>
    </w:p>
    <w:p w14:paraId="1DA83E9D" w14:textId="4922D165" w:rsidR="001946F9" w:rsidRPr="00FD672C" w:rsidRDefault="001946F9" w:rsidP="001946F9">
      <w:pPr>
        <w:jc w:val="both"/>
        <w:rPr>
          <w:rFonts w:cs="Arial"/>
          <w:color w:val="000000" w:themeColor="text1"/>
        </w:rPr>
      </w:pPr>
      <w:r w:rsidRPr="00667AF2">
        <w:rPr>
          <w:rFonts w:cs="Arial"/>
          <w:color w:val="000000" w:themeColor="text1"/>
        </w:rPr>
        <w:t xml:space="preserve">O Resultado Patrimonial do quarto trimestre de </w:t>
      </w:r>
      <w:proofErr w:type="gramStart"/>
      <w:r w:rsidRPr="00667AF2">
        <w:rPr>
          <w:rFonts w:cs="Arial"/>
          <w:color w:val="000000" w:themeColor="text1"/>
        </w:rPr>
        <w:t>2020 apurado</w:t>
      </w:r>
      <w:proofErr w:type="gramEnd"/>
      <w:r w:rsidRPr="00667AF2">
        <w:rPr>
          <w:rFonts w:cs="Arial"/>
          <w:color w:val="000000" w:themeColor="text1"/>
        </w:rPr>
        <w:t xml:space="preserve">, após confrontação das </w:t>
      </w:r>
      <w:r w:rsidRPr="00667AF2">
        <w:rPr>
          <w:rFonts w:cs="Arial"/>
          <w:i/>
          <w:color w:val="000000" w:themeColor="text1"/>
        </w:rPr>
        <w:t>Variações Patrimoniais Aumentativas</w:t>
      </w:r>
      <w:r w:rsidRPr="00667AF2">
        <w:rPr>
          <w:rFonts w:cs="Arial"/>
          <w:color w:val="000000" w:themeColor="text1"/>
        </w:rPr>
        <w:t xml:space="preserve"> com as </w:t>
      </w:r>
      <w:r w:rsidRPr="00667AF2">
        <w:rPr>
          <w:rFonts w:cs="Arial"/>
          <w:i/>
          <w:color w:val="000000" w:themeColor="text1"/>
        </w:rPr>
        <w:t>Variações Patrimoniais Diminutivas</w:t>
      </w:r>
      <w:r w:rsidRPr="00667AF2">
        <w:rPr>
          <w:rFonts w:cs="Arial"/>
          <w:color w:val="000000" w:themeColor="text1"/>
        </w:rPr>
        <w:t>, foi de R$ 16,7 (bilhões) positivo, e espelhou um acréscimo no percentual de 25,35% em r</w:t>
      </w:r>
      <w:r w:rsidR="00FD672C">
        <w:rPr>
          <w:rFonts w:cs="Arial"/>
          <w:color w:val="000000" w:themeColor="text1"/>
        </w:rPr>
        <w:t>elação ao 4º trimestre de 2019.</w:t>
      </w:r>
    </w:p>
    <w:p w14:paraId="5A76BE09" w14:textId="77777777" w:rsidR="001946F9" w:rsidRPr="00667AF2" w:rsidRDefault="001946F9" w:rsidP="001946F9">
      <w:pPr>
        <w:pStyle w:val="Standard"/>
        <w:jc w:val="both"/>
        <w:rPr>
          <w:rFonts w:cs="Times New Roman"/>
          <w:color w:val="000000" w:themeColor="text1"/>
        </w:rPr>
      </w:pPr>
    </w:p>
    <w:p w14:paraId="18655788" w14:textId="77777777" w:rsidR="001946F9" w:rsidRPr="00667AF2" w:rsidRDefault="001946F9" w:rsidP="001946F9">
      <w:pPr>
        <w:pStyle w:val="Standard"/>
        <w:jc w:val="both"/>
        <w:rPr>
          <w:rFonts w:cs="Times New Roman"/>
          <w:b/>
          <w:bCs/>
          <w:color w:val="000000" w:themeColor="text1"/>
        </w:rPr>
      </w:pPr>
      <w:r w:rsidRPr="00667AF2">
        <w:rPr>
          <w:rFonts w:cs="Times New Roman"/>
          <w:b/>
          <w:bCs/>
          <w:color w:val="000000" w:themeColor="text1"/>
        </w:rPr>
        <w:t>Nota 08 – Valorização e Ganhos c/ Ativos e Desincorporação de Passivos</w:t>
      </w:r>
    </w:p>
    <w:p w14:paraId="02DBC457" w14:textId="77777777" w:rsidR="001946F9" w:rsidRPr="00667AF2" w:rsidRDefault="001946F9" w:rsidP="001946F9">
      <w:pPr>
        <w:pStyle w:val="Standard"/>
        <w:jc w:val="both"/>
        <w:rPr>
          <w:rFonts w:cs="Times New Roman"/>
          <w:b/>
          <w:bCs/>
          <w:color w:val="000000" w:themeColor="text1"/>
        </w:rPr>
      </w:pPr>
    </w:p>
    <w:p w14:paraId="4407FF78" w14:textId="77777777" w:rsidR="001946F9" w:rsidRPr="00667AF2" w:rsidRDefault="001946F9" w:rsidP="001946F9">
      <w:pPr>
        <w:pStyle w:val="Standard"/>
        <w:jc w:val="both"/>
        <w:rPr>
          <w:rFonts w:cs="Times New Roman"/>
          <w:b/>
          <w:bCs/>
          <w:color w:val="000000" w:themeColor="text1"/>
        </w:rPr>
      </w:pPr>
      <w:r w:rsidRPr="00667AF2">
        <w:rPr>
          <w:rFonts w:cs="Times New Roman"/>
          <w:bCs/>
          <w:color w:val="000000" w:themeColor="text1"/>
        </w:rPr>
        <w:t xml:space="preserve">O grupo </w:t>
      </w:r>
      <w:r w:rsidRPr="00667AF2">
        <w:rPr>
          <w:rFonts w:cs="Times New Roman"/>
          <w:color w:val="000000" w:themeColor="text1"/>
        </w:rPr>
        <w:t>Valorização e Ganhos c/ Ativos e Desincorporação de Passivos apontou</w:t>
      </w:r>
      <w:r w:rsidRPr="00667AF2">
        <w:rPr>
          <w:rFonts w:cs="Times New Roman"/>
          <w:bCs/>
          <w:color w:val="000000" w:themeColor="text1"/>
        </w:rPr>
        <w:t xml:space="preserve"> um decréscimo de 88,86% no quarto trimestre de 2020, demonstrando assim uma variação absoluta negativa de R$ 11.753.758.422,80. Dessa forma, verifica-se que a conta Ganhos com Incorporação de Ativos apresentou um decréscimo de 84,63% contabilizadas com maior representatividade no Órgão 53000 – MDR, na Secretaria Nacional de Defesa Civil – SEDEC, referente a liberação financeira de recurso efetuadas no Exercício de 2019. Por outro lado, no mesmo período, observa-se um decréscimo significativo nos Ganhos com Desincorporação de Passivos no percentual de 98,17 contabilizadas no Exercício de 2019 e com reflexo negativo na comparação com o 4º trimestre de 2020 na Companhia Brasileira de Trens Urbanos.</w:t>
      </w:r>
      <w:r w:rsidRPr="00667AF2">
        <w:rPr>
          <w:rFonts w:cs="Times New Roman"/>
          <w:color w:val="000000" w:themeColor="text1"/>
        </w:rPr>
        <w:t xml:space="preserve"> </w:t>
      </w:r>
    </w:p>
    <w:p w14:paraId="01E06B7A" w14:textId="77777777" w:rsidR="001946F9" w:rsidRPr="00667AF2" w:rsidRDefault="001946F9" w:rsidP="001946F9">
      <w:pPr>
        <w:jc w:val="both"/>
        <w:rPr>
          <w:rFonts w:eastAsia="Times New Roman" w:cs="Times New Roman"/>
          <w:b/>
          <w:color w:val="000000" w:themeColor="text1"/>
          <w:kern w:val="0"/>
          <w:sz w:val="20"/>
          <w:szCs w:val="20"/>
          <w:lang w:eastAsia="pt-BR" w:bidi="ar-SA"/>
        </w:rPr>
      </w:pPr>
    </w:p>
    <w:p w14:paraId="1987D960" w14:textId="77777777" w:rsidR="001946F9" w:rsidRPr="00667AF2" w:rsidRDefault="001946F9" w:rsidP="001946F9">
      <w:pPr>
        <w:pStyle w:val="Standard"/>
        <w:jc w:val="both"/>
        <w:rPr>
          <w:color w:val="000000" w:themeColor="text1"/>
        </w:rPr>
      </w:pPr>
      <w:r w:rsidRPr="00667AF2">
        <w:rPr>
          <w:rFonts w:cs="Times New Roman"/>
          <w:b/>
          <w:bCs/>
          <w:color w:val="000000" w:themeColor="text1"/>
        </w:rPr>
        <w:t>Nota 09 – Outras Variações Patrimoniais Aumentativas</w:t>
      </w:r>
    </w:p>
    <w:p w14:paraId="0BAAF83F" w14:textId="77777777" w:rsidR="001946F9" w:rsidRPr="00667AF2" w:rsidRDefault="001946F9" w:rsidP="001946F9">
      <w:pPr>
        <w:pStyle w:val="Standard"/>
        <w:jc w:val="both"/>
        <w:rPr>
          <w:b/>
          <w:color w:val="000000" w:themeColor="text1"/>
        </w:rPr>
      </w:pPr>
    </w:p>
    <w:p w14:paraId="39022E20" w14:textId="77777777" w:rsidR="001946F9" w:rsidRPr="00667AF2" w:rsidRDefault="001946F9" w:rsidP="001946F9">
      <w:pPr>
        <w:pStyle w:val="Standard"/>
        <w:jc w:val="both"/>
        <w:rPr>
          <w:color w:val="000000" w:themeColor="text1"/>
        </w:rPr>
      </w:pPr>
      <w:r w:rsidRPr="00667AF2">
        <w:rPr>
          <w:color w:val="000000" w:themeColor="text1"/>
        </w:rPr>
        <w:t xml:space="preserve">No grupo Outras Variações Patrimoniais Aumentativas </w:t>
      </w:r>
      <w:r w:rsidRPr="00667AF2">
        <w:rPr>
          <w:rFonts w:cs="Times New Roman"/>
          <w:bCs/>
          <w:color w:val="000000" w:themeColor="text1"/>
        </w:rPr>
        <w:t xml:space="preserve">tiveram, no quarto trimestre de 2020, um acréscimo em percentual </w:t>
      </w:r>
      <w:r w:rsidRPr="00667AF2">
        <w:rPr>
          <w:color w:val="000000" w:themeColor="text1"/>
        </w:rPr>
        <w:t xml:space="preserve">de 108,37%; em valor absoluto acumulou um aumento de R$ 2.289.074.678,53, em relação ao mesmo trimestre do ano anterior. Maior destaque para a </w:t>
      </w:r>
      <w:r w:rsidRPr="00667AF2">
        <w:rPr>
          <w:color w:val="000000" w:themeColor="text1"/>
        </w:rPr>
        <w:lastRenderedPageBreak/>
        <w:t xml:space="preserve">Reversão de Provisões e Ajustes para Perdas, a qual apresentou a </w:t>
      </w:r>
      <w:r w:rsidRPr="00667AF2">
        <w:rPr>
          <w:rFonts w:cs="Times New Roman"/>
          <w:bCs/>
          <w:color w:val="000000" w:themeColor="text1"/>
        </w:rPr>
        <w:t>Companhia Brasileira de Trens Urbanos.</w:t>
      </w:r>
      <w:r w:rsidRPr="00667AF2">
        <w:rPr>
          <w:rFonts w:cs="Times New Roman"/>
          <w:color w:val="000000" w:themeColor="text1"/>
        </w:rPr>
        <w:t xml:space="preserve"> </w:t>
      </w:r>
      <w:r w:rsidRPr="00667AF2">
        <w:rPr>
          <w:color w:val="000000" w:themeColor="text1"/>
        </w:rPr>
        <w:t>com um percentual de 376,70% de acréscimo.</w:t>
      </w:r>
    </w:p>
    <w:p w14:paraId="23B06608" w14:textId="77777777" w:rsidR="001946F9" w:rsidRPr="00667AF2" w:rsidRDefault="001946F9" w:rsidP="001946F9">
      <w:pPr>
        <w:pStyle w:val="Standard"/>
        <w:jc w:val="both"/>
        <w:rPr>
          <w:rFonts w:eastAsia="Times New Roman" w:cs="Times New Roman"/>
          <w:b/>
          <w:color w:val="000000" w:themeColor="text1"/>
          <w:kern w:val="0"/>
          <w:sz w:val="20"/>
          <w:szCs w:val="20"/>
          <w:lang w:eastAsia="pt-BR" w:bidi="ar-SA"/>
        </w:rPr>
      </w:pPr>
      <w:r w:rsidRPr="00667AF2">
        <w:rPr>
          <w:rFonts w:eastAsia="Times New Roman" w:cs="Times New Roman"/>
          <w:b/>
          <w:color w:val="000000" w:themeColor="text1"/>
          <w:kern w:val="0"/>
          <w:sz w:val="20"/>
          <w:szCs w:val="20"/>
          <w:lang w:eastAsia="pt-BR" w:bidi="ar-SA"/>
        </w:rPr>
        <w:t xml:space="preserve"> </w:t>
      </w:r>
    </w:p>
    <w:p w14:paraId="414703AB" w14:textId="77777777" w:rsidR="001946F9" w:rsidRPr="00667AF2" w:rsidRDefault="001946F9" w:rsidP="001946F9">
      <w:pPr>
        <w:pStyle w:val="Standard"/>
        <w:jc w:val="both"/>
        <w:rPr>
          <w:rFonts w:cs="Times New Roman"/>
          <w:b/>
          <w:bCs/>
          <w:color w:val="000000" w:themeColor="text1"/>
        </w:rPr>
      </w:pPr>
      <w:r w:rsidRPr="00667AF2">
        <w:rPr>
          <w:rFonts w:cs="Times New Roman"/>
          <w:b/>
          <w:bCs/>
          <w:color w:val="000000" w:themeColor="text1"/>
        </w:rPr>
        <w:t>Nota 10 – Desvalorização e Perda de Ativos e Incorporação de Passivos</w:t>
      </w:r>
    </w:p>
    <w:p w14:paraId="5C648AE4" w14:textId="77777777" w:rsidR="001946F9" w:rsidRPr="00667AF2" w:rsidRDefault="001946F9" w:rsidP="001946F9">
      <w:pPr>
        <w:pStyle w:val="Standard"/>
        <w:jc w:val="both"/>
        <w:rPr>
          <w:rFonts w:cs="Times New Roman"/>
          <w:b/>
          <w:bCs/>
          <w:color w:val="000000" w:themeColor="text1"/>
        </w:rPr>
      </w:pPr>
    </w:p>
    <w:p w14:paraId="18312984" w14:textId="77777777" w:rsidR="001946F9" w:rsidRPr="00667AF2" w:rsidRDefault="001946F9" w:rsidP="001946F9">
      <w:pPr>
        <w:pStyle w:val="Standard"/>
        <w:jc w:val="both"/>
        <w:rPr>
          <w:color w:val="000000" w:themeColor="text1"/>
        </w:rPr>
      </w:pPr>
      <w:r w:rsidRPr="00667AF2">
        <w:rPr>
          <w:rFonts w:cs="Times New Roman"/>
          <w:bCs/>
          <w:color w:val="000000" w:themeColor="text1"/>
        </w:rPr>
        <w:t xml:space="preserve">O grupo Desvalorização e Perda de Ativos e Incorporação de Passivos apontou um decréscimo de 55,71% no quarto trimestre de 2020, demonstrando uma variação absoluta negativa de R$ 7.403.663.226,65. Os valores de maiores relevâncias referem-se às contabilizações da conta Incorporação de Passivos, que teve um recuo de 61,01%, com destaque para </w:t>
      </w:r>
      <w:r w:rsidRPr="00667AF2">
        <w:rPr>
          <w:color w:val="000000" w:themeColor="text1"/>
        </w:rPr>
        <w:t>a Cia de Desenvolvimento dos Vales do São Francisco e do Parnaíba – Codevasf</w:t>
      </w:r>
      <w:r w:rsidRPr="00667AF2">
        <w:rPr>
          <w:rFonts w:cs="Times New Roman"/>
          <w:bCs/>
          <w:color w:val="000000" w:themeColor="text1"/>
        </w:rPr>
        <w:t xml:space="preserve">, bem como para órgão </w:t>
      </w:r>
      <w:r w:rsidRPr="00667AF2">
        <w:rPr>
          <w:color w:val="000000" w:themeColor="text1"/>
        </w:rPr>
        <w:t>Ministério do Desenvolvimento Regional</w:t>
      </w:r>
      <w:r w:rsidRPr="00667AF2">
        <w:rPr>
          <w:rFonts w:cs="Times New Roman"/>
          <w:bCs/>
          <w:color w:val="000000" w:themeColor="text1"/>
        </w:rPr>
        <w:t>, na Secretaria Nacional de Habitação. Outra conta que apresentou redução de 76,91% foi a de Desincorporação de Ativos, com maior representatividade no Departamento Nacional de Obras Contra as Secas – DNOCS.</w:t>
      </w:r>
    </w:p>
    <w:p w14:paraId="31127AE1" w14:textId="77777777" w:rsidR="001946F9" w:rsidRPr="00667AF2" w:rsidRDefault="001946F9" w:rsidP="001946F9">
      <w:pPr>
        <w:suppressAutoHyphens w:val="0"/>
        <w:jc w:val="both"/>
        <w:rPr>
          <w:color w:val="000000" w:themeColor="text1"/>
        </w:rPr>
      </w:pPr>
    </w:p>
    <w:p w14:paraId="2D00DFFB" w14:textId="77777777" w:rsidR="001946F9" w:rsidRPr="00B42BE7" w:rsidRDefault="001946F9" w:rsidP="001946F9">
      <w:pPr>
        <w:pStyle w:val="Standard"/>
        <w:jc w:val="both"/>
        <w:rPr>
          <w:rFonts w:cs="Times New Roman"/>
          <w:b/>
          <w:bCs/>
          <w:color w:val="000000" w:themeColor="text1"/>
        </w:rPr>
      </w:pPr>
      <w:r w:rsidRPr="00B42BE7">
        <w:rPr>
          <w:rFonts w:cs="Times New Roman"/>
          <w:b/>
          <w:bCs/>
          <w:color w:val="000000" w:themeColor="text1"/>
        </w:rPr>
        <w:t>BALANÇO ORÇAMENTÁRIO</w:t>
      </w:r>
    </w:p>
    <w:p w14:paraId="159D7CA6" w14:textId="77777777" w:rsidR="001946F9" w:rsidRPr="00B42BE7" w:rsidRDefault="001946F9" w:rsidP="001946F9">
      <w:pPr>
        <w:pStyle w:val="Standard"/>
        <w:jc w:val="both"/>
        <w:rPr>
          <w:rFonts w:cs="Times New Roman"/>
          <w:b/>
          <w:bCs/>
          <w:color w:val="000000" w:themeColor="text1"/>
        </w:rPr>
      </w:pPr>
    </w:p>
    <w:p w14:paraId="55C3A553" w14:textId="77777777" w:rsidR="001946F9" w:rsidRPr="00B42BE7" w:rsidRDefault="001946F9" w:rsidP="001946F9">
      <w:pPr>
        <w:jc w:val="both"/>
        <w:rPr>
          <w:rFonts w:cs="Times New Roman"/>
          <w:b/>
          <w:color w:val="000000" w:themeColor="text1"/>
        </w:rPr>
      </w:pPr>
      <w:r w:rsidRPr="00B42BE7">
        <w:rPr>
          <w:rFonts w:cs="Times New Roman"/>
          <w:b/>
          <w:color w:val="000000" w:themeColor="text1"/>
        </w:rPr>
        <w:t xml:space="preserve">Nota </w:t>
      </w:r>
      <w:r>
        <w:rPr>
          <w:rFonts w:cs="Times New Roman"/>
          <w:b/>
          <w:color w:val="000000" w:themeColor="text1"/>
        </w:rPr>
        <w:t>11</w:t>
      </w:r>
      <w:r w:rsidRPr="00B42BE7">
        <w:rPr>
          <w:rFonts w:cs="Times New Roman"/>
          <w:b/>
          <w:color w:val="000000" w:themeColor="text1"/>
        </w:rPr>
        <w:t xml:space="preserve"> – Receitas Correntes</w:t>
      </w:r>
    </w:p>
    <w:p w14:paraId="4DAA43C2" w14:textId="77777777" w:rsidR="001946F9" w:rsidRPr="00B42BE7" w:rsidRDefault="001946F9" w:rsidP="001946F9">
      <w:pPr>
        <w:jc w:val="both"/>
        <w:rPr>
          <w:rFonts w:cs="Times New Roman"/>
          <w:color w:val="000000" w:themeColor="text1"/>
        </w:rPr>
      </w:pPr>
    </w:p>
    <w:p w14:paraId="17F644D1" w14:textId="77777777" w:rsidR="001946F9" w:rsidRPr="00B42BE7" w:rsidRDefault="001946F9" w:rsidP="001946F9">
      <w:pPr>
        <w:jc w:val="both"/>
        <w:rPr>
          <w:rFonts w:eastAsiaTheme="minorHAnsi" w:cs="Times New Roman"/>
          <w:color w:val="000000" w:themeColor="text1"/>
          <w:kern w:val="0"/>
          <w:lang w:eastAsia="en-US" w:bidi="ar-SA"/>
        </w:rPr>
      </w:pPr>
      <w:r w:rsidRPr="00B42BE7">
        <w:rPr>
          <w:rFonts w:eastAsiaTheme="minorHAnsi" w:cs="Times New Roman"/>
          <w:color w:val="000000" w:themeColor="text1"/>
          <w:kern w:val="0"/>
          <w:lang w:eastAsia="en-US" w:bidi="ar-SA"/>
        </w:rPr>
        <w:t xml:space="preserve">Destaque para insuficiência de arrecadação com a frustação de 100% das </w:t>
      </w:r>
      <w:r w:rsidRPr="00B42BE7">
        <w:rPr>
          <w:rFonts w:eastAsiaTheme="minorHAnsi" w:cs="Times New Roman"/>
          <w:b/>
          <w:bCs/>
          <w:i/>
          <w:color w:val="000000" w:themeColor="text1"/>
          <w:kern w:val="0"/>
          <w:lang w:eastAsia="en-US" w:bidi="ar-SA"/>
        </w:rPr>
        <w:t>Receitas Correntes Tributárias</w:t>
      </w:r>
      <w:r w:rsidRPr="00B42BE7">
        <w:rPr>
          <w:rFonts w:eastAsiaTheme="minorHAnsi" w:cs="Times New Roman"/>
          <w:b/>
          <w:bCs/>
          <w:color w:val="000000" w:themeColor="text1"/>
          <w:kern w:val="0"/>
          <w:lang w:eastAsia="en-US" w:bidi="ar-SA"/>
        </w:rPr>
        <w:t xml:space="preserve"> </w:t>
      </w:r>
      <w:r w:rsidRPr="00B42BE7">
        <w:rPr>
          <w:rFonts w:eastAsiaTheme="minorHAnsi" w:cs="Times New Roman"/>
          <w:b/>
          <w:bCs/>
          <w:i/>
          <w:color w:val="000000" w:themeColor="text1"/>
          <w:kern w:val="0"/>
          <w:lang w:eastAsia="en-US" w:bidi="ar-SA"/>
        </w:rPr>
        <w:t>(Impostos)</w:t>
      </w:r>
      <w:r w:rsidRPr="00B42BE7">
        <w:rPr>
          <w:rFonts w:eastAsiaTheme="minorHAnsi" w:cs="Times New Roman"/>
          <w:color w:val="000000" w:themeColor="text1"/>
          <w:kern w:val="0"/>
          <w:lang w:eastAsia="en-US" w:bidi="ar-SA"/>
        </w:rPr>
        <w:t>, no Balanço Orçamentário do Órgão Superior/MDR. Impacto visualizado pelo somatório de valores nos seguintes Órgãos: Fundo Constitucional de Financiamento do Nordeste, Fundo Constitucional de Financiamento do Norte e Fundo Constitucional de Financiamento do Centro Oeste. Conforme Mensagem Tesouro nº 2018/1126421 d e 30/08/18, essa frustração justifica-se tendo em vista que essas receitas são decorrentes da arrecadação da natureza de receita 11130111 – IRPF, fonte de recursos 01, a qual é realizada na Receita Federal do Brasil, responsável pela gestão e arrecadação dessa receita, no entanto, não é a beneficiária desses recursos, os quais são transferidos por meio de Programação Financeira, aos citados Fundos Constitucionais, por intermédio da  COFIN/STN, via Ministério do Desenvolvimento Regional, Órgão Superior, no qual consta o registro da Previsão da Receita Atualizada.</w:t>
      </w:r>
    </w:p>
    <w:p w14:paraId="5DBAC982" w14:textId="77777777" w:rsidR="001946F9" w:rsidRPr="00B42BE7" w:rsidRDefault="001946F9" w:rsidP="001946F9">
      <w:pPr>
        <w:widowControl/>
        <w:shd w:val="clear" w:color="auto" w:fill="FFFFFF"/>
        <w:tabs>
          <w:tab w:val="left" w:pos="-24066"/>
          <w:tab w:val="left" w:pos="-9306"/>
          <w:tab w:val="left" w:pos="1134"/>
        </w:tabs>
        <w:suppressAutoHyphens w:val="0"/>
        <w:ind w:left="720" w:hanging="360"/>
        <w:jc w:val="center"/>
        <w:rPr>
          <w:rFonts w:ascii="Arial" w:eastAsia="Times New Roman" w:hAnsi="Arial" w:cs="Arial"/>
          <w:b/>
          <w:color w:val="000000" w:themeColor="text1"/>
          <w:kern w:val="0"/>
          <w:sz w:val="18"/>
          <w:szCs w:val="18"/>
          <w:lang w:eastAsia="pt-BR" w:bidi="ar-SA"/>
        </w:rPr>
      </w:pPr>
    </w:p>
    <w:tbl>
      <w:tblPr>
        <w:tblW w:w="5000" w:type="pct"/>
        <w:tblCellMar>
          <w:left w:w="10" w:type="dxa"/>
          <w:right w:w="10" w:type="dxa"/>
        </w:tblCellMar>
        <w:tblLook w:val="0000" w:firstRow="0" w:lastRow="0" w:firstColumn="0" w:lastColumn="0" w:noHBand="0" w:noVBand="0"/>
      </w:tblPr>
      <w:tblGrid>
        <w:gridCol w:w="3093"/>
        <w:gridCol w:w="1819"/>
        <w:gridCol w:w="2732"/>
        <w:gridCol w:w="2112"/>
      </w:tblGrid>
      <w:tr w:rsidR="001946F9" w:rsidRPr="00B42BE7" w14:paraId="3C456E65" w14:textId="77777777" w:rsidTr="001946F9">
        <w:trPr>
          <w:trHeight w:val="20"/>
        </w:trPr>
        <w:tc>
          <w:tcPr>
            <w:tcW w:w="2696" w:type="dxa"/>
            <w:tcBorders>
              <w:top w:val="single" w:sz="4" w:space="0" w:color="000000"/>
              <w:bottom w:val="single" w:sz="4" w:space="0" w:color="000000"/>
            </w:tcBorders>
            <w:shd w:val="clear" w:color="auto" w:fill="D9D9D9"/>
            <w:tcMar>
              <w:top w:w="0" w:type="dxa"/>
              <w:left w:w="108" w:type="dxa"/>
              <w:bottom w:w="0" w:type="dxa"/>
              <w:right w:w="108" w:type="dxa"/>
            </w:tcMar>
            <w:vAlign w:val="center"/>
          </w:tcPr>
          <w:p w14:paraId="61D17A48" w14:textId="77777777"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RECEITAS ORÇAMENTÁRIAS</w:t>
            </w:r>
          </w:p>
        </w:tc>
        <w:tc>
          <w:tcPr>
            <w:tcW w:w="1586"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3C4D183D"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PREVISÃO ATUALIZADA</w:t>
            </w:r>
          </w:p>
        </w:tc>
        <w:tc>
          <w:tcPr>
            <w:tcW w:w="2382"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74A7AE34"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RECEITAS REALIZADAS</w:t>
            </w:r>
          </w:p>
        </w:tc>
        <w:tc>
          <w:tcPr>
            <w:tcW w:w="1841" w:type="dxa"/>
            <w:tcBorders>
              <w:top w:val="single" w:sz="4" w:space="0" w:color="000000"/>
              <w:bottom w:val="single" w:sz="4" w:space="0" w:color="000000"/>
            </w:tcBorders>
            <w:shd w:val="clear" w:color="auto" w:fill="D9D9D9"/>
          </w:tcPr>
          <w:p w14:paraId="5FD2FD1F"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FRUSTRAÇÃO DA RECEITA</w:t>
            </w:r>
          </w:p>
        </w:tc>
      </w:tr>
      <w:tr w:rsidR="001946F9" w:rsidRPr="00B42BE7" w14:paraId="3F4A6137" w14:textId="77777777" w:rsidTr="001946F9">
        <w:trPr>
          <w:trHeight w:val="20"/>
        </w:trPr>
        <w:tc>
          <w:tcPr>
            <w:tcW w:w="2696" w:type="dxa"/>
            <w:tcBorders>
              <w:top w:val="single" w:sz="4" w:space="0" w:color="000000"/>
              <w:bottom w:val="single" w:sz="4" w:space="0" w:color="000000"/>
            </w:tcBorders>
            <w:shd w:val="clear" w:color="auto" w:fill="D9D9D9"/>
            <w:tcMar>
              <w:top w:w="0" w:type="dxa"/>
              <w:left w:w="108" w:type="dxa"/>
              <w:bottom w:w="0" w:type="dxa"/>
              <w:right w:w="108" w:type="dxa"/>
            </w:tcMar>
            <w:vAlign w:val="center"/>
          </w:tcPr>
          <w:p w14:paraId="4EA8F441" w14:textId="77777777"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RECEITAS CORRENTES</w:t>
            </w:r>
          </w:p>
        </w:tc>
        <w:tc>
          <w:tcPr>
            <w:tcW w:w="1586"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42AF3A1B" w14:textId="77777777" w:rsidR="001946F9" w:rsidRPr="00B42BE7" w:rsidRDefault="001946F9" w:rsidP="001946F9">
            <w:pPr>
              <w:ind w:right="-74"/>
              <w:jc w:val="center"/>
              <w:rPr>
                <w:rFonts w:cs="Arial"/>
                <w:b/>
                <w:color w:val="000000" w:themeColor="text1"/>
                <w:sz w:val="16"/>
                <w:szCs w:val="16"/>
              </w:rPr>
            </w:pPr>
          </w:p>
        </w:tc>
        <w:tc>
          <w:tcPr>
            <w:tcW w:w="2382"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5754E524" w14:textId="77777777" w:rsidR="001946F9" w:rsidRPr="00B42BE7" w:rsidRDefault="001946F9" w:rsidP="001946F9">
            <w:pPr>
              <w:ind w:right="-74"/>
              <w:jc w:val="center"/>
              <w:rPr>
                <w:rFonts w:cs="Arial"/>
                <w:b/>
                <w:color w:val="000000" w:themeColor="text1"/>
                <w:sz w:val="16"/>
                <w:szCs w:val="16"/>
              </w:rPr>
            </w:pPr>
          </w:p>
        </w:tc>
        <w:tc>
          <w:tcPr>
            <w:tcW w:w="1841" w:type="dxa"/>
            <w:tcBorders>
              <w:top w:val="single" w:sz="4" w:space="0" w:color="000000"/>
              <w:bottom w:val="single" w:sz="4" w:space="0" w:color="000000"/>
            </w:tcBorders>
            <w:shd w:val="clear" w:color="auto" w:fill="D9D9D9"/>
          </w:tcPr>
          <w:p w14:paraId="6EE76CEB" w14:textId="77777777" w:rsidR="001946F9" w:rsidRPr="00B42BE7" w:rsidRDefault="001946F9" w:rsidP="001946F9">
            <w:pPr>
              <w:ind w:right="-74"/>
              <w:jc w:val="center"/>
              <w:rPr>
                <w:rFonts w:cs="Arial"/>
                <w:b/>
                <w:color w:val="000000" w:themeColor="text1"/>
                <w:sz w:val="16"/>
                <w:szCs w:val="16"/>
              </w:rPr>
            </w:pPr>
          </w:p>
        </w:tc>
      </w:tr>
      <w:tr w:rsidR="001946F9" w:rsidRPr="00B42BE7" w14:paraId="46768EC1" w14:textId="77777777" w:rsidTr="001946F9">
        <w:trPr>
          <w:trHeight w:val="20"/>
        </w:trPr>
        <w:tc>
          <w:tcPr>
            <w:tcW w:w="2696" w:type="dxa"/>
            <w:shd w:val="clear" w:color="auto" w:fill="auto"/>
            <w:tcMar>
              <w:top w:w="0" w:type="dxa"/>
              <w:left w:w="108" w:type="dxa"/>
              <w:bottom w:w="0" w:type="dxa"/>
              <w:right w:w="108" w:type="dxa"/>
            </w:tcMar>
          </w:tcPr>
          <w:p w14:paraId="23805FE9" w14:textId="77777777" w:rsidR="001946F9" w:rsidRPr="00B42BE7" w:rsidRDefault="001946F9" w:rsidP="001946F9">
            <w:pPr>
              <w:rPr>
                <w:rFonts w:cs="Arial"/>
                <w:color w:val="000000" w:themeColor="text1"/>
                <w:sz w:val="16"/>
                <w:szCs w:val="16"/>
              </w:rPr>
            </w:pPr>
            <w:r w:rsidRPr="00B42BE7">
              <w:rPr>
                <w:rFonts w:cs="Arial"/>
                <w:color w:val="000000" w:themeColor="text1"/>
                <w:sz w:val="16"/>
                <w:szCs w:val="16"/>
              </w:rPr>
              <w:t>Impostos</w:t>
            </w:r>
          </w:p>
        </w:tc>
        <w:tc>
          <w:tcPr>
            <w:tcW w:w="1586" w:type="dxa"/>
            <w:shd w:val="clear" w:color="auto" w:fill="auto"/>
            <w:tcMar>
              <w:top w:w="0" w:type="dxa"/>
              <w:left w:w="10" w:type="dxa"/>
              <w:bottom w:w="0" w:type="dxa"/>
              <w:right w:w="10" w:type="dxa"/>
            </w:tcMar>
            <w:vAlign w:val="center"/>
          </w:tcPr>
          <w:p w14:paraId="0EEC3AD3" w14:textId="77777777" w:rsidR="001946F9" w:rsidRPr="00B42BE7" w:rsidRDefault="001946F9" w:rsidP="001946F9">
            <w:pPr>
              <w:jc w:val="center"/>
              <w:rPr>
                <w:rFonts w:cs="Arial"/>
                <w:color w:val="000000" w:themeColor="text1"/>
                <w:sz w:val="16"/>
                <w:szCs w:val="16"/>
              </w:rPr>
            </w:pPr>
            <w:r w:rsidRPr="00B42BE7">
              <w:rPr>
                <w:rFonts w:cs="Arial"/>
                <w:color w:val="000000" w:themeColor="text1"/>
                <w:sz w:val="16"/>
                <w:szCs w:val="16"/>
              </w:rPr>
              <w:t xml:space="preserve"> 14.098.271.396,00</w:t>
            </w:r>
          </w:p>
        </w:tc>
        <w:tc>
          <w:tcPr>
            <w:tcW w:w="2382" w:type="dxa"/>
            <w:shd w:val="clear" w:color="auto" w:fill="auto"/>
            <w:tcMar>
              <w:top w:w="0" w:type="dxa"/>
              <w:left w:w="10" w:type="dxa"/>
              <w:bottom w:w="0" w:type="dxa"/>
              <w:right w:w="10" w:type="dxa"/>
            </w:tcMar>
            <w:vAlign w:val="center"/>
          </w:tcPr>
          <w:p w14:paraId="17996794" w14:textId="77777777" w:rsidR="001946F9" w:rsidRPr="00B42BE7" w:rsidRDefault="001946F9" w:rsidP="001946F9">
            <w:pPr>
              <w:jc w:val="center"/>
              <w:rPr>
                <w:rFonts w:cs="Arial"/>
                <w:color w:val="000000" w:themeColor="text1"/>
                <w:sz w:val="16"/>
                <w:szCs w:val="16"/>
              </w:rPr>
            </w:pPr>
            <w:r w:rsidRPr="00B42BE7">
              <w:rPr>
                <w:rFonts w:cs="Arial"/>
                <w:color w:val="000000" w:themeColor="text1"/>
                <w:sz w:val="16"/>
                <w:szCs w:val="16"/>
              </w:rPr>
              <w:t>0,00</w:t>
            </w:r>
          </w:p>
        </w:tc>
        <w:tc>
          <w:tcPr>
            <w:tcW w:w="1841" w:type="dxa"/>
          </w:tcPr>
          <w:p w14:paraId="732751B5" w14:textId="77777777" w:rsidR="001946F9" w:rsidRPr="00B42BE7" w:rsidRDefault="001946F9" w:rsidP="001946F9">
            <w:pPr>
              <w:jc w:val="center"/>
              <w:rPr>
                <w:rFonts w:cs="Arial"/>
                <w:color w:val="000000" w:themeColor="text1"/>
                <w:sz w:val="16"/>
                <w:szCs w:val="16"/>
              </w:rPr>
            </w:pPr>
            <w:r w:rsidRPr="00B42BE7">
              <w:rPr>
                <w:rFonts w:cs="Arial"/>
                <w:color w:val="000000" w:themeColor="text1"/>
                <w:sz w:val="16"/>
                <w:szCs w:val="16"/>
              </w:rPr>
              <w:t>100%</w:t>
            </w:r>
          </w:p>
        </w:tc>
      </w:tr>
      <w:tr w:rsidR="001946F9" w:rsidRPr="00B42BE7" w14:paraId="7C605CD0" w14:textId="77777777" w:rsidTr="001946F9">
        <w:trPr>
          <w:trHeight w:val="20"/>
        </w:trPr>
        <w:tc>
          <w:tcPr>
            <w:tcW w:w="2696" w:type="dxa"/>
            <w:tcBorders>
              <w:top w:val="single" w:sz="4" w:space="0" w:color="000000"/>
              <w:bottom w:val="single" w:sz="4" w:space="0" w:color="000000"/>
            </w:tcBorders>
            <w:shd w:val="clear" w:color="auto" w:fill="D9D9D9"/>
            <w:tcMar>
              <w:top w:w="0" w:type="dxa"/>
              <w:left w:w="108" w:type="dxa"/>
              <w:bottom w:w="0" w:type="dxa"/>
              <w:right w:w="108" w:type="dxa"/>
            </w:tcMar>
            <w:vAlign w:val="center"/>
          </w:tcPr>
          <w:p w14:paraId="4D4F61A5" w14:textId="77777777" w:rsidR="001946F9" w:rsidRPr="00B42BE7" w:rsidRDefault="001946F9" w:rsidP="001946F9">
            <w:pPr>
              <w:rPr>
                <w:rFonts w:cs="Arial"/>
                <w:b/>
                <w:color w:val="000000" w:themeColor="text1"/>
                <w:sz w:val="16"/>
                <w:szCs w:val="16"/>
              </w:rPr>
            </w:pPr>
            <w:r w:rsidRPr="00B42BE7">
              <w:rPr>
                <w:rFonts w:cs="Arial"/>
                <w:b/>
                <w:color w:val="000000" w:themeColor="text1"/>
                <w:sz w:val="16"/>
                <w:szCs w:val="16"/>
              </w:rPr>
              <w:t xml:space="preserve">Total </w:t>
            </w:r>
          </w:p>
        </w:tc>
        <w:tc>
          <w:tcPr>
            <w:tcW w:w="1586"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7961E77B"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14.098.271.396,00</w:t>
            </w:r>
          </w:p>
        </w:tc>
        <w:tc>
          <w:tcPr>
            <w:tcW w:w="2382"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3BFA5325" w14:textId="77777777" w:rsidR="001946F9" w:rsidRPr="00B42BE7" w:rsidRDefault="001946F9" w:rsidP="001946F9">
            <w:pPr>
              <w:jc w:val="center"/>
              <w:rPr>
                <w:rFonts w:cs="Arial"/>
                <w:color w:val="000000" w:themeColor="text1"/>
                <w:sz w:val="16"/>
                <w:szCs w:val="16"/>
              </w:rPr>
            </w:pPr>
            <w:r w:rsidRPr="00B42BE7">
              <w:rPr>
                <w:rFonts w:cs="Arial"/>
                <w:color w:val="000000" w:themeColor="text1"/>
                <w:sz w:val="16"/>
                <w:szCs w:val="16"/>
              </w:rPr>
              <w:t>0,00</w:t>
            </w:r>
          </w:p>
        </w:tc>
        <w:tc>
          <w:tcPr>
            <w:tcW w:w="1841" w:type="dxa"/>
            <w:tcBorders>
              <w:top w:val="single" w:sz="4" w:space="0" w:color="000000"/>
              <w:bottom w:val="single" w:sz="4" w:space="0" w:color="000000"/>
            </w:tcBorders>
            <w:shd w:val="clear" w:color="auto" w:fill="D9D9D9"/>
          </w:tcPr>
          <w:p w14:paraId="0D5476DB" w14:textId="77777777" w:rsidR="001946F9" w:rsidRPr="00B42BE7" w:rsidRDefault="001946F9" w:rsidP="001946F9">
            <w:pPr>
              <w:jc w:val="center"/>
              <w:rPr>
                <w:rFonts w:cs="Arial"/>
                <w:b/>
                <w:color w:val="000000" w:themeColor="text1"/>
                <w:sz w:val="16"/>
                <w:szCs w:val="16"/>
              </w:rPr>
            </w:pPr>
          </w:p>
        </w:tc>
      </w:tr>
    </w:tbl>
    <w:p w14:paraId="17D58CAE" w14:textId="77777777" w:rsidR="001946F9" w:rsidRPr="00B42BE7" w:rsidRDefault="001946F9" w:rsidP="001946F9">
      <w:pPr>
        <w:jc w:val="both"/>
        <w:rPr>
          <w:rFonts w:cs="Times New Roman"/>
          <w:color w:val="000000" w:themeColor="text1"/>
        </w:rPr>
      </w:pPr>
    </w:p>
    <w:p w14:paraId="76829F16" w14:textId="77777777" w:rsidR="001946F9" w:rsidRPr="00B42BE7" w:rsidRDefault="001946F9" w:rsidP="001946F9">
      <w:pPr>
        <w:jc w:val="both"/>
        <w:rPr>
          <w:rFonts w:cs="Times New Roman"/>
          <w:color w:val="000000" w:themeColor="text1"/>
        </w:rPr>
      </w:pPr>
      <w:r w:rsidRPr="00B42BE7">
        <w:rPr>
          <w:rFonts w:cs="Times New Roman"/>
          <w:color w:val="000000" w:themeColor="text1"/>
        </w:rPr>
        <w:t xml:space="preserve">Desconsiderando as </w:t>
      </w:r>
      <w:r w:rsidRPr="00B42BE7">
        <w:rPr>
          <w:rFonts w:cs="Times New Roman"/>
          <w:b/>
          <w:i/>
          <w:color w:val="000000" w:themeColor="text1"/>
        </w:rPr>
        <w:t>Receitas Correntes Tributárias (Impostos)</w:t>
      </w:r>
      <w:r w:rsidRPr="00B42BE7">
        <w:rPr>
          <w:rFonts w:cs="Times New Roman"/>
          <w:color w:val="000000" w:themeColor="text1"/>
        </w:rPr>
        <w:t>, conforme explicado no item anterior, e as Receitas de Contribuições que não foram previstas/realizadas, o percentual de participação das Receitas Correntes e de Capital realizados em relação às Receitas Prevista é demonstrado pelo quadro abaixo.</w:t>
      </w:r>
    </w:p>
    <w:p w14:paraId="0C1E11D2" w14:textId="77777777" w:rsidR="001946F9" w:rsidRPr="00B42BE7" w:rsidRDefault="001946F9" w:rsidP="001946F9">
      <w:pPr>
        <w:jc w:val="both"/>
        <w:rPr>
          <w:rFonts w:cs="Times New Roman"/>
          <w:color w:val="000000" w:themeColor="text1"/>
        </w:rPr>
      </w:pPr>
    </w:p>
    <w:tbl>
      <w:tblPr>
        <w:tblW w:w="5000" w:type="pct"/>
        <w:tblCellMar>
          <w:left w:w="10" w:type="dxa"/>
          <w:right w:w="10" w:type="dxa"/>
        </w:tblCellMar>
        <w:tblLook w:val="0000" w:firstRow="0" w:lastRow="0" w:firstColumn="0" w:lastColumn="0" w:noHBand="0" w:noVBand="0"/>
      </w:tblPr>
      <w:tblGrid>
        <w:gridCol w:w="3093"/>
        <w:gridCol w:w="1819"/>
        <w:gridCol w:w="2568"/>
        <w:gridCol w:w="2276"/>
      </w:tblGrid>
      <w:tr w:rsidR="001946F9" w:rsidRPr="00B42BE7" w14:paraId="5D96F9A4" w14:textId="77777777" w:rsidTr="001946F9">
        <w:trPr>
          <w:trHeight w:val="20"/>
        </w:trPr>
        <w:tc>
          <w:tcPr>
            <w:tcW w:w="2696" w:type="dxa"/>
            <w:tcBorders>
              <w:top w:val="single" w:sz="4" w:space="0" w:color="000000"/>
              <w:bottom w:val="single" w:sz="4" w:space="0" w:color="000000"/>
            </w:tcBorders>
            <w:shd w:val="clear" w:color="auto" w:fill="D9D9D9"/>
            <w:tcMar>
              <w:top w:w="0" w:type="dxa"/>
              <w:left w:w="108" w:type="dxa"/>
              <w:bottom w:w="0" w:type="dxa"/>
              <w:right w:w="108" w:type="dxa"/>
            </w:tcMar>
            <w:vAlign w:val="center"/>
          </w:tcPr>
          <w:p w14:paraId="789E5E75" w14:textId="77777777"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RECEITAS ORÇAMENTÁRIAS</w:t>
            </w:r>
          </w:p>
        </w:tc>
        <w:tc>
          <w:tcPr>
            <w:tcW w:w="1586"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6E9A9F0B"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PREVISÃO ATUALIZADA</w:t>
            </w:r>
          </w:p>
        </w:tc>
        <w:tc>
          <w:tcPr>
            <w:tcW w:w="2239"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3CD4629B"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RECEITAS REALIZADAS</w:t>
            </w:r>
          </w:p>
        </w:tc>
        <w:tc>
          <w:tcPr>
            <w:tcW w:w="1984" w:type="dxa"/>
            <w:tcBorders>
              <w:top w:val="single" w:sz="4" w:space="0" w:color="000000"/>
              <w:bottom w:val="single" w:sz="4" w:space="0" w:color="000000"/>
            </w:tcBorders>
            <w:shd w:val="clear" w:color="auto" w:fill="D9D9D9"/>
          </w:tcPr>
          <w:p w14:paraId="3AD7A6A8"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w:t>
            </w:r>
          </w:p>
          <w:p w14:paraId="7E214668"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REALIZAÇÃO</w:t>
            </w:r>
          </w:p>
        </w:tc>
      </w:tr>
      <w:tr w:rsidR="001946F9" w:rsidRPr="00B42BE7" w14:paraId="19E07B96" w14:textId="77777777" w:rsidTr="001946F9">
        <w:trPr>
          <w:trHeight w:val="164"/>
        </w:trPr>
        <w:tc>
          <w:tcPr>
            <w:tcW w:w="2696" w:type="dxa"/>
            <w:tcBorders>
              <w:top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03F3FE25" w14:textId="77777777"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RECEITAS CORRENTES</w:t>
            </w:r>
          </w:p>
        </w:tc>
        <w:tc>
          <w:tcPr>
            <w:tcW w:w="1586" w:type="dxa"/>
            <w:tcBorders>
              <w:top w:val="single" w:sz="4" w:space="0" w:color="000000"/>
              <w:bottom w:val="single" w:sz="4" w:space="0" w:color="000000"/>
            </w:tcBorders>
            <w:shd w:val="clear" w:color="auto" w:fill="FFFFFF" w:themeFill="background1"/>
            <w:tcMar>
              <w:top w:w="0" w:type="dxa"/>
              <w:left w:w="10" w:type="dxa"/>
              <w:bottom w:w="0" w:type="dxa"/>
              <w:right w:w="10" w:type="dxa"/>
            </w:tcMar>
            <w:vAlign w:val="center"/>
          </w:tcPr>
          <w:p w14:paraId="426984B1" w14:textId="77777777" w:rsidR="001946F9" w:rsidRPr="00B42BE7" w:rsidRDefault="001946F9" w:rsidP="001946F9">
            <w:pPr>
              <w:ind w:right="-74"/>
              <w:jc w:val="center"/>
              <w:rPr>
                <w:rFonts w:cs="Arial"/>
                <w:color w:val="000000" w:themeColor="text1"/>
                <w:sz w:val="16"/>
                <w:szCs w:val="16"/>
              </w:rPr>
            </w:pPr>
            <w:r w:rsidRPr="00B42BE7">
              <w:rPr>
                <w:rFonts w:cs="Arial"/>
                <w:color w:val="000000" w:themeColor="text1"/>
                <w:sz w:val="16"/>
                <w:szCs w:val="16"/>
              </w:rPr>
              <w:t>15.434.564.782,00</w:t>
            </w:r>
          </w:p>
        </w:tc>
        <w:tc>
          <w:tcPr>
            <w:tcW w:w="2239" w:type="dxa"/>
            <w:tcBorders>
              <w:top w:val="single" w:sz="4" w:space="0" w:color="000000"/>
              <w:bottom w:val="single" w:sz="4" w:space="0" w:color="000000"/>
            </w:tcBorders>
            <w:shd w:val="clear" w:color="auto" w:fill="FFFFFF" w:themeFill="background1"/>
            <w:tcMar>
              <w:top w:w="0" w:type="dxa"/>
              <w:left w:w="10" w:type="dxa"/>
              <w:bottom w:w="0" w:type="dxa"/>
              <w:right w:w="10" w:type="dxa"/>
            </w:tcMar>
            <w:vAlign w:val="center"/>
          </w:tcPr>
          <w:p w14:paraId="65145D6E" w14:textId="77777777" w:rsidR="001946F9" w:rsidRPr="00B42BE7" w:rsidRDefault="001946F9" w:rsidP="001946F9">
            <w:pPr>
              <w:ind w:right="-74"/>
              <w:jc w:val="center"/>
              <w:rPr>
                <w:rFonts w:cs="Arial"/>
                <w:color w:val="000000" w:themeColor="text1"/>
                <w:sz w:val="16"/>
                <w:szCs w:val="16"/>
              </w:rPr>
            </w:pPr>
            <w:r w:rsidRPr="00B42BE7">
              <w:rPr>
                <w:rFonts w:cs="Arial"/>
                <w:color w:val="000000" w:themeColor="text1"/>
                <w:sz w:val="16"/>
                <w:szCs w:val="16"/>
              </w:rPr>
              <w:t xml:space="preserve">     </w:t>
            </w:r>
            <w:r w:rsidRPr="00821BC2">
              <w:rPr>
                <w:rFonts w:cs="Arial"/>
                <w:color w:val="000000" w:themeColor="text1"/>
                <w:sz w:val="16"/>
                <w:szCs w:val="16"/>
              </w:rPr>
              <w:t>1</w:t>
            </w:r>
            <w:r>
              <w:rPr>
                <w:rFonts w:cs="Arial"/>
                <w:color w:val="000000" w:themeColor="text1"/>
                <w:sz w:val="16"/>
                <w:szCs w:val="16"/>
              </w:rPr>
              <w:t>.</w:t>
            </w:r>
            <w:r w:rsidRPr="00821BC2">
              <w:rPr>
                <w:rFonts w:cs="Arial"/>
                <w:color w:val="000000" w:themeColor="text1"/>
                <w:sz w:val="16"/>
                <w:szCs w:val="16"/>
              </w:rPr>
              <w:t>341</w:t>
            </w:r>
            <w:r>
              <w:rPr>
                <w:rFonts w:cs="Arial"/>
                <w:color w:val="000000" w:themeColor="text1"/>
                <w:sz w:val="16"/>
                <w:szCs w:val="16"/>
              </w:rPr>
              <w:t>.</w:t>
            </w:r>
            <w:r w:rsidRPr="00821BC2">
              <w:rPr>
                <w:rFonts w:cs="Arial"/>
                <w:color w:val="000000" w:themeColor="text1"/>
                <w:sz w:val="16"/>
                <w:szCs w:val="16"/>
              </w:rPr>
              <w:t>150</w:t>
            </w:r>
            <w:r>
              <w:rPr>
                <w:rFonts w:cs="Arial"/>
                <w:color w:val="000000" w:themeColor="text1"/>
                <w:sz w:val="16"/>
                <w:szCs w:val="16"/>
              </w:rPr>
              <w:t>.</w:t>
            </w:r>
            <w:r w:rsidRPr="00821BC2">
              <w:rPr>
                <w:rFonts w:cs="Arial"/>
                <w:color w:val="000000" w:themeColor="text1"/>
                <w:sz w:val="16"/>
                <w:szCs w:val="16"/>
              </w:rPr>
              <w:t>595,37</w:t>
            </w:r>
          </w:p>
        </w:tc>
        <w:tc>
          <w:tcPr>
            <w:tcW w:w="1984" w:type="dxa"/>
            <w:tcBorders>
              <w:top w:val="single" w:sz="4" w:space="0" w:color="000000"/>
              <w:bottom w:val="single" w:sz="4" w:space="0" w:color="000000"/>
            </w:tcBorders>
            <w:shd w:val="clear" w:color="auto" w:fill="FFFFFF" w:themeFill="background1"/>
          </w:tcPr>
          <w:p w14:paraId="59512AB6" w14:textId="77777777" w:rsidR="001946F9" w:rsidRPr="00B42BE7" w:rsidRDefault="001946F9" w:rsidP="001946F9">
            <w:pPr>
              <w:ind w:right="-74"/>
              <w:jc w:val="center"/>
              <w:rPr>
                <w:rFonts w:cs="Arial"/>
                <w:color w:val="000000" w:themeColor="text1"/>
                <w:sz w:val="16"/>
                <w:szCs w:val="16"/>
              </w:rPr>
            </w:pPr>
            <w:r>
              <w:rPr>
                <w:rFonts w:cs="Arial"/>
                <w:color w:val="000000" w:themeColor="text1"/>
                <w:sz w:val="16"/>
                <w:szCs w:val="16"/>
              </w:rPr>
              <w:t>8,69</w:t>
            </w:r>
          </w:p>
        </w:tc>
      </w:tr>
      <w:tr w:rsidR="001946F9" w:rsidRPr="00B42BE7" w14:paraId="1C2A0136" w14:textId="77777777" w:rsidTr="001946F9">
        <w:trPr>
          <w:trHeight w:val="20"/>
        </w:trPr>
        <w:tc>
          <w:tcPr>
            <w:tcW w:w="2696" w:type="dxa"/>
            <w:tcBorders>
              <w:top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53F1D972" w14:textId="77777777"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RECEITAS DE CAPITAL</w:t>
            </w:r>
          </w:p>
        </w:tc>
        <w:tc>
          <w:tcPr>
            <w:tcW w:w="1586" w:type="dxa"/>
            <w:tcBorders>
              <w:top w:val="single" w:sz="4" w:space="0" w:color="000000"/>
              <w:bottom w:val="single" w:sz="4" w:space="0" w:color="000000"/>
            </w:tcBorders>
            <w:shd w:val="clear" w:color="auto" w:fill="FFFFFF" w:themeFill="background1"/>
            <w:tcMar>
              <w:top w:w="0" w:type="dxa"/>
              <w:left w:w="10" w:type="dxa"/>
              <w:bottom w:w="0" w:type="dxa"/>
              <w:right w:w="10" w:type="dxa"/>
            </w:tcMar>
            <w:vAlign w:val="center"/>
          </w:tcPr>
          <w:p w14:paraId="002FCDD9" w14:textId="77777777" w:rsidR="001946F9" w:rsidRPr="00B42BE7" w:rsidRDefault="001946F9" w:rsidP="001946F9">
            <w:pPr>
              <w:ind w:right="-74"/>
              <w:jc w:val="center"/>
              <w:rPr>
                <w:rFonts w:cs="Arial"/>
                <w:color w:val="000000" w:themeColor="text1"/>
                <w:sz w:val="16"/>
                <w:szCs w:val="16"/>
              </w:rPr>
            </w:pPr>
            <w:r w:rsidRPr="00B42BE7">
              <w:rPr>
                <w:rFonts w:cs="Arial"/>
                <w:color w:val="000000" w:themeColor="text1"/>
                <w:sz w:val="16"/>
                <w:szCs w:val="16"/>
              </w:rPr>
              <w:t xml:space="preserve">  1.525.198.926,00</w:t>
            </w:r>
          </w:p>
        </w:tc>
        <w:tc>
          <w:tcPr>
            <w:tcW w:w="2239" w:type="dxa"/>
            <w:tcBorders>
              <w:top w:val="single" w:sz="4" w:space="0" w:color="000000"/>
              <w:bottom w:val="single" w:sz="4" w:space="0" w:color="000000"/>
            </w:tcBorders>
            <w:shd w:val="clear" w:color="auto" w:fill="FFFFFF" w:themeFill="background1"/>
            <w:tcMar>
              <w:top w:w="0" w:type="dxa"/>
              <w:left w:w="10" w:type="dxa"/>
              <w:bottom w:w="0" w:type="dxa"/>
              <w:right w:w="10" w:type="dxa"/>
            </w:tcMar>
            <w:vAlign w:val="center"/>
          </w:tcPr>
          <w:p w14:paraId="44F8B2BB" w14:textId="563843D7" w:rsidR="001946F9" w:rsidRPr="00B42BE7" w:rsidRDefault="001946F9" w:rsidP="001946F9">
            <w:pPr>
              <w:ind w:right="-74"/>
              <w:rPr>
                <w:rFonts w:cs="Arial"/>
                <w:color w:val="000000" w:themeColor="text1"/>
                <w:sz w:val="16"/>
                <w:szCs w:val="16"/>
              </w:rPr>
            </w:pPr>
            <w:r w:rsidRPr="00B42BE7">
              <w:rPr>
                <w:rFonts w:cs="Arial"/>
                <w:color w:val="000000" w:themeColor="text1"/>
                <w:sz w:val="16"/>
                <w:szCs w:val="16"/>
              </w:rPr>
              <w:t xml:space="preserve">                </w:t>
            </w:r>
            <w:r>
              <w:rPr>
                <w:rFonts w:cs="Arial"/>
                <w:color w:val="000000" w:themeColor="text1"/>
                <w:sz w:val="16"/>
                <w:szCs w:val="16"/>
              </w:rPr>
              <w:t xml:space="preserve">     </w:t>
            </w:r>
            <w:r w:rsidRPr="00821BC2">
              <w:rPr>
                <w:rFonts w:cs="Arial"/>
                <w:color w:val="000000" w:themeColor="text1"/>
                <w:sz w:val="16"/>
                <w:szCs w:val="16"/>
              </w:rPr>
              <w:t>2</w:t>
            </w:r>
            <w:r>
              <w:rPr>
                <w:rFonts w:cs="Arial"/>
                <w:color w:val="000000" w:themeColor="text1"/>
                <w:sz w:val="16"/>
                <w:szCs w:val="16"/>
              </w:rPr>
              <w:t>.</w:t>
            </w:r>
            <w:r w:rsidRPr="00821BC2">
              <w:rPr>
                <w:rFonts w:cs="Arial"/>
                <w:color w:val="000000" w:themeColor="text1"/>
                <w:sz w:val="16"/>
                <w:szCs w:val="16"/>
              </w:rPr>
              <w:t>199</w:t>
            </w:r>
            <w:r>
              <w:rPr>
                <w:rFonts w:cs="Arial"/>
                <w:color w:val="000000" w:themeColor="text1"/>
                <w:sz w:val="16"/>
                <w:szCs w:val="16"/>
              </w:rPr>
              <w:t>.</w:t>
            </w:r>
            <w:r w:rsidRPr="00821BC2">
              <w:rPr>
                <w:rFonts w:cs="Arial"/>
                <w:color w:val="000000" w:themeColor="text1"/>
                <w:sz w:val="16"/>
                <w:szCs w:val="16"/>
              </w:rPr>
              <w:t>602</w:t>
            </w:r>
            <w:r>
              <w:rPr>
                <w:rFonts w:cs="Arial"/>
                <w:color w:val="000000" w:themeColor="text1"/>
                <w:sz w:val="16"/>
                <w:szCs w:val="16"/>
              </w:rPr>
              <w:t>.</w:t>
            </w:r>
            <w:r w:rsidRPr="00821BC2">
              <w:rPr>
                <w:rFonts w:cs="Arial"/>
                <w:color w:val="000000" w:themeColor="text1"/>
                <w:sz w:val="16"/>
                <w:szCs w:val="16"/>
              </w:rPr>
              <w:t>687,88</w:t>
            </w:r>
          </w:p>
        </w:tc>
        <w:tc>
          <w:tcPr>
            <w:tcW w:w="1984" w:type="dxa"/>
            <w:tcBorders>
              <w:top w:val="single" w:sz="4" w:space="0" w:color="000000"/>
              <w:bottom w:val="single" w:sz="4" w:space="0" w:color="000000"/>
            </w:tcBorders>
            <w:shd w:val="clear" w:color="auto" w:fill="FFFFFF" w:themeFill="background1"/>
          </w:tcPr>
          <w:p w14:paraId="13ED92EB" w14:textId="77777777" w:rsidR="001946F9" w:rsidRPr="00B42BE7" w:rsidRDefault="001946F9" w:rsidP="001946F9">
            <w:pPr>
              <w:ind w:right="-74"/>
              <w:jc w:val="center"/>
              <w:rPr>
                <w:rFonts w:cs="Arial"/>
                <w:color w:val="000000" w:themeColor="text1"/>
                <w:sz w:val="16"/>
                <w:szCs w:val="16"/>
              </w:rPr>
            </w:pPr>
            <w:r>
              <w:rPr>
                <w:rFonts w:cs="Arial"/>
                <w:color w:val="000000" w:themeColor="text1"/>
                <w:sz w:val="16"/>
                <w:szCs w:val="16"/>
              </w:rPr>
              <w:t>144,22</w:t>
            </w:r>
          </w:p>
        </w:tc>
      </w:tr>
      <w:tr w:rsidR="001946F9" w:rsidRPr="00B42BE7" w14:paraId="6E6CFD54" w14:textId="77777777" w:rsidTr="001946F9">
        <w:trPr>
          <w:trHeight w:val="20"/>
        </w:trPr>
        <w:tc>
          <w:tcPr>
            <w:tcW w:w="2696" w:type="dxa"/>
            <w:tcBorders>
              <w:top w:val="single" w:sz="4" w:space="0" w:color="000000"/>
              <w:bottom w:val="single" w:sz="4" w:space="0" w:color="000000"/>
            </w:tcBorders>
            <w:shd w:val="clear" w:color="auto" w:fill="D9D9D9"/>
            <w:tcMar>
              <w:top w:w="0" w:type="dxa"/>
              <w:left w:w="108" w:type="dxa"/>
              <w:bottom w:w="0" w:type="dxa"/>
              <w:right w:w="108" w:type="dxa"/>
            </w:tcMar>
            <w:vAlign w:val="center"/>
          </w:tcPr>
          <w:p w14:paraId="127D452B" w14:textId="77777777" w:rsidR="001946F9" w:rsidRPr="00B42BE7" w:rsidRDefault="001946F9" w:rsidP="001946F9">
            <w:pPr>
              <w:rPr>
                <w:rFonts w:cs="Arial"/>
                <w:b/>
                <w:color w:val="000000" w:themeColor="text1"/>
                <w:sz w:val="16"/>
                <w:szCs w:val="16"/>
              </w:rPr>
            </w:pPr>
            <w:r w:rsidRPr="00B42BE7">
              <w:rPr>
                <w:rFonts w:cs="Arial"/>
                <w:b/>
                <w:color w:val="000000" w:themeColor="text1"/>
                <w:sz w:val="16"/>
                <w:szCs w:val="16"/>
              </w:rPr>
              <w:t xml:space="preserve">Total </w:t>
            </w:r>
          </w:p>
        </w:tc>
        <w:tc>
          <w:tcPr>
            <w:tcW w:w="1586"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6AD34036"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16.959.763.708,00</w:t>
            </w:r>
          </w:p>
        </w:tc>
        <w:tc>
          <w:tcPr>
            <w:tcW w:w="2239"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45533D4B" w14:textId="77777777"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 xml:space="preserve">    </w:t>
            </w:r>
            <w:r>
              <w:rPr>
                <w:rFonts w:cs="Arial"/>
                <w:b/>
                <w:color w:val="000000" w:themeColor="text1"/>
                <w:sz w:val="16"/>
                <w:szCs w:val="16"/>
              </w:rPr>
              <w:t xml:space="preserve">  </w:t>
            </w:r>
            <w:r w:rsidRPr="00821BC2">
              <w:rPr>
                <w:rFonts w:cs="Arial"/>
                <w:b/>
                <w:color w:val="000000" w:themeColor="text1"/>
                <w:sz w:val="16"/>
                <w:szCs w:val="16"/>
              </w:rPr>
              <w:t>3</w:t>
            </w:r>
            <w:r>
              <w:rPr>
                <w:rFonts w:cs="Arial"/>
                <w:b/>
                <w:color w:val="000000" w:themeColor="text1"/>
                <w:sz w:val="16"/>
                <w:szCs w:val="16"/>
              </w:rPr>
              <w:t>.</w:t>
            </w:r>
            <w:r w:rsidRPr="00821BC2">
              <w:rPr>
                <w:rFonts w:cs="Arial"/>
                <w:b/>
                <w:color w:val="000000" w:themeColor="text1"/>
                <w:sz w:val="16"/>
                <w:szCs w:val="16"/>
              </w:rPr>
              <w:t>540</w:t>
            </w:r>
            <w:r>
              <w:rPr>
                <w:rFonts w:cs="Arial"/>
                <w:b/>
                <w:color w:val="000000" w:themeColor="text1"/>
                <w:sz w:val="16"/>
                <w:szCs w:val="16"/>
              </w:rPr>
              <w:t>.</w:t>
            </w:r>
            <w:r w:rsidRPr="00821BC2">
              <w:rPr>
                <w:rFonts w:cs="Arial"/>
                <w:b/>
                <w:color w:val="000000" w:themeColor="text1"/>
                <w:sz w:val="16"/>
                <w:szCs w:val="16"/>
              </w:rPr>
              <w:t>753</w:t>
            </w:r>
            <w:r>
              <w:rPr>
                <w:rFonts w:cs="Arial"/>
                <w:b/>
                <w:color w:val="000000" w:themeColor="text1"/>
                <w:sz w:val="16"/>
                <w:szCs w:val="16"/>
              </w:rPr>
              <w:t>.</w:t>
            </w:r>
            <w:r w:rsidRPr="00821BC2">
              <w:rPr>
                <w:rFonts w:cs="Arial"/>
                <w:b/>
                <w:color w:val="000000" w:themeColor="text1"/>
                <w:sz w:val="16"/>
                <w:szCs w:val="16"/>
              </w:rPr>
              <w:t>283,25</w:t>
            </w:r>
          </w:p>
        </w:tc>
        <w:tc>
          <w:tcPr>
            <w:tcW w:w="1984" w:type="dxa"/>
            <w:tcBorders>
              <w:top w:val="single" w:sz="4" w:space="0" w:color="000000"/>
              <w:bottom w:val="single" w:sz="4" w:space="0" w:color="000000"/>
            </w:tcBorders>
            <w:shd w:val="clear" w:color="auto" w:fill="D9D9D9"/>
          </w:tcPr>
          <w:p w14:paraId="256352D2" w14:textId="77777777" w:rsidR="001946F9" w:rsidRPr="00B42BE7" w:rsidRDefault="001946F9" w:rsidP="001946F9">
            <w:pPr>
              <w:jc w:val="center"/>
              <w:rPr>
                <w:rFonts w:cs="Arial"/>
                <w:b/>
                <w:color w:val="000000" w:themeColor="text1"/>
                <w:sz w:val="16"/>
                <w:szCs w:val="16"/>
              </w:rPr>
            </w:pPr>
            <w:r>
              <w:rPr>
                <w:rFonts w:cs="Arial"/>
                <w:b/>
                <w:color w:val="000000" w:themeColor="text1"/>
                <w:sz w:val="16"/>
                <w:szCs w:val="16"/>
              </w:rPr>
              <w:t xml:space="preserve">  20,88</w:t>
            </w:r>
          </w:p>
        </w:tc>
      </w:tr>
    </w:tbl>
    <w:p w14:paraId="663F84D0" w14:textId="77777777" w:rsidR="001946F9" w:rsidRPr="00B42BE7" w:rsidRDefault="001946F9" w:rsidP="001946F9">
      <w:pPr>
        <w:jc w:val="both"/>
        <w:rPr>
          <w:rFonts w:cs="Times New Roman"/>
          <w:color w:val="000000" w:themeColor="text1"/>
        </w:rPr>
      </w:pPr>
    </w:p>
    <w:p w14:paraId="2BF9ACC8" w14:textId="2C3CCDBC" w:rsidR="001946F9" w:rsidRPr="00B42BE7" w:rsidRDefault="001946F9" w:rsidP="001946F9">
      <w:pPr>
        <w:jc w:val="both"/>
        <w:rPr>
          <w:rFonts w:cs="Times New Roman"/>
          <w:color w:val="000000" w:themeColor="text1"/>
        </w:rPr>
      </w:pPr>
      <w:r w:rsidRPr="00667AF2">
        <w:rPr>
          <w:rFonts w:cs="Times New Roman"/>
          <w:color w:val="000000" w:themeColor="text1"/>
        </w:rPr>
        <w:t>A realização de receitas representou 20,88% do total das Receitas previstas atingindo cerca de 3,5 bilhões. Desse montante realizado, 37,88% dizem respeito a Receitas Correntes e 62,12% são referentes a Receitas de Capital</w:t>
      </w:r>
      <w:r w:rsidR="00FD672C">
        <w:rPr>
          <w:rFonts w:cs="Times New Roman"/>
          <w:color w:val="000000" w:themeColor="text1"/>
        </w:rPr>
        <w:t xml:space="preserve">. </w:t>
      </w:r>
    </w:p>
    <w:tbl>
      <w:tblPr>
        <w:tblW w:w="5000" w:type="pct"/>
        <w:tblCellMar>
          <w:left w:w="10" w:type="dxa"/>
          <w:right w:w="10" w:type="dxa"/>
        </w:tblCellMar>
        <w:tblLook w:val="0000" w:firstRow="0" w:lastRow="0" w:firstColumn="0" w:lastColumn="0" w:noHBand="0" w:noVBand="0"/>
      </w:tblPr>
      <w:tblGrid>
        <w:gridCol w:w="3416"/>
        <w:gridCol w:w="3252"/>
        <w:gridCol w:w="3088"/>
      </w:tblGrid>
      <w:tr w:rsidR="001946F9" w:rsidRPr="00B42BE7" w14:paraId="14D0FE60" w14:textId="77777777" w:rsidTr="001946F9">
        <w:trPr>
          <w:trHeight w:val="20"/>
        </w:trPr>
        <w:tc>
          <w:tcPr>
            <w:tcW w:w="2977" w:type="dxa"/>
            <w:tcBorders>
              <w:top w:val="single" w:sz="4" w:space="0" w:color="000000"/>
              <w:bottom w:val="single" w:sz="4" w:space="0" w:color="000000"/>
            </w:tcBorders>
            <w:shd w:val="clear" w:color="auto" w:fill="D9D9D9"/>
            <w:tcMar>
              <w:top w:w="0" w:type="dxa"/>
              <w:left w:w="108" w:type="dxa"/>
              <w:bottom w:w="0" w:type="dxa"/>
              <w:right w:w="108" w:type="dxa"/>
            </w:tcMar>
            <w:vAlign w:val="center"/>
          </w:tcPr>
          <w:p w14:paraId="246631E0" w14:textId="77777777"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RECEITAS ORÇAMENTÁRIAS</w:t>
            </w:r>
          </w:p>
        </w:tc>
        <w:tc>
          <w:tcPr>
            <w:tcW w:w="2835"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7F942135"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RECEITAS REALIZADAS</w:t>
            </w:r>
          </w:p>
        </w:tc>
        <w:tc>
          <w:tcPr>
            <w:tcW w:w="2692" w:type="dxa"/>
            <w:tcBorders>
              <w:top w:val="single" w:sz="4" w:space="0" w:color="000000"/>
              <w:bottom w:val="single" w:sz="4" w:space="0" w:color="000000"/>
            </w:tcBorders>
            <w:shd w:val="clear" w:color="auto" w:fill="D9D9D9"/>
          </w:tcPr>
          <w:p w14:paraId="70CAEF5A"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w:t>
            </w:r>
          </w:p>
          <w:p w14:paraId="344D4EB3"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REALIZAÇÃO</w:t>
            </w:r>
          </w:p>
        </w:tc>
      </w:tr>
      <w:tr w:rsidR="001946F9" w:rsidRPr="00B42BE7" w14:paraId="442C7DCD" w14:textId="77777777" w:rsidTr="001946F9">
        <w:trPr>
          <w:trHeight w:val="164"/>
        </w:trPr>
        <w:tc>
          <w:tcPr>
            <w:tcW w:w="2977" w:type="dxa"/>
            <w:tcBorders>
              <w:top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30BB5815" w14:textId="77777777"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RECEITAS CORRENTES</w:t>
            </w:r>
          </w:p>
        </w:tc>
        <w:tc>
          <w:tcPr>
            <w:tcW w:w="2835" w:type="dxa"/>
            <w:tcBorders>
              <w:top w:val="single" w:sz="4" w:space="0" w:color="000000"/>
              <w:bottom w:val="single" w:sz="4" w:space="0" w:color="000000"/>
            </w:tcBorders>
            <w:shd w:val="clear" w:color="auto" w:fill="FFFFFF" w:themeFill="background1"/>
            <w:tcMar>
              <w:top w:w="0" w:type="dxa"/>
              <w:left w:w="10" w:type="dxa"/>
              <w:bottom w:w="0" w:type="dxa"/>
              <w:right w:w="10" w:type="dxa"/>
            </w:tcMar>
            <w:vAlign w:val="center"/>
          </w:tcPr>
          <w:p w14:paraId="1E2EE1BE" w14:textId="77777777" w:rsidR="001946F9" w:rsidRPr="00B42BE7" w:rsidRDefault="001946F9" w:rsidP="001946F9">
            <w:pPr>
              <w:ind w:right="-74"/>
              <w:jc w:val="center"/>
              <w:rPr>
                <w:rFonts w:cs="Arial"/>
                <w:color w:val="000000" w:themeColor="text1"/>
                <w:sz w:val="16"/>
                <w:szCs w:val="16"/>
              </w:rPr>
            </w:pPr>
            <w:r w:rsidRPr="00B42BE7">
              <w:rPr>
                <w:rFonts w:cs="Arial"/>
                <w:color w:val="000000" w:themeColor="text1"/>
                <w:sz w:val="16"/>
                <w:szCs w:val="16"/>
              </w:rPr>
              <w:t xml:space="preserve">  </w:t>
            </w:r>
            <w:r w:rsidRPr="00821BC2">
              <w:rPr>
                <w:rFonts w:cs="Arial"/>
                <w:color w:val="000000" w:themeColor="text1"/>
                <w:sz w:val="16"/>
                <w:szCs w:val="16"/>
              </w:rPr>
              <w:t>1</w:t>
            </w:r>
            <w:r>
              <w:rPr>
                <w:rFonts w:cs="Arial"/>
                <w:color w:val="000000" w:themeColor="text1"/>
                <w:sz w:val="16"/>
                <w:szCs w:val="16"/>
              </w:rPr>
              <w:t>.</w:t>
            </w:r>
            <w:r w:rsidRPr="00821BC2">
              <w:rPr>
                <w:rFonts w:cs="Arial"/>
                <w:color w:val="000000" w:themeColor="text1"/>
                <w:sz w:val="16"/>
                <w:szCs w:val="16"/>
              </w:rPr>
              <w:t>341</w:t>
            </w:r>
            <w:r>
              <w:rPr>
                <w:rFonts w:cs="Arial"/>
                <w:color w:val="000000" w:themeColor="text1"/>
                <w:sz w:val="16"/>
                <w:szCs w:val="16"/>
              </w:rPr>
              <w:t>.</w:t>
            </w:r>
            <w:r w:rsidRPr="00821BC2">
              <w:rPr>
                <w:rFonts w:cs="Arial"/>
                <w:color w:val="000000" w:themeColor="text1"/>
                <w:sz w:val="16"/>
                <w:szCs w:val="16"/>
              </w:rPr>
              <w:t>150</w:t>
            </w:r>
            <w:r>
              <w:rPr>
                <w:rFonts w:cs="Arial"/>
                <w:color w:val="000000" w:themeColor="text1"/>
                <w:sz w:val="16"/>
                <w:szCs w:val="16"/>
              </w:rPr>
              <w:t>.</w:t>
            </w:r>
            <w:r w:rsidRPr="00821BC2">
              <w:rPr>
                <w:rFonts w:cs="Arial"/>
                <w:color w:val="000000" w:themeColor="text1"/>
                <w:sz w:val="16"/>
                <w:szCs w:val="16"/>
              </w:rPr>
              <w:t>595,37</w:t>
            </w:r>
          </w:p>
        </w:tc>
        <w:tc>
          <w:tcPr>
            <w:tcW w:w="2692" w:type="dxa"/>
            <w:tcBorders>
              <w:top w:val="single" w:sz="4" w:space="0" w:color="000000"/>
              <w:bottom w:val="single" w:sz="4" w:space="0" w:color="000000"/>
            </w:tcBorders>
            <w:shd w:val="clear" w:color="auto" w:fill="FFFFFF" w:themeFill="background1"/>
          </w:tcPr>
          <w:p w14:paraId="0796EDC6" w14:textId="77777777" w:rsidR="001946F9" w:rsidRPr="00B42BE7" w:rsidRDefault="001946F9" w:rsidP="001946F9">
            <w:pPr>
              <w:ind w:right="-74"/>
              <w:jc w:val="center"/>
              <w:rPr>
                <w:rFonts w:cs="Arial"/>
                <w:color w:val="000000" w:themeColor="text1"/>
                <w:sz w:val="16"/>
                <w:szCs w:val="16"/>
              </w:rPr>
            </w:pPr>
            <w:r>
              <w:rPr>
                <w:rFonts w:cs="Arial"/>
                <w:color w:val="000000" w:themeColor="text1"/>
                <w:sz w:val="16"/>
                <w:szCs w:val="16"/>
              </w:rPr>
              <w:t>37,88</w:t>
            </w:r>
          </w:p>
        </w:tc>
      </w:tr>
      <w:tr w:rsidR="001946F9" w:rsidRPr="00B42BE7" w14:paraId="0B53E60C" w14:textId="77777777" w:rsidTr="001946F9">
        <w:trPr>
          <w:trHeight w:val="20"/>
        </w:trPr>
        <w:tc>
          <w:tcPr>
            <w:tcW w:w="2977" w:type="dxa"/>
            <w:tcBorders>
              <w:top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79E2F623" w14:textId="33AD67E9"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RECEITAS DE CAPITAL</w:t>
            </w:r>
            <w:r w:rsidR="00FD672C">
              <w:rPr>
                <w:rFonts w:cs="Arial"/>
                <w:b/>
                <w:color w:val="000000" w:themeColor="text1"/>
                <w:sz w:val="16"/>
                <w:szCs w:val="16"/>
              </w:rPr>
              <w:t xml:space="preserve">                    </w:t>
            </w:r>
          </w:p>
        </w:tc>
        <w:tc>
          <w:tcPr>
            <w:tcW w:w="2835" w:type="dxa"/>
            <w:tcBorders>
              <w:top w:val="single" w:sz="4" w:space="0" w:color="000000"/>
              <w:bottom w:val="single" w:sz="4" w:space="0" w:color="000000"/>
            </w:tcBorders>
            <w:shd w:val="clear" w:color="auto" w:fill="FFFFFF" w:themeFill="background1"/>
            <w:tcMar>
              <w:top w:w="0" w:type="dxa"/>
              <w:left w:w="10" w:type="dxa"/>
              <w:bottom w:w="0" w:type="dxa"/>
              <w:right w:w="10" w:type="dxa"/>
            </w:tcMar>
            <w:vAlign w:val="center"/>
          </w:tcPr>
          <w:p w14:paraId="1309A6A9" w14:textId="16D6FEFF" w:rsidR="001946F9" w:rsidRPr="00B42BE7" w:rsidRDefault="00FD672C" w:rsidP="001946F9">
            <w:pPr>
              <w:ind w:right="-74"/>
              <w:rPr>
                <w:rFonts w:cs="Arial"/>
                <w:color w:val="000000" w:themeColor="text1"/>
                <w:sz w:val="16"/>
                <w:szCs w:val="16"/>
              </w:rPr>
            </w:pPr>
            <w:r>
              <w:rPr>
                <w:rFonts w:cs="Arial"/>
                <w:color w:val="000000" w:themeColor="text1"/>
                <w:sz w:val="16"/>
                <w:szCs w:val="16"/>
              </w:rPr>
              <w:t xml:space="preserve">                            </w:t>
            </w:r>
            <w:r w:rsidR="001946F9" w:rsidRPr="00821BC2">
              <w:rPr>
                <w:rFonts w:cs="Arial"/>
                <w:color w:val="000000" w:themeColor="text1"/>
                <w:sz w:val="16"/>
                <w:szCs w:val="16"/>
              </w:rPr>
              <w:t>2</w:t>
            </w:r>
            <w:r w:rsidR="001946F9">
              <w:rPr>
                <w:rFonts w:cs="Arial"/>
                <w:color w:val="000000" w:themeColor="text1"/>
                <w:sz w:val="16"/>
                <w:szCs w:val="16"/>
              </w:rPr>
              <w:t>.</w:t>
            </w:r>
            <w:r w:rsidR="001946F9" w:rsidRPr="00821BC2">
              <w:rPr>
                <w:rFonts w:cs="Arial"/>
                <w:color w:val="000000" w:themeColor="text1"/>
                <w:sz w:val="16"/>
                <w:szCs w:val="16"/>
              </w:rPr>
              <w:t>199</w:t>
            </w:r>
            <w:r w:rsidR="001946F9">
              <w:rPr>
                <w:rFonts w:cs="Arial"/>
                <w:color w:val="000000" w:themeColor="text1"/>
                <w:sz w:val="16"/>
                <w:szCs w:val="16"/>
              </w:rPr>
              <w:t>.</w:t>
            </w:r>
            <w:r w:rsidR="001946F9" w:rsidRPr="00821BC2">
              <w:rPr>
                <w:rFonts w:cs="Arial"/>
                <w:color w:val="000000" w:themeColor="text1"/>
                <w:sz w:val="16"/>
                <w:szCs w:val="16"/>
              </w:rPr>
              <w:t>602</w:t>
            </w:r>
            <w:r w:rsidR="001946F9">
              <w:rPr>
                <w:rFonts w:cs="Arial"/>
                <w:color w:val="000000" w:themeColor="text1"/>
                <w:sz w:val="16"/>
                <w:szCs w:val="16"/>
              </w:rPr>
              <w:t>.</w:t>
            </w:r>
            <w:r w:rsidR="001946F9" w:rsidRPr="00821BC2">
              <w:rPr>
                <w:rFonts w:cs="Arial"/>
                <w:color w:val="000000" w:themeColor="text1"/>
                <w:sz w:val="16"/>
                <w:szCs w:val="16"/>
              </w:rPr>
              <w:t>687,88</w:t>
            </w:r>
          </w:p>
        </w:tc>
        <w:tc>
          <w:tcPr>
            <w:tcW w:w="2692" w:type="dxa"/>
            <w:tcBorders>
              <w:top w:val="single" w:sz="4" w:space="0" w:color="000000"/>
              <w:bottom w:val="single" w:sz="4" w:space="0" w:color="000000"/>
            </w:tcBorders>
            <w:shd w:val="clear" w:color="auto" w:fill="FFFFFF" w:themeFill="background1"/>
          </w:tcPr>
          <w:p w14:paraId="744B644D" w14:textId="77777777" w:rsidR="001946F9" w:rsidRPr="00B42BE7" w:rsidRDefault="001946F9" w:rsidP="001946F9">
            <w:pPr>
              <w:ind w:right="-74"/>
              <w:jc w:val="center"/>
              <w:rPr>
                <w:rFonts w:cs="Arial"/>
                <w:color w:val="000000" w:themeColor="text1"/>
                <w:sz w:val="16"/>
                <w:szCs w:val="16"/>
              </w:rPr>
            </w:pPr>
            <w:r>
              <w:rPr>
                <w:rFonts w:cs="Arial"/>
                <w:color w:val="000000" w:themeColor="text1"/>
                <w:sz w:val="16"/>
                <w:szCs w:val="16"/>
              </w:rPr>
              <w:t>63,12</w:t>
            </w:r>
          </w:p>
        </w:tc>
      </w:tr>
      <w:tr w:rsidR="001946F9" w:rsidRPr="00B42BE7" w14:paraId="6A49222E" w14:textId="77777777" w:rsidTr="001946F9">
        <w:trPr>
          <w:trHeight w:val="20"/>
        </w:trPr>
        <w:tc>
          <w:tcPr>
            <w:tcW w:w="2977" w:type="dxa"/>
            <w:tcBorders>
              <w:top w:val="single" w:sz="4" w:space="0" w:color="000000"/>
              <w:bottom w:val="single" w:sz="4" w:space="0" w:color="000000"/>
            </w:tcBorders>
            <w:shd w:val="clear" w:color="auto" w:fill="D9D9D9"/>
            <w:tcMar>
              <w:top w:w="0" w:type="dxa"/>
              <w:left w:w="108" w:type="dxa"/>
              <w:bottom w:w="0" w:type="dxa"/>
              <w:right w:w="108" w:type="dxa"/>
            </w:tcMar>
            <w:vAlign w:val="center"/>
          </w:tcPr>
          <w:p w14:paraId="2CAD0871" w14:textId="77777777" w:rsidR="001946F9" w:rsidRPr="00B42BE7" w:rsidRDefault="001946F9" w:rsidP="001946F9">
            <w:pPr>
              <w:rPr>
                <w:rFonts w:cs="Arial"/>
                <w:b/>
                <w:color w:val="000000" w:themeColor="text1"/>
                <w:sz w:val="16"/>
                <w:szCs w:val="16"/>
              </w:rPr>
            </w:pPr>
            <w:r w:rsidRPr="00B42BE7">
              <w:rPr>
                <w:rFonts w:cs="Arial"/>
                <w:b/>
                <w:color w:val="000000" w:themeColor="text1"/>
                <w:sz w:val="16"/>
                <w:szCs w:val="16"/>
              </w:rPr>
              <w:t xml:space="preserve">Total </w:t>
            </w:r>
          </w:p>
        </w:tc>
        <w:tc>
          <w:tcPr>
            <w:tcW w:w="2835"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0529A5BB" w14:textId="77777777" w:rsidR="001946F9" w:rsidRPr="00B42BE7" w:rsidRDefault="001946F9" w:rsidP="001946F9">
            <w:pPr>
              <w:jc w:val="center"/>
              <w:rPr>
                <w:rFonts w:cs="Arial"/>
                <w:b/>
                <w:color w:val="000000" w:themeColor="text1"/>
                <w:sz w:val="16"/>
                <w:szCs w:val="16"/>
              </w:rPr>
            </w:pPr>
            <w:r>
              <w:rPr>
                <w:rFonts w:cs="Arial"/>
                <w:b/>
                <w:color w:val="000000" w:themeColor="text1"/>
                <w:sz w:val="16"/>
                <w:szCs w:val="16"/>
              </w:rPr>
              <w:t xml:space="preserve">   </w:t>
            </w:r>
            <w:r w:rsidRPr="00821BC2">
              <w:rPr>
                <w:rFonts w:cs="Arial"/>
                <w:b/>
                <w:color w:val="000000" w:themeColor="text1"/>
                <w:sz w:val="16"/>
                <w:szCs w:val="16"/>
              </w:rPr>
              <w:t>3</w:t>
            </w:r>
            <w:r>
              <w:rPr>
                <w:rFonts w:cs="Arial"/>
                <w:b/>
                <w:color w:val="000000" w:themeColor="text1"/>
                <w:sz w:val="16"/>
                <w:szCs w:val="16"/>
              </w:rPr>
              <w:t>.</w:t>
            </w:r>
            <w:r w:rsidRPr="00821BC2">
              <w:rPr>
                <w:rFonts w:cs="Arial"/>
                <w:b/>
                <w:color w:val="000000" w:themeColor="text1"/>
                <w:sz w:val="16"/>
                <w:szCs w:val="16"/>
              </w:rPr>
              <w:t>540</w:t>
            </w:r>
            <w:r>
              <w:rPr>
                <w:rFonts w:cs="Arial"/>
                <w:b/>
                <w:color w:val="000000" w:themeColor="text1"/>
                <w:sz w:val="16"/>
                <w:szCs w:val="16"/>
              </w:rPr>
              <w:t>.</w:t>
            </w:r>
            <w:r w:rsidRPr="00821BC2">
              <w:rPr>
                <w:rFonts w:cs="Arial"/>
                <w:b/>
                <w:color w:val="000000" w:themeColor="text1"/>
                <w:sz w:val="16"/>
                <w:szCs w:val="16"/>
              </w:rPr>
              <w:t>753</w:t>
            </w:r>
            <w:r>
              <w:rPr>
                <w:rFonts w:cs="Arial"/>
                <w:b/>
                <w:color w:val="000000" w:themeColor="text1"/>
                <w:sz w:val="16"/>
                <w:szCs w:val="16"/>
              </w:rPr>
              <w:t>.</w:t>
            </w:r>
            <w:r w:rsidRPr="00821BC2">
              <w:rPr>
                <w:rFonts w:cs="Arial"/>
                <w:b/>
                <w:color w:val="000000" w:themeColor="text1"/>
                <w:sz w:val="16"/>
                <w:szCs w:val="16"/>
              </w:rPr>
              <w:t>283,25</w:t>
            </w:r>
          </w:p>
        </w:tc>
        <w:tc>
          <w:tcPr>
            <w:tcW w:w="2692" w:type="dxa"/>
            <w:tcBorders>
              <w:top w:val="single" w:sz="4" w:space="0" w:color="000000"/>
              <w:bottom w:val="single" w:sz="4" w:space="0" w:color="000000"/>
            </w:tcBorders>
            <w:shd w:val="clear" w:color="auto" w:fill="D9D9D9"/>
          </w:tcPr>
          <w:p w14:paraId="29C79FC5" w14:textId="77777777"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100,00</w:t>
            </w:r>
          </w:p>
        </w:tc>
      </w:tr>
    </w:tbl>
    <w:p w14:paraId="12B121D8" w14:textId="77777777" w:rsidR="001946F9" w:rsidRPr="00B42BE7" w:rsidRDefault="001946F9" w:rsidP="001946F9">
      <w:pPr>
        <w:jc w:val="both"/>
        <w:rPr>
          <w:rFonts w:cs="Times New Roman"/>
          <w:color w:val="000000" w:themeColor="text1"/>
          <w:sz w:val="16"/>
          <w:szCs w:val="16"/>
        </w:rPr>
      </w:pPr>
    </w:p>
    <w:p w14:paraId="306C1ADC" w14:textId="77777777" w:rsidR="001946F9" w:rsidRPr="00B42BE7" w:rsidRDefault="001946F9" w:rsidP="001946F9">
      <w:pPr>
        <w:jc w:val="both"/>
        <w:rPr>
          <w:rFonts w:cs="Times New Roman"/>
          <w:color w:val="000000" w:themeColor="text1"/>
        </w:rPr>
      </w:pPr>
      <w:r w:rsidRPr="00B42BE7">
        <w:rPr>
          <w:rFonts w:cs="Times New Roman"/>
          <w:color w:val="000000" w:themeColor="text1"/>
        </w:rPr>
        <w:t>Em análise realizada de forma detalhada na rea</w:t>
      </w:r>
      <w:r>
        <w:rPr>
          <w:rFonts w:cs="Times New Roman"/>
          <w:color w:val="000000" w:themeColor="text1"/>
        </w:rPr>
        <w:t>lização de receitas, no quarto</w:t>
      </w:r>
      <w:r w:rsidRPr="00B42BE7">
        <w:rPr>
          <w:rFonts w:cs="Times New Roman"/>
          <w:color w:val="000000" w:themeColor="text1"/>
        </w:rPr>
        <w:t xml:space="preserve"> trimestre, fica evidenciada uma insuficiência na arrecadação de Receita Corrente em todos os grupos, exceto em Receita de Serviços – Outros Serviços e Indenizações, Restituições e Ressarcimentos em que teve percentual de realização superior a previsão atualizada, evidenciando frustração de previsão/excesso de arrecadação.</w:t>
      </w:r>
    </w:p>
    <w:p w14:paraId="3E4F3706" w14:textId="77777777" w:rsidR="001946F9" w:rsidRPr="00B42BE7" w:rsidRDefault="001946F9" w:rsidP="001946F9">
      <w:pPr>
        <w:jc w:val="both"/>
        <w:rPr>
          <w:rFonts w:cs="Times New Roman"/>
          <w:color w:val="000000" w:themeColor="text1"/>
        </w:rPr>
      </w:pPr>
    </w:p>
    <w:tbl>
      <w:tblPr>
        <w:tblW w:w="8920" w:type="dxa"/>
        <w:tblCellMar>
          <w:left w:w="70" w:type="dxa"/>
          <w:right w:w="70" w:type="dxa"/>
        </w:tblCellMar>
        <w:tblLook w:val="04A0" w:firstRow="1" w:lastRow="0" w:firstColumn="1" w:lastColumn="0" w:noHBand="0" w:noVBand="1"/>
      </w:tblPr>
      <w:tblGrid>
        <w:gridCol w:w="3880"/>
        <w:gridCol w:w="1500"/>
        <w:gridCol w:w="1460"/>
        <w:gridCol w:w="2080"/>
      </w:tblGrid>
      <w:tr w:rsidR="001946F9" w:rsidRPr="00B42BE7" w14:paraId="0872CC3D" w14:textId="77777777" w:rsidTr="001946F9">
        <w:trPr>
          <w:trHeight w:val="645"/>
        </w:trPr>
        <w:tc>
          <w:tcPr>
            <w:tcW w:w="3880" w:type="dxa"/>
            <w:tcBorders>
              <w:top w:val="single" w:sz="8" w:space="0" w:color="000000"/>
              <w:left w:val="nil"/>
              <w:bottom w:val="single" w:sz="8" w:space="0" w:color="000000"/>
              <w:right w:val="nil"/>
            </w:tcBorders>
            <w:shd w:val="clear" w:color="000000" w:fill="D9D9D9"/>
            <w:vAlign w:val="center"/>
            <w:hideMark/>
          </w:tcPr>
          <w:p w14:paraId="7FFEB77E"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1500" w:type="dxa"/>
            <w:tcBorders>
              <w:top w:val="single" w:sz="8" w:space="0" w:color="000000"/>
              <w:left w:val="nil"/>
              <w:bottom w:val="single" w:sz="8" w:space="0" w:color="000000"/>
              <w:right w:val="nil"/>
            </w:tcBorders>
            <w:shd w:val="clear" w:color="000000" w:fill="D9D9D9"/>
            <w:vAlign w:val="center"/>
            <w:hideMark/>
          </w:tcPr>
          <w:p w14:paraId="69D26690"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PREVISÃO AT</w:t>
            </w:r>
            <w:r w:rsidRPr="00B42BE7">
              <w:rPr>
                <w:rFonts w:eastAsia="Times New Roman" w:cs="Arial"/>
                <w:b/>
                <w:bCs/>
                <w:color w:val="000000" w:themeColor="text1"/>
                <w:kern w:val="0"/>
                <w:sz w:val="16"/>
                <w:szCs w:val="16"/>
                <w:lang w:eastAsia="pt-BR" w:bidi="ar-SA"/>
              </w:rPr>
              <w:t>U</w:t>
            </w:r>
            <w:r w:rsidRPr="00B42BE7">
              <w:rPr>
                <w:rFonts w:eastAsia="Times New Roman" w:cs="Arial"/>
                <w:b/>
                <w:bCs/>
                <w:color w:val="000000" w:themeColor="text1"/>
                <w:kern w:val="0"/>
                <w:sz w:val="16"/>
                <w:szCs w:val="16"/>
                <w:lang w:eastAsia="pt-BR" w:bidi="ar-SA"/>
              </w:rPr>
              <w:t>ALIZADA</w:t>
            </w:r>
          </w:p>
        </w:tc>
        <w:tc>
          <w:tcPr>
            <w:tcW w:w="1460" w:type="dxa"/>
            <w:tcBorders>
              <w:top w:val="single" w:sz="8" w:space="0" w:color="000000"/>
              <w:left w:val="nil"/>
              <w:bottom w:val="single" w:sz="8" w:space="0" w:color="000000"/>
              <w:right w:val="nil"/>
            </w:tcBorders>
            <w:shd w:val="clear" w:color="000000" w:fill="D9D9D9"/>
            <w:vAlign w:val="center"/>
            <w:hideMark/>
          </w:tcPr>
          <w:p w14:paraId="47B5A403"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RECEITAS RE</w:t>
            </w:r>
            <w:r w:rsidRPr="00B42BE7">
              <w:rPr>
                <w:rFonts w:eastAsia="Times New Roman" w:cs="Arial"/>
                <w:b/>
                <w:bCs/>
                <w:color w:val="000000" w:themeColor="text1"/>
                <w:kern w:val="0"/>
                <w:sz w:val="16"/>
                <w:szCs w:val="16"/>
                <w:lang w:eastAsia="pt-BR" w:bidi="ar-SA"/>
              </w:rPr>
              <w:t>A</w:t>
            </w:r>
            <w:r w:rsidRPr="00B42BE7">
              <w:rPr>
                <w:rFonts w:eastAsia="Times New Roman" w:cs="Arial"/>
                <w:b/>
                <w:bCs/>
                <w:color w:val="000000" w:themeColor="text1"/>
                <w:kern w:val="0"/>
                <w:sz w:val="16"/>
                <w:szCs w:val="16"/>
                <w:lang w:eastAsia="pt-BR" w:bidi="ar-SA"/>
              </w:rPr>
              <w:t>LIZADAS</w:t>
            </w:r>
          </w:p>
        </w:tc>
        <w:tc>
          <w:tcPr>
            <w:tcW w:w="2080" w:type="dxa"/>
            <w:tcBorders>
              <w:top w:val="single" w:sz="8" w:space="0" w:color="000000"/>
              <w:left w:val="nil"/>
              <w:bottom w:val="single" w:sz="8" w:space="0" w:color="000000"/>
              <w:right w:val="nil"/>
            </w:tcBorders>
            <w:shd w:val="clear" w:color="000000" w:fill="D9D9D9"/>
            <w:vAlign w:val="center"/>
            <w:hideMark/>
          </w:tcPr>
          <w:p w14:paraId="1E61F10A" w14:textId="77777777" w:rsidR="001946F9" w:rsidRPr="00B42BE7" w:rsidRDefault="001946F9" w:rsidP="001946F9">
            <w:pPr>
              <w:widowControl/>
              <w:suppressAutoHyphens w:val="0"/>
              <w:autoSpaceDN/>
              <w:jc w:val="center"/>
              <w:rPr>
                <w:rFonts w:eastAsia="Times New Roman" w:cs="Arial"/>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FRUSTRAÇÃO NA PR</w:t>
            </w:r>
            <w:r w:rsidRPr="00B42BE7">
              <w:rPr>
                <w:rFonts w:eastAsia="Times New Roman" w:cs="Arial"/>
                <w:b/>
                <w:bCs/>
                <w:color w:val="000000" w:themeColor="text1"/>
                <w:kern w:val="0"/>
                <w:sz w:val="16"/>
                <w:szCs w:val="16"/>
                <w:lang w:eastAsia="pt-BR" w:bidi="ar-SA"/>
              </w:rPr>
              <w:t>E</w:t>
            </w:r>
            <w:r w:rsidRPr="00B42BE7">
              <w:rPr>
                <w:rFonts w:eastAsia="Times New Roman" w:cs="Arial"/>
                <w:b/>
                <w:bCs/>
                <w:color w:val="000000" w:themeColor="text1"/>
                <w:kern w:val="0"/>
                <w:sz w:val="16"/>
                <w:szCs w:val="16"/>
                <w:lang w:eastAsia="pt-BR" w:bidi="ar-SA"/>
              </w:rPr>
              <w:t>VISÃO/EXCESSO</w:t>
            </w:r>
          </w:p>
          <w:p w14:paraId="2E68E054"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DE ARRECADAÇÃO</w:t>
            </w:r>
          </w:p>
        </w:tc>
      </w:tr>
      <w:tr w:rsidR="001946F9" w:rsidRPr="00B42BE7" w14:paraId="2B8B4D66" w14:textId="77777777" w:rsidTr="001946F9">
        <w:trPr>
          <w:trHeight w:val="270"/>
        </w:trPr>
        <w:tc>
          <w:tcPr>
            <w:tcW w:w="3880" w:type="dxa"/>
            <w:tcBorders>
              <w:top w:val="nil"/>
              <w:left w:val="nil"/>
              <w:bottom w:val="single" w:sz="8" w:space="0" w:color="000000"/>
              <w:right w:val="nil"/>
            </w:tcBorders>
            <w:shd w:val="clear" w:color="000000" w:fill="D9D9D9"/>
            <w:vAlign w:val="center"/>
            <w:hideMark/>
          </w:tcPr>
          <w:p w14:paraId="3711EBD8"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RECEITAS CORRENTES</w:t>
            </w:r>
          </w:p>
        </w:tc>
        <w:tc>
          <w:tcPr>
            <w:tcW w:w="1500" w:type="dxa"/>
            <w:tcBorders>
              <w:top w:val="nil"/>
              <w:left w:val="nil"/>
              <w:bottom w:val="single" w:sz="8" w:space="0" w:color="000000"/>
              <w:right w:val="nil"/>
            </w:tcBorders>
            <w:shd w:val="clear" w:color="000000" w:fill="D9D9D9"/>
            <w:vAlign w:val="center"/>
            <w:hideMark/>
          </w:tcPr>
          <w:p w14:paraId="45919356"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1460" w:type="dxa"/>
            <w:tcBorders>
              <w:top w:val="nil"/>
              <w:left w:val="nil"/>
              <w:bottom w:val="single" w:sz="8" w:space="0" w:color="000000"/>
              <w:right w:val="nil"/>
            </w:tcBorders>
            <w:shd w:val="clear" w:color="000000" w:fill="D9D9D9"/>
            <w:vAlign w:val="center"/>
            <w:hideMark/>
          </w:tcPr>
          <w:p w14:paraId="7CCE2A39"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2080" w:type="dxa"/>
            <w:tcBorders>
              <w:top w:val="nil"/>
              <w:left w:val="nil"/>
              <w:bottom w:val="single" w:sz="8" w:space="0" w:color="000000"/>
              <w:right w:val="nil"/>
            </w:tcBorders>
            <w:shd w:val="clear" w:color="000000" w:fill="D9D9D9"/>
            <w:vAlign w:val="center"/>
            <w:hideMark/>
          </w:tcPr>
          <w:p w14:paraId="0C36C0B3"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r>
      <w:tr w:rsidR="001946F9" w:rsidRPr="00B42BE7" w14:paraId="268101D3" w14:textId="77777777" w:rsidTr="001946F9">
        <w:trPr>
          <w:trHeight w:val="255"/>
        </w:trPr>
        <w:tc>
          <w:tcPr>
            <w:tcW w:w="3880" w:type="dxa"/>
            <w:tcBorders>
              <w:top w:val="nil"/>
              <w:left w:val="nil"/>
              <w:bottom w:val="nil"/>
              <w:right w:val="nil"/>
            </w:tcBorders>
            <w:shd w:val="clear" w:color="auto" w:fill="auto"/>
            <w:vAlign w:val="center"/>
            <w:hideMark/>
          </w:tcPr>
          <w:p w14:paraId="1A2508A4" w14:textId="77777777" w:rsidR="001946F9" w:rsidRPr="00B42BE7" w:rsidRDefault="001946F9" w:rsidP="001946F9">
            <w:pPr>
              <w:widowControl/>
              <w:suppressAutoHyphens w:val="0"/>
              <w:autoSpaceDN/>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Receita de Serviços – Outros Serviços</w:t>
            </w:r>
          </w:p>
        </w:tc>
        <w:tc>
          <w:tcPr>
            <w:tcW w:w="1500" w:type="dxa"/>
            <w:tcBorders>
              <w:top w:val="nil"/>
              <w:left w:val="nil"/>
              <w:bottom w:val="nil"/>
              <w:right w:val="nil"/>
            </w:tcBorders>
            <w:shd w:val="clear" w:color="auto" w:fill="auto"/>
            <w:vAlign w:val="center"/>
            <w:hideMark/>
          </w:tcPr>
          <w:p w14:paraId="19C9331A"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0,00</w:t>
            </w:r>
          </w:p>
        </w:tc>
        <w:tc>
          <w:tcPr>
            <w:tcW w:w="1460" w:type="dxa"/>
            <w:tcBorders>
              <w:top w:val="nil"/>
              <w:left w:val="nil"/>
              <w:bottom w:val="nil"/>
              <w:right w:val="nil"/>
            </w:tcBorders>
            <w:shd w:val="clear" w:color="auto" w:fill="auto"/>
            <w:vAlign w:val="center"/>
            <w:hideMark/>
          </w:tcPr>
          <w:p w14:paraId="56BA36C6"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3.478,50</w:t>
            </w:r>
          </w:p>
        </w:tc>
        <w:tc>
          <w:tcPr>
            <w:tcW w:w="2080" w:type="dxa"/>
            <w:tcBorders>
              <w:top w:val="nil"/>
              <w:left w:val="nil"/>
              <w:bottom w:val="nil"/>
              <w:right w:val="nil"/>
            </w:tcBorders>
            <w:shd w:val="clear" w:color="auto" w:fill="auto"/>
            <w:vAlign w:val="center"/>
            <w:hideMark/>
          </w:tcPr>
          <w:p w14:paraId="40D42AF6"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    100,00%</w:t>
            </w:r>
          </w:p>
        </w:tc>
      </w:tr>
      <w:tr w:rsidR="001946F9" w:rsidRPr="00B42BE7" w14:paraId="16BBA551" w14:textId="77777777" w:rsidTr="001946F9">
        <w:trPr>
          <w:trHeight w:val="255"/>
        </w:trPr>
        <w:tc>
          <w:tcPr>
            <w:tcW w:w="3880" w:type="dxa"/>
            <w:tcBorders>
              <w:top w:val="nil"/>
              <w:left w:val="nil"/>
              <w:bottom w:val="nil"/>
              <w:right w:val="nil"/>
            </w:tcBorders>
            <w:shd w:val="clear" w:color="auto" w:fill="auto"/>
            <w:vAlign w:val="center"/>
            <w:hideMark/>
          </w:tcPr>
          <w:p w14:paraId="3E2FC90E" w14:textId="77777777" w:rsidR="001946F9" w:rsidRPr="00B42BE7" w:rsidRDefault="001946F9" w:rsidP="001946F9">
            <w:pPr>
              <w:widowControl/>
              <w:suppressAutoHyphens w:val="0"/>
              <w:autoSpaceDN/>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Outas Receitas Correntes </w:t>
            </w:r>
          </w:p>
        </w:tc>
        <w:tc>
          <w:tcPr>
            <w:tcW w:w="1500" w:type="dxa"/>
            <w:tcBorders>
              <w:top w:val="nil"/>
              <w:left w:val="nil"/>
              <w:bottom w:val="nil"/>
              <w:right w:val="nil"/>
            </w:tcBorders>
            <w:shd w:val="clear" w:color="auto" w:fill="auto"/>
            <w:vAlign w:val="center"/>
          </w:tcPr>
          <w:p w14:paraId="4A40E9EA"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p>
        </w:tc>
        <w:tc>
          <w:tcPr>
            <w:tcW w:w="1460" w:type="dxa"/>
            <w:tcBorders>
              <w:top w:val="nil"/>
              <w:left w:val="nil"/>
              <w:bottom w:val="nil"/>
              <w:right w:val="nil"/>
            </w:tcBorders>
            <w:shd w:val="clear" w:color="auto" w:fill="auto"/>
            <w:vAlign w:val="center"/>
          </w:tcPr>
          <w:p w14:paraId="375A88F4"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p>
        </w:tc>
        <w:tc>
          <w:tcPr>
            <w:tcW w:w="2080" w:type="dxa"/>
            <w:tcBorders>
              <w:top w:val="nil"/>
              <w:left w:val="nil"/>
              <w:bottom w:val="nil"/>
              <w:right w:val="nil"/>
            </w:tcBorders>
            <w:shd w:val="clear" w:color="auto" w:fill="auto"/>
            <w:vAlign w:val="center"/>
          </w:tcPr>
          <w:p w14:paraId="2744D567"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p>
        </w:tc>
      </w:tr>
      <w:tr w:rsidR="001946F9" w:rsidRPr="00B42BE7" w14:paraId="0A9FCC5C" w14:textId="77777777" w:rsidTr="001946F9">
        <w:trPr>
          <w:trHeight w:val="255"/>
        </w:trPr>
        <w:tc>
          <w:tcPr>
            <w:tcW w:w="3880" w:type="dxa"/>
            <w:tcBorders>
              <w:top w:val="nil"/>
              <w:left w:val="nil"/>
              <w:bottom w:val="nil"/>
              <w:right w:val="nil"/>
            </w:tcBorders>
            <w:shd w:val="clear" w:color="auto" w:fill="auto"/>
            <w:vAlign w:val="center"/>
            <w:hideMark/>
          </w:tcPr>
          <w:p w14:paraId="37C1C02F" w14:textId="77777777" w:rsidR="001946F9" w:rsidRPr="00B42BE7" w:rsidRDefault="001946F9" w:rsidP="001946F9">
            <w:pPr>
              <w:widowControl/>
              <w:suppressAutoHyphens w:val="0"/>
              <w:autoSpaceDN/>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   Indenização, Restituição e Ressarcimentos</w:t>
            </w:r>
          </w:p>
        </w:tc>
        <w:tc>
          <w:tcPr>
            <w:tcW w:w="1500" w:type="dxa"/>
            <w:tcBorders>
              <w:top w:val="nil"/>
              <w:left w:val="nil"/>
              <w:bottom w:val="nil"/>
              <w:right w:val="nil"/>
            </w:tcBorders>
            <w:shd w:val="clear" w:color="auto" w:fill="auto"/>
            <w:vAlign w:val="center"/>
            <w:hideMark/>
          </w:tcPr>
          <w:p w14:paraId="1EF6A7EA"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211.355,00</w:t>
            </w:r>
          </w:p>
        </w:tc>
        <w:tc>
          <w:tcPr>
            <w:tcW w:w="1460" w:type="dxa"/>
            <w:tcBorders>
              <w:top w:val="nil"/>
              <w:left w:val="nil"/>
              <w:bottom w:val="nil"/>
              <w:right w:val="nil"/>
            </w:tcBorders>
            <w:shd w:val="clear" w:color="auto" w:fill="auto"/>
            <w:vAlign w:val="center"/>
            <w:hideMark/>
          </w:tcPr>
          <w:p w14:paraId="77947181"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r w:rsidRPr="00C97A65">
              <w:rPr>
                <w:rFonts w:eastAsia="Times New Roman" w:cs="Arial"/>
                <w:color w:val="000000" w:themeColor="text1"/>
                <w:kern w:val="0"/>
                <w:sz w:val="16"/>
                <w:szCs w:val="16"/>
                <w:lang w:eastAsia="pt-BR" w:bidi="ar-SA"/>
              </w:rPr>
              <w:t>31</w:t>
            </w:r>
            <w:r>
              <w:rPr>
                <w:rFonts w:eastAsia="Times New Roman" w:cs="Arial"/>
                <w:color w:val="000000" w:themeColor="text1"/>
                <w:kern w:val="0"/>
                <w:sz w:val="16"/>
                <w:szCs w:val="16"/>
                <w:lang w:eastAsia="pt-BR" w:bidi="ar-SA"/>
              </w:rPr>
              <w:t>.</w:t>
            </w:r>
            <w:r w:rsidRPr="00C97A65">
              <w:rPr>
                <w:rFonts w:eastAsia="Times New Roman" w:cs="Arial"/>
                <w:color w:val="000000" w:themeColor="text1"/>
                <w:kern w:val="0"/>
                <w:sz w:val="16"/>
                <w:szCs w:val="16"/>
                <w:lang w:eastAsia="pt-BR" w:bidi="ar-SA"/>
              </w:rPr>
              <w:t>249</w:t>
            </w:r>
            <w:r>
              <w:rPr>
                <w:rFonts w:eastAsia="Times New Roman" w:cs="Arial"/>
                <w:color w:val="000000" w:themeColor="text1"/>
                <w:kern w:val="0"/>
                <w:sz w:val="16"/>
                <w:szCs w:val="16"/>
                <w:lang w:eastAsia="pt-BR" w:bidi="ar-SA"/>
              </w:rPr>
              <w:t>.</w:t>
            </w:r>
            <w:r w:rsidRPr="00C97A65">
              <w:rPr>
                <w:rFonts w:eastAsia="Times New Roman" w:cs="Arial"/>
                <w:color w:val="000000" w:themeColor="text1"/>
                <w:kern w:val="0"/>
                <w:sz w:val="16"/>
                <w:szCs w:val="16"/>
                <w:lang w:eastAsia="pt-BR" w:bidi="ar-SA"/>
              </w:rPr>
              <w:t>715,16</w:t>
            </w:r>
          </w:p>
        </w:tc>
        <w:tc>
          <w:tcPr>
            <w:tcW w:w="2080" w:type="dxa"/>
            <w:tcBorders>
              <w:top w:val="nil"/>
              <w:left w:val="nil"/>
              <w:bottom w:val="nil"/>
              <w:right w:val="nil"/>
            </w:tcBorders>
            <w:shd w:val="clear" w:color="auto" w:fill="auto"/>
            <w:vAlign w:val="center"/>
            <w:hideMark/>
          </w:tcPr>
          <w:p w14:paraId="14D3563B"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Pr>
                <w:rFonts w:eastAsia="Times New Roman" w:cs="Arial"/>
                <w:color w:val="000000" w:themeColor="text1"/>
                <w:kern w:val="0"/>
                <w:sz w:val="16"/>
                <w:szCs w:val="16"/>
                <w:lang w:eastAsia="pt-BR" w:bidi="ar-SA"/>
              </w:rPr>
              <w:t>14.785,42</w:t>
            </w:r>
            <w:r w:rsidRPr="00B42BE7">
              <w:rPr>
                <w:rFonts w:eastAsia="Times New Roman" w:cs="Arial"/>
                <w:color w:val="000000" w:themeColor="text1"/>
                <w:kern w:val="0"/>
                <w:sz w:val="16"/>
                <w:szCs w:val="16"/>
                <w:lang w:eastAsia="pt-BR" w:bidi="ar-SA"/>
              </w:rPr>
              <w:t>%</w:t>
            </w:r>
          </w:p>
        </w:tc>
      </w:tr>
      <w:tr w:rsidR="001946F9" w:rsidRPr="00B42BE7" w14:paraId="4492167C" w14:textId="77777777" w:rsidTr="001946F9">
        <w:trPr>
          <w:trHeight w:val="270"/>
        </w:trPr>
        <w:tc>
          <w:tcPr>
            <w:tcW w:w="3880" w:type="dxa"/>
            <w:tcBorders>
              <w:top w:val="single" w:sz="8" w:space="0" w:color="000000"/>
              <w:left w:val="nil"/>
              <w:bottom w:val="single" w:sz="8" w:space="0" w:color="000000"/>
              <w:right w:val="nil"/>
            </w:tcBorders>
            <w:shd w:val="clear" w:color="000000" w:fill="D9D9D9"/>
            <w:vAlign w:val="center"/>
            <w:hideMark/>
          </w:tcPr>
          <w:p w14:paraId="2F6F9E5E"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Total</w:t>
            </w:r>
          </w:p>
        </w:tc>
        <w:tc>
          <w:tcPr>
            <w:tcW w:w="1500" w:type="dxa"/>
            <w:tcBorders>
              <w:top w:val="single" w:sz="8" w:space="0" w:color="000000"/>
              <w:left w:val="nil"/>
              <w:bottom w:val="single" w:sz="8" w:space="0" w:color="000000"/>
              <w:right w:val="nil"/>
            </w:tcBorders>
            <w:shd w:val="clear" w:color="000000" w:fill="D9D9D9"/>
            <w:vAlign w:val="center"/>
            <w:hideMark/>
          </w:tcPr>
          <w:p w14:paraId="681B57C9" w14:textId="77777777" w:rsidR="001946F9" w:rsidRPr="00B42BE7" w:rsidRDefault="001946F9" w:rsidP="001946F9">
            <w:pPr>
              <w:widowControl/>
              <w:suppressAutoHyphens w:val="0"/>
              <w:autoSpaceDN/>
              <w:jc w:val="right"/>
              <w:rPr>
                <w:rFonts w:eastAsia="Times New Roman" w:cs="Times New Roman"/>
                <w:b/>
                <w:bCs/>
                <w:color w:val="000000" w:themeColor="text1"/>
                <w:kern w:val="0"/>
                <w:sz w:val="16"/>
                <w:szCs w:val="16"/>
                <w:lang w:eastAsia="pt-BR" w:bidi="ar-SA"/>
              </w:rPr>
            </w:pPr>
            <w:r w:rsidRPr="00B42BE7">
              <w:rPr>
                <w:rFonts w:eastAsia="Times New Roman" w:cs="Times New Roman"/>
                <w:b/>
                <w:bCs/>
                <w:color w:val="000000" w:themeColor="text1"/>
                <w:kern w:val="0"/>
                <w:sz w:val="16"/>
                <w:szCs w:val="16"/>
                <w:lang w:eastAsia="pt-BR" w:bidi="ar-SA"/>
              </w:rPr>
              <w:t>211.355,00</w:t>
            </w:r>
          </w:p>
        </w:tc>
        <w:tc>
          <w:tcPr>
            <w:tcW w:w="1460" w:type="dxa"/>
            <w:tcBorders>
              <w:top w:val="single" w:sz="8" w:space="0" w:color="000000"/>
              <w:left w:val="nil"/>
              <w:bottom w:val="single" w:sz="8" w:space="0" w:color="000000"/>
              <w:right w:val="nil"/>
            </w:tcBorders>
            <w:shd w:val="clear" w:color="000000" w:fill="D9D9D9"/>
            <w:vAlign w:val="center"/>
            <w:hideMark/>
          </w:tcPr>
          <w:p w14:paraId="7C03997A" w14:textId="77777777" w:rsidR="001946F9" w:rsidRPr="00B42BE7" w:rsidRDefault="001946F9" w:rsidP="001946F9">
            <w:pPr>
              <w:widowControl/>
              <w:suppressAutoHyphens w:val="0"/>
              <w:autoSpaceDN/>
              <w:jc w:val="right"/>
              <w:rPr>
                <w:rFonts w:eastAsia="Times New Roman" w:cs="Times New Roman"/>
                <w:b/>
                <w:bCs/>
                <w:color w:val="000000" w:themeColor="text1"/>
                <w:kern w:val="0"/>
                <w:sz w:val="16"/>
                <w:szCs w:val="16"/>
                <w:lang w:eastAsia="pt-BR" w:bidi="ar-SA"/>
              </w:rPr>
            </w:pPr>
            <w:r>
              <w:rPr>
                <w:rFonts w:eastAsia="Times New Roman" w:cs="Arial"/>
                <w:b/>
                <w:bCs/>
                <w:color w:val="000000" w:themeColor="text1"/>
                <w:kern w:val="0"/>
                <w:sz w:val="16"/>
                <w:szCs w:val="16"/>
                <w:lang w:eastAsia="pt-BR" w:bidi="ar-SA"/>
              </w:rPr>
              <w:t>31.253.193,66</w:t>
            </w:r>
          </w:p>
        </w:tc>
        <w:tc>
          <w:tcPr>
            <w:tcW w:w="2080" w:type="dxa"/>
            <w:tcBorders>
              <w:top w:val="single" w:sz="8" w:space="0" w:color="000000"/>
              <w:left w:val="nil"/>
              <w:bottom w:val="single" w:sz="8" w:space="0" w:color="000000"/>
              <w:right w:val="nil"/>
            </w:tcBorders>
            <w:shd w:val="clear" w:color="000000" w:fill="D9D9D9"/>
            <w:vAlign w:val="center"/>
            <w:hideMark/>
          </w:tcPr>
          <w:p w14:paraId="3123C6E5"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r>
    </w:tbl>
    <w:p w14:paraId="33755DFA" w14:textId="77777777" w:rsidR="001946F9" w:rsidRPr="00B42BE7" w:rsidRDefault="001946F9" w:rsidP="001946F9">
      <w:pPr>
        <w:jc w:val="both"/>
        <w:rPr>
          <w:rFonts w:cs="Times New Roman"/>
          <w:color w:val="000000" w:themeColor="text1"/>
        </w:rPr>
      </w:pPr>
    </w:p>
    <w:p w14:paraId="38A30BE0" w14:textId="77777777" w:rsidR="001946F9" w:rsidRPr="00B42BE7" w:rsidRDefault="001946F9" w:rsidP="001946F9">
      <w:pPr>
        <w:jc w:val="both"/>
        <w:rPr>
          <w:rFonts w:cs="Times New Roman"/>
          <w:color w:val="000000" w:themeColor="text1"/>
        </w:rPr>
      </w:pPr>
      <w:r w:rsidRPr="00B42BE7">
        <w:rPr>
          <w:rFonts w:cs="Times New Roman"/>
          <w:color w:val="000000" w:themeColor="text1"/>
        </w:rPr>
        <w:t xml:space="preserve">As principais insuficiências foram identificadas nos seguintes grupos e percentuais: </w:t>
      </w:r>
    </w:p>
    <w:p w14:paraId="620B51DC" w14:textId="77777777" w:rsidR="001946F9" w:rsidRPr="00B42BE7" w:rsidRDefault="001946F9" w:rsidP="001946F9">
      <w:pPr>
        <w:widowControl/>
        <w:shd w:val="clear" w:color="auto" w:fill="FFFFFF"/>
        <w:tabs>
          <w:tab w:val="left" w:pos="-24066"/>
          <w:tab w:val="left" w:pos="-9306"/>
          <w:tab w:val="left" w:pos="1134"/>
        </w:tabs>
        <w:suppressAutoHyphens w:val="0"/>
        <w:ind w:left="720" w:hanging="360"/>
        <w:jc w:val="center"/>
        <w:rPr>
          <w:rFonts w:ascii="Arial" w:eastAsia="Times New Roman" w:hAnsi="Arial" w:cs="Arial"/>
          <w:b/>
          <w:color w:val="000000" w:themeColor="text1"/>
          <w:kern w:val="0"/>
          <w:sz w:val="18"/>
          <w:szCs w:val="18"/>
          <w:lang w:eastAsia="pt-BR" w:bidi="ar-SA"/>
        </w:rPr>
      </w:pPr>
    </w:p>
    <w:tbl>
      <w:tblPr>
        <w:tblW w:w="8920" w:type="dxa"/>
        <w:tblCellMar>
          <w:left w:w="70" w:type="dxa"/>
          <w:right w:w="70" w:type="dxa"/>
        </w:tblCellMar>
        <w:tblLook w:val="04A0" w:firstRow="1" w:lastRow="0" w:firstColumn="1" w:lastColumn="0" w:noHBand="0" w:noVBand="1"/>
      </w:tblPr>
      <w:tblGrid>
        <w:gridCol w:w="3880"/>
        <w:gridCol w:w="1500"/>
        <w:gridCol w:w="1460"/>
        <w:gridCol w:w="2080"/>
      </w:tblGrid>
      <w:tr w:rsidR="001946F9" w:rsidRPr="00B42BE7" w14:paraId="4678256B" w14:textId="77777777" w:rsidTr="001946F9">
        <w:trPr>
          <w:trHeight w:val="645"/>
        </w:trPr>
        <w:tc>
          <w:tcPr>
            <w:tcW w:w="3880" w:type="dxa"/>
            <w:tcBorders>
              <w:top w:val="single" w:sz="8" w:space="0" w:color="000000"/>
              <w:left w:val="nil"/>
              <w:bottom w:val="single" w:sz="8" w:space="0" w:color="000000"/>
              <w:right w:val="nil"/>
            </w:tcBorders>
            <w:shd w:val="clear" w:color="000000" w:fill="D9D9D9"/>
            <w:vAlign w:val="center"/>
            <w:hideMark/>
          </w:tcPr>
          <w:p w14:paraId="67505BAE"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1500" w:type="dxa"/>
            <w:tcBorders>
              <w:top w:val="single" w:sz="8" w:space="0" w:color="000000"/>
              <w:left w:val="nil"/>
              <w:bottom w:val="single" w:sz="8" w:space="0" w:color="000000"/>
              <w:right w:val="nil"/>
            </w:tcBorders>
            <w:shd w:val="clear" w:color="000000" w:fill="D9D9D9"/>
            <w:vAlign w:val="center"/>
            <w:hideMark/>
          </w:tcPr>
          <w:p w14:paraId="10DA1E98"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PREVISÃO AT</w:t>
            </w:r>
            <w:r w:rsidRPr="00B42BE7">
              <w:rPr>
                <w:rFonts w:eastAsia="Times New Roman" w:cs="Arial"/>
                <w:b/>
                <w:bCs/>
                <w:color w:val="000000" w:themeColor="text1"/>
                <w:kern w:val="0"/>
                <w:sz w:val="16"/>
                <w:szCs w:val="16"/>
                <w:lang w:eastAsia="pt-BR" w:bidi="ar-SA"/>
              </w:rPr>
              <w:t>U</w:t>
            </w:r>
            <w:r w:rsidRPr="00B42BE7">
              <w:rPr>
                <w:rFonts w:eastAsia="Times New Roman" w:cs="Arial"/>
                <w:b/>
                <w:bCs/>
                <w:color w:val="000000" w:themeColor="text1"/>
                <w:kern w:val="0"/>
                <w:sz w:val="16"/>
                <w:szCs w:val="16"/>
                <w:lang w:eastAsia="pt-BR" w:bidi="ar-SA"/>
              </w:rPr>
              <w:t>ALIZADA</w:t>
            </w:r>
          </w:p>
        </w:tc>
        <w:tc>
          <w:tcPr>
            <w:tcW w:w="1460" w:type="dxa"/>
            <w:tcBorders>
              <w:top w:val="single" w:sz="8" w:space="0" w:color="000000"/>
              <w:left w:val="nil"/>
              <w:bottom w:val="single" w:sz="8" w:space="0" w:color="000000"/>
              <w:right w:val="nil"/>
            </w:tcBorders>
            <w:shd w:val="clear" w:color="000000" w:fill="D9D9D9"/>
            <w:vAlign w:val="center"/>
            <w:hideMark/>
          </w:tcPr>
          <w:p w14:paraId="1AD474C7"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RECEITAS RE</w:t>
            </w:r>
            <w:r w:rsidRPr="00B42BE7">
              <w:rPr>
                <w:rFonts w:eastAsia="Times New Roman" w:cs="Arial"/>
                <w:b/>
                <w:bCs/>
                <w:color w:val="000000" w:themeColor="text1"/>
                <w:kern w:val="0"/>
                <w:sz w:val="16"/>
                <w:szCs w:val="16"/>
                <w:lang w:eastAsia="pt-BR" w:bidi="ar-SA"/>
              </w:rPr>
              <w:t>A</w:t>
            </w:r>
            <w:r w:rsidRPr="00B42BE7">
              <w:rPr>
                <w:rFonts w:eastAsia="Times New Roman" w:cs="Arial"/>
                <w:b/>
                <w:bCs/>
                <w:color w:val="000000" w:themeColor="text1"/>
                <w:kern w:val="0"/>
                <w:sz w:val="16"/>
                <w:szCs w:val="16"/>
                <w:lang w:eastAsia="pt-BR" w:bidi="ar-SA"/>
              </w:rPr>
              <w:t>LIZADAS</w:t>
            </w:r>
          </w:p>
        </w:tc>
        <w:tc>
          <w:tcPr>
            <w:tcW w:w="2080" w:type="dxa"/>
            <w:tcBorders>
              <w:top w:val="single" w:sz="8" w:space="0" w:color="000000"/>
              <w:left w:val="nil"/>
              <w:bottom w:val="single" w:sz="8" w:space="0" w:color="000000"/>
              <w:right w:val="nil"/>
            </w:tcBorders>
            <w:shd w:val="clear" w:color="000000" w:fill="D9D9D9"/>
            <w:vAlign w:val="center"/>
            <w:hideMark/>
          </w:tcPr>
          <w:p w14:paraId="6390BBAD" w14:textId="77777777" w:rsidR="001946F9" w:rsidRPr="00B42BE7" w:rsidRDefault="001946F9" w:rsidP="001946F9">
            <w:pPr>
              <w:widowControl/>
              <w:suppressAutoHyphens w:val="0"/>
              <w:autoSpaceDN/>
              <w:jc w:val="center"/>
              <w:rPr>
                <w:rFonts w:eastAsia="Times New Roman" w:cs="Arial"/>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xml:space="preserve">INSUFICIÊNCIA NA ARRECADAÇÃO </w:t>
            </w:r>
          </w:p>
          <w:p w14:paraId="427CBD54"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DA RECEITA</w:t>
            </w:r>
          </w:p>
        </w:tc>
      </w:tr>
      <w:tr w:rsidR="001946F9" w:rsidRPr="00B42BE7" w14:paraId="2C545630" w14:textId="77777777" w:rsidTr="001946F9">
        <w:trPr>
          <w:trHeight w:val="270"/>
        </w:trPr>
        <w:tc>
          <w:tcPr>
            <w:tcW w:w="3880" w:type="dxa"/>
            <w:tcBorders>
              <w:top w:val="nil"/>
              <w:left w:val="nil"/>
              <w:bottom w:val="single" w:sz="8" w:space="0" w:color="000000"/>
              <w:right w:val="nil"/>
            </w:tcBorders>
            <w:shd w:val="clear" w:color="000000" w:fill="D9D9D9"/>
            <w:vAlign w:val="center"/>
            <w:hideMark/>
          </w:tcPr>
          <w:p w14:paraId="0A4054EA"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RECEITAS CORRENTES</w:t>
            </w:r>
          </w:p>
        </w:tc>
        <w:tc>
          <w:tcPr>
            <w:tcW w:w="1500" w:type="dxa"/>
            <w:tcBorders>
              <w:top w:val="nil"/>
              <w:left w:val="nil"/>
              <w:bottom w:val="single" w:sz="8" w:space="0" w:color="000000"/>
              <w:right w:val="nil"/>
            </w:tcBorders>
            <w:shd w:val="clear" w:color="000000" w:fill="D9D9D9"/>
            <w:vAlign w:val="center"/>
            <w:hideMark/>
          </w:tcPr>
          <w:p w14:paraId="61063CB8"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1460" w:type="dxa"/>
            <w:tcBorders>
              <w:top w:val="nil"/>
              <w:left w:val="nil"/>
              <w:bottom w:val="single" w:sz="8" w:space="0" w:color="000000"/>
              <w:right w:val="nil"/>
            </w:tcBorders>
            <w:shd w:val="clear" w:color="000000" w:fill="D9D9D9"/>
            <w:vAlign w:val="center"/>
            <w:hideMark/>
          </w:tcPr>
          <w:p w14:paraId="47544306"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2080" w:type="dxa"/>
            <w:tcBorders>
              <w:top w:val="nil"/>
              <w:left w:val="nil"/>
              <w:bottom w:val="single" w:sz="8" w:space="0" w:color="000000"/>
              <w:right w:val="nil"/>
            </w:tcBorders>
            <w:shd w:val="clear" w:color="000000" w:fill="D9D9D9"/>
            <w:vAlign w:val="center"/>
            <w:hideMark/>
          </w:tcPr>
          <w:p w14:paraId="069C1167"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r>
      <w:tr w:rsidR="001946F9" w:rsidRPr="00B42BE7" w14:paraId="064A0C27" w14:textId="77777777" w:rsidTr="001946F9">
        <w:trPr>
          <w:trHeight w:val="255"/>
        </w:trPr>
        <w:tc>
          <w:tcPr>
            <w:tcW w:w="3880" w:type="dxa"/>
            <w:tcBorders>
              <w:top w:val="nil"/>
              <w:left w:val="nil"/>
              <w:bottom w:val="nil"/>
              <w:right w:val="nil"/>
            </w:tcBorders>
            <w:shd w:val="clear" w:color="auto" w:fill="auto"/>
            <w:vAlign w:val="center"/>
            <w:hideMark/>
          </w:tcPr>
          <w:p w14:paraId="3A7B4B00" w14:textId="77777777" w:rsidR="001946F9" w:rsidRPr="00B42BE7" w:rsidRDefault="001946F9" w:rsidP="001946F9">
            <w:pPr>
              <w:widowControl/>
              <w:suppressAutoHyphens w:val="0"/>
              <w:autoSpaceDN/>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Receita Tributária – Impostos</w:t>
            </w:r>
          </w:p>
        </w:tc>
        <w:tc>
          <w:tcPr>
            <w:tcW w:w="1500" w:type="dxa"/>
            <w:tcBorders>
              <w:top w:val="nil"/>
              <w:left w:val="nil"/>
              <w:bottom w:val="nil"/>
              <w:right w:val="nil"/>
            </w:tcBorders>
            <w:shd w:val="clear" w:color="auto" w:fill="auto"/>
            <w:vAlign w:val="center"/>
            <w:hideMark/>
          </w:tcPr>
          <w:p w14:paraId="26F9177E"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14.098.271.396,00</w:t>
            </w:r>
          </w:p>
        </w:tc>
        <w:tc>
          <w:tcPr>
            <w:tcW w:w="1460" w:type="dxa"/>
            <w:tcBorders>
              <w:top w:val="nil"/>
              <w:left w:val="nil"/>
              <w:bottom w:val="nil"/>
              <w:right w:val="nil"/>
            </w:tcBorders>
            <w:shd w:val="clear" w:color="auto" w:fill="auto"/>
            <w:vAlign w:val="center"/>
            <w:hideMark/>
          </w:tcPr>
          <w:p w14:paraId="3D07041B"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0,00</w:t>
            </w:r>
          </w:p>
        </w:tc>
        <w:tc>
          <w:tcPr>
            <w:tcW w:w="2080" w:type="dxa"/>
            <w:tcBorders>
              <w:top w:val="nil"/>
              <w:left w:val="nil"/>
              <w:bottom w:val="nil"/>
              <w:right w:val="nil"/>
            </w:tcBorders>
            <w:shd w:val="clear" w:color="auto" w:fill="auto"/>
            <w:vAlign w:val="center"/>
            <w:hideMark/>
          </w:tcPr>
          <w:p w14:paraId="513556A6"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100,00%</w:t>
            </w:r>
          </w:p>
        </w:tc>
      </w:tr>
      <w:tr w:rsidR="001946F9" w:rsidRPr="00B42BE7" w14:paraId="12DFA36E" w14:textId="77777777" w:rsidTr="001946F9">
        <w:trPr>
          <w:trHeight w:val="255"/>
        </w:trPr>
        <w:tc>
          <w:tcPr>
            <w:tcW w:w="3880" w:type="dxa"/>
            <w:tcBorders>
              <w:top w:val="nil"/>
              <w:left w:val="nil"/>
              <w:bottom w:val="nil"/>
              <w:right w:val="nil"/>
            </w:tcBorders>
            <w:shd w:val="clear" w:color="auto" w:fill="auto"/>
            <w:vAlign w:val="center"/>
            <w:hideMark/>
          </w:tcPr>
          <w:p w14:paraId="61C0F295" w14:textId="77777777" w:rsidR="001946F9" w:rsidRPr="00B42BE7" w:rsidRDefault="001946F9" w:rsidP="001946F9">
            <w:pPr>
              <w:widowControl/>
              <w:suppressAutoHyphens w:val="0"/>
              <w:autoSpaceDN/>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Receita Patrimonial </w:t>
            </w:r>
          </w:p>
        </w:tc>
        <w:tc>
          <w:tcPr>
            <w:tcW w:w="1500" w:type="dxa"/>
            <w:tcBorders>
              <w:top w:val="nil"/>
              <w:left w:val="nil"/>
              <w:bottom w:val="nil"/>
              <w:right w:val="nil"/>
            </w:tcBorders>
            <w:shd w:val="clear" w:color="auto" w:fill="auto"/>
            <w:vAlign w:val="center"/>
          </w:tcPr>
          <w:p w14:paraId="422723BB"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p>
        </w:tc>
        <w:tc>
          <w:tcPr>
            <w:tcW w:w="1460" w:type="dxa"/>
            <w:tcBorders>
              <w:top w:val="nil"/>
              <w:left w:val="nil"/>
              <w:bottom w:val="nil"/>
              <w:right w:val="nil"/>
            </w:tcBorders>
            <w:shd w:val="clear" w:color="auto" w:fill="auto"/>
            <w:vAlign w:val="center"/>
          </w:tcPr>
          <w:p w14:paraId="7292A275"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p>
        </w:tc>
        <w:tc>
          <w:tcPr>
            <w:tcW w:w="2080" w:type="dxa"/>
            <w:tcBorders>
              <w:top w:val="nil"/>
              <w:left w:val="nil"/>
              <w:bottom w:val="nil"/>
              <w:right w:val="nil"/>
            </w:tcBorders>
            <w:shd w:val="clear" w:color="auto" w:fill="auto"/>
            <w:vAlign w:val="center"/>
          </w:tcPr>
          <w:p w14:paraId="7E6F676C"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p>
        </w:tc>
      </w:tr>
      <w:tr w:rsidR="001946F9" w:rsidRPr="00B42BE7" w14:paraId="6A7862D5" w14:textId="77777777" w:rsidTr="001946F9">
        <w:trPr>
          <w:trHeight w:val="255"/>
        </w:trPr>
        <w:tc>
          <w:tcPr>
            <w:tcW w:w="3880" w:type="dxa"/>
            <w:tcBorders>
              <w:top w:val="nil"/>
              <w:left w:val="nil"/>
              <w:bottom w:val="nil"/>
              <w:right w:val="nil"/>
            </w:tcBorders>
            <w:shd w:val="clear" w:color="auto" w:fill="auto"/>
            <w:vAlign w:val="center"/>
            <w:hideMark/>
          </w:tcPr>
          <w:p w14:paraId="288D7CEB" w14:textId="77777777" w:rsidR="001946F9" w:rsidRPr="00B42BE7" w:rsidRDefault="001946F9" w:rsidP="001946F9">
            <w:pPr>
              <w:widowControl/>
              <w:suppressAutoHyphens w:val="0"/>
              <w:autoSpaceDN/>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   Exploração de Recursos Naturais</w:t>
            </w:r>
          </w:p>
        </w:tc>
        <w:tc>
          <w:tcPr>
            <w:tcW w:w="1500" w:type="dxa"/>
            <w:tcBorders>
              <w:top w:val="nil"/>
              <w:left w:val="nil"/>
              <w:bottom w:val="nil"/>
              <w:right w:val="nil"/>
            </w:tcBorders>
            <w:shd w:val="clear" w:color="auto" w:fill="auto"/>
            <w:vAlign w:val="center"/>
            <w:hideMark/>
          </w:tcPr>
          <w:p w14:paraId="56FE018F"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384.664.122,00</w:t>
            </w:r>
          </w:p>
        </w:tc>
        <w:tc>
          <w:tcPr>
            <w:tcW w:w="1460" w:type="dxa"/>
            <w:tcBorders>
              <w:top w:val="nil"/>
              <w:left w:val="nil"/>
              <w:bottom w:val="nil"/>
              <w:right w:val="nil"/>
            </w:tcBorders>
            <w:shd w:val="clear" w:color="auto" w:fill="auto"/>
            <w:vAlign w:val="center"/>
            <w:hideMark/>
          </w:tcPr>
          <w:p w14:paraId="698EC202"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r w:rsidRPr="00BC7DE6">
              <w:rPr>
                <w:rFonts w:eastAsia="Times New Roman" w:cs="Arial"/>
                <w:color w:val="000000" w:themeColor="text1"/>
                <w:kern w:val="0"/>
                <w:sz w:val="16"/>
                <w:szCs w:val="16"/>
                <w:lang w:eastAsia="pt-BR" w:bidi="ar-SA"/>
              </w:rPr>
              <w:t>287</w:t>
            </w:r>
            <w:r>
              <w:rPr>
                <w:rFonts w:eastAsia="Times New Roman" w:cs="Arial"/>
                <w:color w:val="000000" w:themeColor="text1"/>
                <w:kern w:val="0"/>
                <w:sz w:val="16"/>
                <w:szCs w:val="16"/>
                <w:lang w:eastAsia="pt-BR" w:bidi="ar-SA"/>
              </w:rPr>
              <w:t>.</w:t>
            </w:r>
            <w:r w:rsidRPr="00BC7DE6">
              <w:rPr>
                <w:rFonts w:eastAsia="Times New Roman" w:cs="Arial"/>
                <w:color w:val="000000" w:themeColor="text1"/>
                <w:kern w:val="0"/>
                <w:sz w:val="16"/>
                <w:szCs w:val="16"/>
                <w:lang w:eastAsia="pt-BR" w:bidi="ar-SA"/>
              </w:rPr>
              <w:t>100</w:t>
            </w:r>
            <w:r>
              <w:rPr>
                <w:rFonts w:eastAsia="Times New Roman" w:cs="Arial"/>
                <w:color w:val="000000" w:themeColor="text1"/>
                <w:kern w:val="0"/>
                <w:sz w:val="16"/>
                <w:szCs w:val="16"/>
                <w:lang w:eastAsia="pt-BR" w:bidi="ar-SA"/>
              </w:rPr>
              <w:t>.</w:t>
            </w:r>
            <w:r w:rsidRPr="00BC7DE6">
              <w:rPr>
                <w:rFonts w:eastAsia="Times New Roman" w:cs="Arial"/>
                <w:color w:val="000000" w:themeColor="text1"/>
                <w:kern w:val="0"/>
                <w:sz w:val="16"/>
                <w:szCs w:val="16"/>
                <w:lang w:eastAsia="pt-BR" w:bidi="ar-SA"/>
              </w:rPr>
              <w:t>362,67</w:t>
            </w:r>
          </w:p>
        </w:tc>
        <w:tc>
          <w:tcPr>
            <w:tcW w:w="2080" w:type="dxa"/>
            <w:tcBorders>
              <w:top w:val="nil"/>
              <w:left w:val="nil"/>
              <w:bottom w:val="nil"/>
              <w:right w:val="nil"/>
            </w:tcBorders>
            <w:shd w:val="clear" w:color="auto" w:fill="auto"/>
            <w:vAlign w:val="center"/>
            <w:hideMark/>
          </w:tcPr>
          <w:p w14:paraId="24B5B89F"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 </w:t>
            </w:r>
            <w:r>
              <w:rPr>
                <w:rFonts w:eastAsia="Times New Roman" w:cs="Arial"/>
                <w:color w:val="000000" w:themeColor="text1"/>
                <w:kern w:val="0"/>
                <w:sz w:val="16"/>
                <w:szCs w:val="16"/>
                <w:lang w:eastAsia="pt-BR" w:bidi="ar-SA"/>
              </w:rPr>
              <w:t xml:space="preserve"> 74,64</w:t>
            </w:r>
            <w:r w:rsidRPr="00B42BE7">
              <w:rPr>
                <w:rFonts w:eastAsia="Times New Roman" w:cs="Arial"/>
                <w:color w:val="000000" w:themeColor="text1"/>
                <w:kern w:val="0"/>
                <w:sz w:val="16"/>
                <w:szCs w:val="16"/>
                <w:lang w:eastAsia="pt-BR" w:bidi="ar-SA"/>
              </w:rPr>
              <w:t>%</w:t>
            </w:r>
          </w:p>
        </w:tc>
      </w:tr>
      <w:tr w:rsidR="001946F9" w:rsidRPr="00B42BE7" w14:paraId="205F7810" w14:textId="77777777" w:rsidTr="001946F9">
        <w:trPr>
          <w:trHeight w:val="255"/>
        </w:trPr>
        <w:tc>
          <w:tcPr>
            <w:tcW w:w="3880" w:type="dxa"/>
            <w:tcBorders>
              <w:top w:val="nil"/>
              <w:left w:val="nil"/>
              <w:bottom w:val="nil"/>
              <w:right w:val="nil"/>
            </w:tcBorders>
            <w:shd w:val="clear" w:color="auto" w:fill="auto"/>
            <w:vAlign w:val="center"/>
          </w:tcPr>
          <w:p w14:paraId="277472A0" w14:textId="77777777" w:rsidR="001946F9" w:rsidRPr="00B42BE7" w:rsidRDefault="001946F9" w:rsidP="001946F9">
            <w:pPr>
              <w:widowControl/>
              <w:suppressAutoHyphens w:val="0"/>
              <w:autoSpaceDN/>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Receita Agropecuária</w:t>
            </w:r>
          </w:p>
        </w:tc>
        <w:tc>
          <w:tcPr>
            <w:tcW w:w="1500" w:type="dxa"/>
            <w:tcBorders>
              <w:top w:val="nil"/>
              <w:left w:val="nil"/>
              <w:bottom w:val="nil"/>
              <w:right w:val="nil"/>
            </w:tcBorders>
            <w:shd w:val="clear" w:color="auto" w:fill="auto"/>
            <w:vAlign w:val="center"/>
          </w:tcPr>
          <w:p w14:paraId="395E3785"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58.761,00</w:t>
            </w:r>
          </w:p>
        </w:tc>
        <w:tc>
          <w:tcPr>
            <w:tcW w:w="1460" w:type="dxa"/>
            <w:tcBorders>
              <w:top w:val="nil"/>
              <w:left w:val="nil"/>
              <w:bottom w:val="nil"/>
              <w:right w:val="nil"/>
            </w:tcBorders>
            <w:shd w:val="clear" w:color="auto" w:fill="auto"/>
            <w:vAlign w:val="center"/>
          </w:tcPr>
          <w:p w14:paraId="6E84C986"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r w:rsidRPr="00BC7DE6">
              <w:rPr>
                <w:rFonts w:eastAsia="Times New Roman" w:cs="Arial"/>
                <w:color w:val="000000" w:themeColor="text1"/>
                <w:kern w:val="0"/>
                <w:sz w:val="16"/>
                <w:szCs w:val="16"/>
                <w:lang w:eastAsia="pt-BR" w:bidi="ar-SA"/>
              </w:rPr>
              <w:t>29</w:t>
            </w:r>
            <w:r>
              <w:rPr>
                <w:rFonts w:eastAsia="Times New Roman" w:cs="Arial"/>
                <w:color w:val="000000" w:themeColor="text1"/>
                <w:kern w:val="0"/>
                <w:sz w:val="16"/>
                <w:szCs w:val="16"/>
                <w:lang w:eastAsia="pt-BR" w:bidi="ar-SA"/>
              </w:rPr>
              <w:t>.</w:t>
            </w:r>
            <w:r w:rsidRPr="00BC7DE6">
              <w:rPr>
                <w:rFonts w:eastAsia="Times New Roman" w:cs="Arial"/>
                <w:color w:val="000000" w:themeColor="text1"/>
                <w:kern w:val="0"/>
                <w:sz w:val="16"/>
                <w:szCs w:val="16"/>
                <w:lang w:eastAsia="pt-BR" w:bidi="ar-SA"/>
              </w:rPr>
              <w:t>214,5</w:t>
            </w:r>
            <w:r>
              <w:rPr>
                <w:rFonts w:eastAsia="Times New Roman" w:cs="Arial"/>
                <w:color w:val="000000" w:themeColor="text1"/>
                <w:kern w:val="0"/>
                <w:sz w:val="16"/>
                <w:szCs w:val="16"/>
                <w:lang w:eastAsia="pt-BR" w:bidi="ar-SA"/>
              </w:rPr>
              <w:t>0</w:t>
            </w:r>
          </w:p>
        </w:tc>
        <w:tc>
          <w:tcPr>
            <w:tcW w:w="2080" w:type="dxa"/>
            <w:tcBorders>
              <w:top w:val="nil"/>
              <w:left w:val="nil"/>
              <w:bottom w:val="nil"/>
              <w:right w:val="nil"/>
            </w:tcBorders>
            <w:shd w:val="clear" w:color="auto" w:fill="auto"/>
            <w:vAlign w:val="center"/>
          </w:tcPr>
          <w:p w14:paraId="7733FC35" w14:textId="77777777" w:rsidR="001946F9" w:rsidRPr="00B42BE7" w:rsidRDefault="001946F9" w:rsidP="001946F9">
            <w:pPr>
              <w:widowControl/>
              <w:suppressAutoHyphens w:val="0"/>
              <w:autoSpaceDN/>
              <w:jc w:val="center"/>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 </w:t>
            </w:r>
            <w:r>
              <w:rPr>
                <w:rFonts w:eastAsia="Times New Roman" w:cs="Arial"/>
                <w:color w:val="000000" w:themeColor="text1"/>
                <w:kern w:val="0"/>
                <w:sz w:val="16"/>
                <w:szCs w:val="16"/>
                <w:lang w:eastAsia="pt-BR" w:bidi="ar-SA"/>
              </w:rPr>
              <w:t>49,72</w:t>
            </w:r>
            <w:r w:rsidRPr="00B42BE7">
              <w:rPr>
                <w:rFonts w:eastAsia="Times New Roman" w:cs="Arial"/>
                <w:color w:val="000000" w:themeColor="text1"/>
                <w:kern w:val="0"/>
                <w:sz w:val="16"/>
                <w:szCs w:val="16"/>
                <w:lang w:eastAsia="pt-BR" w:bidi="ar-SA"/>
              </w:rPr>
              <w:t>%</w:t>
            </w:r>
          </w:p>
        </w:tc>
      </w:tr>
      <w:tr w:rsidR="001946F9" w:rsidRPr="00B42BE7" w14:paraId="1A490C6E" w14:textId="77777777" w:rsidTr="001946F9">
        <w:trPr>
          <w:trHeight w:val="255"/>
        </w:trPr>
        <w:tc>
          <w:tcPr>
            <w:tcW w:w="3880" w:type="dxa"/>
            <w:tcBorders>
              <w:top w:val="nil"/>
              <w:left w:val="nil"/>
              <w:bottom w:val="nil"/>
              <w:right w:val="nil"/>
            </w:tcBorders>
            <w:shd w:val="clear" w:color="auto" w:fill="auto"/>
            <w:vAlign w:val="center"/>
          </w:tcPr>
          <w:p w14:paraId="098DCC91" w14:textId="77777777" w:rsidR="001946F9" w:rsidRPr="00B42BE7" w:rsidRDefault="001946F9" w:rsidP="001946F9">
            <w:pPr>
              <w:widowControl/>
              <w:suppressAutoHyphens w:val="0"/>
              <w:autoSpaceDN/>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Receita Industrial</w:t>
            </w:r>
          </w:p>
        </w:tc>
        <w:tc>
          <w:tcPr>
            <w:tcW w:w="1500" w:type="dxa"/>
            <w:tcBorders>
              <w:top w:val="nil"/>
              <w:left w:val="nil"/>
              <w:bottom w:val="nil"/>
              <w:right w:val="nil"/>
            </w:tcBorders>
            <w:shd w:val="clear" w:color="auto" w:fill="auto"/>
            <w:vAlign w:val="center"/>
          </w:tcPr>
          <w:p w14:paraId="1FED867B"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3.258,00</w:t>
            </w:r>
          </w:p>
        </w:tc>
        <w:tc>
          <w:tcPr>
            <w:tcW w:w="1460" w:type="dxa"/>
            <w:tcBorders>
              <w:top w:val="nil"/>
              <w:left w:val="nil"/>
              <w:bottom w:val="nil"/>
              <w:right w:val="nil"/>
            </w:tcBorders>
            <w:shd w:val="clear" w:color="auto" w:fill="auto"/>
            <w:vAlign w:val="center"/>
          </w:tcPr>
          <w:p w14:paraId="764CF22C"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0,00</w:t>
            </w:r>
          </w:p>
        </w:tc>
        <w:tc>
          <w:tcPr>
            <w:tcW w:w="2080" w:type="dxa"/>
            <w:tcBorders>
              <w:top w:val="nil"/>
              <w:left w:val="nil"/>
              <w:bottom w:val="nil"/>
              <w:right w:val="nil"/>
            </w:tcBorders>
            <w:shd w:val="clear" w:color="auto" w:fill="auto"/>
            <w:vAlign w:val="center"/>
          </w:tcPr>
          <w:p w14:paraId="00F38BDB" w14:textId="77777777" w:rsidR="001946F9" w:rsidRPr="00B42BE7" w:rsidRDefault="001946F9" w:rsidP="001946F9">
            <w:pPr>
              <w:widowControl/>
              <w:suppressAutoHyphens w:val="0"/>
              <w:autoSpaceDN/>
              <w:jc w:val="center"/>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100,00%</w:t>
            </w:r>
          </w:p>
        </w:tc>
      </w:tr>
      <w:tr w:rsidR="001946F9" w:rsidRPr="00B42BE7" w14:paraId="657248D1" w14:textId="77777777" w:rsidTr="001946F9">
        <w:trPr>
          <w:trHeight w:val="255"/>
        </w:trPr>
        <w:tc>
          <w:tcPr>
            <w:tcW w:w="3880" w:type="dxa"/>
            <w:tcBorders>
              <w:top w:val="nil"/>
              <w:left w:val="nil"/>
              <w:bottom w:val="nil"/>
              <w:right w:val="nil"/>
            </w:tcBorders>
            <w:shd w:val="clear" w:color="auto" w:fill="auto"/>
            <w:vAlign w:val="center"/>
          </w:tcPr>
          <w:p w14:paraId="7F6E9074" w14:textId="77777777" w:rsidR="001946F9" w:rsidRPr="00B42BE7" w:rsidRDefault="001946F9" w:rsidP="001946F9">
            <w:pPr>
              <w:widowControl/>
              <w:suppressAutoHyphens w:val="0"/>
              <w:autoSpaceDN/>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Receita de Serviços</w:t>
            </w:r>
          </w:p>
        </w:tc>
        <w:tc>
          <w:tcPr>
            <w:tcW w:w="1500" w:type="dxa"/>
            <w:tcBorders>
              <w:top w:val="nil"/>
              <w:left w:val="nil"/>
              <w:bottom w:val="nil"/>
              <w:right w:val="nil"/>
            </w:tcBorders>
            <w:shd w:val="clear" w:color="auto" w:fill="auto"/>
            <w:vAlign w:val="center"/>
          </w:tcPr>
          <w:p w14:paraId="4FA8BC32"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p>
        </w:tc>
        <w:tc>
          <w:tcPr>
            <w:tcW w:w="1460" w:type="dxa"/>
            <w:tcBorders>
              <w:top w:val="nil"/>
              <w:left w:val="nil"/>
              <w:bottom w:val="nil"/>
              <w:right w:val="nil"/>
            </w:tcBorders>
            <w:shd w:val="clear" w:color="auto" w:fill="auto"/>
            <w:vAlign w:val="center"/>
          </w:tcPr>
          <w:p w14:paraId="1748AAC0"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p>
        </w:tc>
        <w:tc>
          <w:tcPr>
            <w:tcW w:w="2080" w:type="dxa"/>
            <w:tcBorders>
              <w:top w:val="nil"/>
              <w:left w:val="nil"/>
              <w:bottom w:val="nil"/>
              <w:right w:val="nil"/>
            </w:tcBorders>
            <w:shd w:val="clear" w:color="auto" w:fill="auto"/>
            <w:vAlign w:val="center"/>
          </w:tcPr>
          <w:p w14:paraId="59CB4065" w14:textId="77777777" w:rsidR="001946F9" w:rsidRPr="00B42BE7" w:rsidRDefault="001946F9" w:rsidP="001946F9">
            <w:pPr>
              <w:widowControl/>
              <w:suppressAutoHyphens w:val="0"/>
              <w:autoSpaceDN/>
              <w:jc w:val="center"/>
              <w:rPr>
                <w:rFonts w:eastAsia="Times New Roman" w:cs="Arial"/>
                <w:color w:val="000000" w:themeColor="text1"/>
                <w:kern w:val="0"/>
                <w:sz w:val="16"/>
                <w:szCs w:val="16"/>
                <w:lang w:eastAsia="pt-BR" w:bidi="ar-SA"/>
              </w:rPr>
            </w:pPr>
          </w:p>
        </w:tc>
      </w:tr>
      <w:tr w:rsidR="001946F9" w:rsidRPr="00B42BE7" w14:paraId="28CB2576" w14:textId="77777777" w:rsidTr="001946F9">
        <w:trPr>
          <w:trHeight w:val="255"/>
        </w:trPr>
        <w:tc>
          <w:tcPr>
            <w:tcW w:w="3880" w:type="dxa"/>
            <w:tcBorders>
              <w:top w:val="nil"/>
              <w:left w:val="nil"/>
              <w:bottom w:val="nil"/>
              <w:right w:val="nil"/>
            </w:tcBorders>
            <w:shd w:val="clear" w:color="auto" w:fill="auto"/>
            <w:vAlign w:val="center"/>
          </w:tcPr>
          <w:p w14:paraId="6C6069DE" w14:textId="77777777" w:rsidR="001946F9" w:rsidRPr="00B42BE7" w:rsidRDefault="001946F9" w:rsidP="001946F9">
            <w:pPr>
              <w:widowControl/>
              <w:suppressAutoHyphens w:val="0"/>
              <w:autoSpaceDN/>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  Atividades referentes à navegação o transporte </w:t>
            </w:r>
          </w:p>
        </w:tc>
        <w:tc>
          <w:tcPr>
            <w:tcW w:w="1500" w:type="dxa"/>
            <w:tcBorders>
              <w:top w:val="nil"/>
              <w:left w:val="nil"/>
              <w:bottom w:val="nil"/>
              <w:right w:val="nil"/>
            </w:tcBorders>
            <w:shd w:val="clear" w:color="auto" w:fill="auto"/>
            <w:vAlign w:val="center"/>
          </w:tcPr>
          <w:p w14:paraId="49CA51B9"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372.852.877,00</w:t>
            </w:r>
          </w:p>
        </w:tc>
        <w:tc>
          <w:tcPr>
            <w:tcW w:w="1460" w:type="dxa"/>
            <w:tcBorders>
              <w:top w:val="nil"/>
              <w:left w:val="nil"/>
              <w:bottom w:val="nil"/>
              <w:right w:val="nil"/>
            </w:tcBorders>
            <w:shd w:val="clear" w:color="auto" w:fill="auto"/>
            <w:vAlign w:val="center"/>
          </w:tcPr>
          <w:p w14:paraId="71AE0B95"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r w:rsidRPr="00BC7DE6">
              <w:rPr>
                <w:rFonts w:eastAsia="Times New Roman" w:cs="Arial"/>
                <w:color w:val="000000" w:themeColor="text1"/>
                <w:kern w:val="0"/>
                <w:sz w:val="16"/>
                <w:szCs w:val="16"/>
                <w:lang w:eastAsia="pt-BR" w:bidi="ar-SA"/>
              </w:rPr>
              <w:t>222</w:t>
            </w:r>
            <w:r>
              <w:rPr>
                <w:rFonts w:eastAsia="Times New Roman" w:cs="Arial"/>
                <w:color w:val="000000" w:themeColor="text1"/>
                <w:kern w:val="0"/>
                <w:sz w:val="16"/>
                <w:szCs w:val="16"/>
                <w:lang w:eastAsia="pt-BR" w:bidi="ar-SA"/>
              </w:rPr>
              <w:t>.</w:t>
            </w:r>
            <w:r w:rsidRPr="00BC7DE6">
              <w:rPr>
                <w:rFonts w:eastAsia="Times New Roman" w:cs="Arial"/>
                <w:color w:val="000000" w:themeColor="text1"/>
                <w:kern w:val="0"/>
                <w:sz w:val="16"/>
                <w:szCs w:val="16"/>
                <w:lang w:eastAsia="pt-BR" w:bidi="ar-SA"/>
              </w:rPr>
              <w:t>611</w:t>
            </w:r>
            <w:r>
              <w:rPr>
                <w:rFonts w:eastAsia="Times New Roman" w:cs="Arial"/>
                <w:color w:val="000000" w:themeColor="text1"/>
                <w:kern w:val="0"/>
                <w:sz w:val="16"/>
                <w:szCs w:val="16"/>
                <w:lang w:eastAsia="pt-BR" w:bidi="ar-SA"/>
              </w:rPr>
              <w:t>.</w:t>
            </w:r>
            <w:r w:rsidRPr="00BC7DE6">
              <w:rPr>
                <w:rFonts w:eastAsia="Times New Roman" w:cs="Arial"/>
                <w:color w:val="000000" w:themeColor="text1"/>
                <w:kern w:val="0"/>
                <w:sz w:val="16"/>
                <w:szCs w:val="16"/>
                <w:lang w:eastAsia="pt-BR" w:bidi="ar-SA"/>
              </w:rPr>
              <w:t>596,8</w:t>
            </w:r>
            <w:r>
              <w:rPr>
                <w:rFonts w:eastAsia="Times New Roman" w:cs="Arial"/>
                <w:color w:val="000000" w:themeColor="text1"/>
                <w:kern w:val="0"/>
                <w:sz w:val="16"/>
                <w:szCs w:val="16"/>
                <w:lang w:eastAsia="pt-BR" w:bidi="ar-SA"/>
              </w:rPr>
              <w:t>0</w:t>
            </w:r>
          </w:p>
        </w:tc>
        <w:tc>
          <w:tcPr>
            <w:tcW w:w="2080" w:type="dxa"/>
            <w:tcBorders>
              <w:top w:val="nil"/>
              <w:left w:val="nil"/>
              <w:bottom w:val="nil"/>
              <w:right w:val="nil"/>
            </w:tcBorders>
            <w:shd w:val="clear" w:color="auto" w:fill="auto"/>
            <w:vAlign w:val="center"/>
          </w:tcPr>
          <w:p w14:paraId="3CFF4A1E" w14:textId="77777777" w:rsidR="001946F9" w:rsidRPr="00B42BE7" w:rsidRDefault="001946F9" w:rsidP="001946F9">
            <w:pPr>
              <w:widowControl/>
              <w:suppressAutoHyphens w:val="0"/>
              <w:autoSpaceDN/>
              <w:jc w:val="center"/>
              <w:rPr>
                <w:rFonts w:eastAsia="Times New Roman" w:cs="Arial"/>
                <w:color w:val="000000" w:themeColor="text1"/>
                <w:kern w:val="0"/>
                <w:sz w:val="16"/>
                <w:szCs w:val="16"/>
                <w:lang w:eastAsia="pt-BR" w:bidi="ar-SA"/>
              </w:rPr>
            </w:pPr>
            <w:r>
              <w:rPr>
                <w:rFonts w:eastAsia="Times New Roman" w:cs="Arial"/>
                <w:color w:val="000000" w:themeColor="text1"/>
                <w:kern w:val="0"/>
                <w:sz w:val="16"/>
                <w:szCs w:val="16"/>
                <w:lang w:eastAsia="pt-BR" w:bidi="ar-SA"/>
              </w:rPr>
              <w:t xml:space="preserve"> 59,70</w:t>
            </w:r>
            <w:r w:rsidRPr="00B42BE7">
              <w:rPr>
                <w:rFonts w:eastAsia="Times New Roman" w:cs="Arial"/>
                <w:color w:val="000000" w:themeColor="text1"/>
                <w:kern w:val="0"/>
                <w:sz w:val="16"/>
                <w:szCs w:val="16"/>
                <w:lang w:eastAsia="pt-BR" w:bidi="ar-SA"/>
              </w:rPr>
              <w:t>%</w:t>
            </w:r>
          </w:p>
        </w:tc>
      </w:tr>
      <w:tr w:rsidR="001946F9" w:rsidRPr="00B42BE7" w14:paraId="78A7E88C" w14:textId="77777777" w:rsidTr="001946F9">
        <w:trPr>
          <w:trHeight w:val="255"/>
        </w:trPr>
        <w:tc>
          <w:tcPr>
            <w:tcW w:w="3880" w:type="dxa"/>
            <w:tcBorders>
              <w:top w:val="nil"/>
              <w:left w:val="nil"/>
              <w:bottom w:val="nil"/>
              <w:right w:val="nil"/>
            </w:tcBorders>
            <w:shd w:val="clear" w:color="auto" w:fill="auto"/>
            <w:vAlign w:val="center"/>
          </w:tcPr>
          <w:p w14:paraId="1468DB10" w14:textId="77777777" w:rsidR="001946F9" w:rsidRPr="00B42BE7" w:rsidRDefault="001946F9" w:rsidP="001946F9">
            <w:pPr>
              <w:widowControl/>
              <w:suppressAutoHyphens w:val="0"/>
              <w:autoSpaceDN/>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  Atividades Financeiras</w:t>
            </w:r>
          </w:p>
        </w:tc>
        <w:tc>
          <w:tcPr>
            <w:tcW w:w="1500" w:type="dxa"/>
            <w:tcBorders>
              <w:top w:val="nil"/>
              <w:left w:val="nil"/>
              <w:bottom w:val="nil"/>
              <w:right w:val="nil"/>
            </w:tcBorders>
            <w:shd w:val="clear" w:color="auto" w:fill="auto"/>
            <w:vAlign w:val="center"/>
          </w:tcPr>
          <w:p w14:paraId="15A8BB53"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134.433.238,00</w:t>
            </w:r>
          </w:p>
        </w:tc>
        <w:tc>
          <w:tcPr>
            <w:tcW w:w="1460" w:type="dxa"/>
            <w:tcBorders>
              <w:top w:val="nil"/>
              <w:left w:val="nil"/>
              <w:bottom w:val="nil"/>
              <w:right w:val="nil"/>
            </w:tcBorders>
            <w:shd w:val="clear" w:color="auto" w:fill="auto"/>
            <w:vAlign w:val="center"/>
          </w:tcPr>
          <w:p w14:paraId="05270FB6"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r w:rsidRPr="00BC7DE6">
              <w:rPr>
                <w:rFonts w:eastAsia="Times New Roman" w:cs="Arial"/>
                <w:color w:val="000000" w:themeColor="text1"/>
                <w:kern w:val="0"/>
                <w:sz w:val="16"/>
                <w:szCs w:val="16"/>
                <w:lang w:eastAsia="pt-BR" w:bidi="ar-SA"/>
              </w:rPr>
              <w:t>185</w:t>
            </w:r>
            <w:r>
              <w:rPr>
                <w:rFonts w:eastAsia="Times New Roman" w:cs="Arial"/>
                <w:color w:val="000000" w:themeColor="text1"/>
                <w:kern w:val="0"/>
                <w:sz w:val="16"/>
                <w:szCs w:val="16"/>
                <w:lang w:eastAsia="pt-BR" w:bidi="ar-SA"/>
              </w:rPr>
              <w:t>.</w:t>
            </w:r>
            <w:r w:rsidRPr="00BC7DE6">
              <w:rPr>
                <w:rFonts w:eastAsia="Times New Roman" w:cs="Arial"/>
                <w:color w:val="000000" w:themeColor="text1"/>
                <w:kern w:val="0"/>
                <w:sz w:val="16"/>
                <w:szCs w:val="16"/>
                <w:lang w:eastAsia="pt-BR" w:bidi="ar-SA"/>
              </w:rPr>
              <w:t>334</w:t>
            </w:r>
            <w:r>
              <w:rPr>
                <w:rFonts w:eastAsia="Times New Roman" w:cs="Arial"/>
                <w:color w:val="000000" w:themeColor="text1"/>
                <w:kern w:val="0"/>
                <w:sz w:val="16"/>
                <w:szCs w:val="16"/>
                <w:lang w:eastAsia="pt-BR" w:bidi="ar-SA"/>
              </w:rPr>
              <w:t>.</w:t>
            </w:r>
            <w:r w:rsidRPr="00BC7DE6">
              <w:rPr>
                <w:rFonts w:eastAsia="Times New Roman" w:cs="Arial"/>
                <w:color w:val="000000" w:themeColor="text1"/>
                <w:kern w:val="0"/>
                <w:sz w:val="16"/>
                <w:szCs w:val="16"/>
                <w:lang w:eastAsia="pt-BR" w:bidi="ar-SA"/>
              </w:rPr>
              <w:t>868,05</w:t>
            </w:r>
          </w:p>
        </w:tc>
        <w:tc>
          <w:tcPr>
            <w:tcW w:w="2080" w:type="dxa"/>
            <w:tcBorders>
              <w:top w:val="nil"/>
              <w:left w:val="nil"/>
              <w:bottom w:val="nil"/>
              <w:right w:val="nil"/>
            </w:tcBorders>
            <w:shd w:val="clear" w:color="auto" w:fill="auto"/>
            <w:vAlign w:val="center"/>
          </w:tcPr>
          <w:p w14:paraId="46926134" w14:textId="77777777" w:rsidR="001946F9" w:rsidRPr="00B42BE7" w:rsidRDefault="001946F9" w:rsidP="001946F9">
            <w:pPr>
              <w:widowControl/>
              <w:suppressAutoHyphens w:val="0"/>
              <w:autoSpaceDN/>
              <w:jc w:val="center"/>
              <w:rPr>
                <w:rFonts w:eastAsia="Times New Roman" w:cs="Arial"/>
                <w:color w:val="000000" w:themeColor="text1"/>
                <w:kern w:val="0"/>
                <w:sz w:val="16"/>
                <w:szCs w:val="16"/>
                <w:lang w:eastAsia="pt-BR" w:bidi="ar-SA"/>
              </w:rPr>
            </w:pPr>
            <w:r>
              <w:rPr>
                <w:rFonts w:eastAsia="Times New Roman" w:cs="Arial"/>
                <w:color w:val="000000" w:themeColor="text1"/>
                <w:kern w:val="0"/>
                <w:sz w:val="16"/>
                <w:szCs w:val="16"/>
                <w:lang w:eastAsia="pt-BR" w:bidi="ar-SA"/>
              </w:rPr>
              <w:t xml:space="preserve"> 137,86</w:t>
            </w:r>
            <w:r w:rsidRPr="00B42BE7">
              <w:rPr>
                <w:rFonts w:eastAsia="Times New Roman" w:cs="Arial"/>
                <w:color w:val="000000" w:themeColor="text1"/>
                <w:kern w:val="0"/>
                <w:sz w:val="16"/>
                <w:szCs w:val="16"/>
                <w:lang w:eastAsia="pt-BR" w:bidi="ar-SA"/>
              </w:rPr>
              <w:t>%</w:t>
            </w:r>
          </w:p>
        </w:tc>
      </w:tr>
      <w:tr w:rsidR="001946F9" w:rsidRPr="00B42BE7" w14:paraId="024D5BD2" w14:textId="77777777" w:rsidTr="001946F9">
        <w:trPr>
          <w:trHeight w:val="270"/>
        </w:trPr>
        <w:tc>
          <w:tcPr>
            <w:tcW w:w="3880" w:type="dxa"/>
            <w:tcBorders>
              <w:top w:val="single" w:sz="8" w:space="0" w:color="000000"/>
              <w:left w:val="nil"/>
              <w:bottom w:val="single" w:sz="8" w:space="0" w:color="000000"/>
              <w:right w:val="nil"/>
            </w:tcBorders>
            <w:shd w:val="clear" w:color="000000" w:fill="D9D9D9"/>
            <w:vAlign w:val="center"/>
            <w:hideMark/>
          </w:tcPr>
          <w:p w14:paraId="5C9128D6"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Total</w:t>
            </w:r>
          </w:p>
        </w:tc>
        <w:tc>
          <w:tcPr>
            <w:tcW w:w="1500" w:type="dxa"/>
            <w:tcBorders>
              <w:top w:val="single" w:sz="8" w:space="0" w:color="000000"/>
              <w:left w:val="nil"/>
              <w:bottom w:val="single" w:sz="8" w:space="0" w:color="000000"/>
              <w:right w:val="nil"/>
            </w:tcBorders>
            <w:shd w:val="clear" w:color="000000" w:fill="D9D9D9"/>
            <w:vAlign w:val="center"/>
            <w:hideMark/>
          </w:tcPr>
          <w:p w14:paraId="47D87BD3" w14:textId="77777777" w:rsidR="001946F9" w:rsidRPr="00B42BE7" w:rsidRDefault="001946F9" w:rsidP="001946F9">
            <w:pPr>
              <w:widowControl/>
              <w:suppressAutoHyphens w:val="0"/>
              <w:autoSpaceDN/>
              <w:jc w:val="right"/>
              <w:rPr>
                <w:rFonts w:eastAsia="Times New Roman" w:cs="Times New Roman"/>
                <w:b/>
                <w:bCs/>
                <w:color w:val="000000" w:themeColor="text1"/>
                <w:kern w:val="0"/>
                <w:sz w:val="16"/>
                <w:szCs w:val="16"/>
                <w:lang w:eastAsia="pt-BR" w:bidi="ar-SA"/>
              </w:rPr>
            </w:pPr>
            <w:r w:rsidRPr="00B42BE7">
              <w:rPr>
                <w:rFonts w:eastAsia="Times New Roman" w:cs="Times New Roman"/>
                <w:b/>
                <w:bCs/>
                <w:color w:val="000000" w:themeColor="text1"/>
                <w:kern w:val="0"/>
                <w:sz w:val="16"/>
                <w:szCs w:val="16"/>
                <w:lang w:eastAsia="pt-BR" w:bidi="ar-SA"/>
              </w:rPr>
              <w:t>15.394.363.861,00</w:t>
            </w:r>
          </w:p>
        </w:tc>
        <w:tc>
          <w:tcPr>
            <w:tcW w:w="1460" w:type="dxa"/>
            <w:tcBorders>
              <w:top w:val="single" w:sz="8" w:space="0" w:color="000000"/>
              <w:left w:val="nil"/>
              <w:bottom w:val="single" w:sz="8" w:space="0" w:color="000000"/>
              <w:right w:val="nil"/>
            </w:tcBorders>
            <w:shd w:val="clear" w:color="000000" w:fill="D9D9D9"/>
            <w:vAlign w:val="center"/>
            <w:hideMark/>
          </w:tcPr>
          <w:p w14:paraId="57131E93" w14:textId="77777777" w:rsidR="001946F9" w:rsidRPr="00B42BE7" w:rsidRDefault="001946F9" w:rsidP="001946F9">
            <w:pPr>
              <w:widowControl/>
              <w:suppressAutoHyphens w:val="0"/>
              <w:autoSpaceDN/>
              <w:jc w:val="right"/>
              <w:rPr>
                <w:rFonts w:eastAsia="Times New Roman" w:cs="Times New Roman"/>
                <w:b/>
                <w:bCs/>
                <w:color w:val="000000" w:themeColor="text1"/>
                <w:kern w:val="0"/>
                <w:sz w:val="16"/>
                <w:szCs w:val="16"/>
                <w:lang w:eastAsia="pt-BR" w:bidi="ar-SA"/>
              </w:rPr>
            </w:pPr>
            <w:r>
              <w:rPr>
                <w:rFonts w:eastAsia="Times New Roman" w:cs="Times New Roman"/>
                <w:b/>
                <w:bCs/>
                <w:color w:val="000000" w:themeColor="text1"/>
                <w:kern w:val="0"/>
                <w:sz w:val="16"/>
                <w:szCs w:val="16"/>
                <w:lang w:eastAsia="pt-BR" w:bidi="ar-SA"/>
              </w:rPr>
              <w:t>695.076.042,02</w:t>
            </w:r>
          </w:p>
        </w:tc>
        <w:tc>
          <w:tcPr>
            <w:tcW w:w="2080" w:type="dxa"/>
            <w:tcBorders>
              <w:top w:val="single" w:sz="8" w:space="0" w:color="000000"/>
              <w:left w:val="nil"/>
              <w:bottom w:val="single" w:sz="8" w:space="0" w:color="000000"/>
              <w:right w:val="nil"/>
            </w:tcBorders>
            <w:shd w:val="clear" w:color="000000" w:fill="D9D9D9"/>
            <w:vAlign w:val="center"/>
            <w:hideMark/>
          </w:tcPr>
          <w:p w14:paraId="1388CDD7"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r>
    </w:tbl>
    <w:p w14:paraId="6CC828EE" w14:textId="77777777" w:rsidR="001946F9" w:rsidRPr="00B42BE7" w:rsidRDefault="001946F9" w:rsidP="001946F9">
      <w:pPr>
        <w:jc w:val="both"/>
        <w:rPr>
          <w:rFonts w:cs="Times New Roman"/>
          <w:b/>
          <w:color w:val="000000" w:themeColor="text1"/>
        </w:rPr>
      </w:pPr>
    </w:p>
    <w:p w14:paraId="55D721A8" w14:textId="77777777" w:rsidR="001946F9" w:rsidRPr="00B42BE7" w:rsidRDefault="001946F9" w:rsidP="001946F9">
      <w:pPr>
        <w:jc w:val="both"/>
        <w:rPr>
          <w:rFonts w:cs="Times New Roman"/>
          <w:color w:val="000000" w:themeColor="text1"/>
        </w:rPr>
      </w:pPr>
      <w:r w:rsidRPr="00B42BE7">
        <w:rPr>
          <w:rFonts w:cs="Times New Roman"/>
          <w:color w:val="000000" w:themeColor="text1"/>
        </w:rPr>
        <w:t xml:space="preserve">Os grupos em que se identificam maior percentual de participação nas Receitas Correntes são os destacados a seguir: </w:t>
      </w:r>
    </w:p>
    <w:p w14:paraId="393309DE" w14:textId="77777777" w:rsidR="001946F9" w:rsidRPr="00B42BE7" w:rsidRDefault="001946F9" w:rsidP="001946F9">
      <w:pPr>
        <w:jc w:val="both"/>
        <w:rPr>
          <w:rFonts w:cs="Times New Roman"/>
          <w:b/>
          <w:color w:val="000000" w:themeColor="text1"/>
        </w:rPr>
      </w:pPr>
    </w:p>
    <w:p w14:paraId="760E4956" w14:textId="77777777" w:rsidR="001946F9" w:rsidRPr="00B42BE7" w:rsidRDefault="001946F9" w:rsidP="001946F9">
      <w:pPr>
        <w:jc w:val="both"/>
        <w:rPr>
          <w:rFonts w:cs="Times New Roman"/>
          <w:b/>
          <w:i/>
          <w:color w:val="000000" w:themeColor="text1"/>
        </w:rPr>
      </w:pPr>
      <w:r w:rsidRPr="00B42BE7">
        <w:rPr>
          <w:rFonts w:cs="Times New Roman"/>
          <w:b/>
          <w:i/>
          <w:color w:val="000000" w:themeColor="text1"/>
        </w:rPr>
        <w:t>Receita Patrimonial</w:t>
      </w:r>
    </w:p>
    <w:p w14:paraId="1D205138" w14:textId="77777777" w:rsidR="001946F9" w:rsidRPr="00B42BE7" w:rsidRDefault="001946F9" w:rsidP="001946F9">
      <w:pPr>
        <w:jc w:val="both"/>
        <w:rPr>
          <w:rFonts w:cs="Times New Roman"/>
          <w:b/>
          <w:i/>
          <w:color w:val="000000" w:themeColor="text1"/>
        </w:rPr>
      </w:pPr>
    </w:p>
    <w:p w14:paraId="7BD89740" w14:textId="3CC84946" w:rsidR="001946F9" w:rsidRPr="00B42BE7" w:rsidRDefault="001946F9" w:rsidP="001946F9">
      <w:pPr>
        <w:jc w:val="both"/>
        <w:rPr>
          <w:rFonts w:cs="Times New Roman"/>
          <w:color w:val="000000" w:themeColor="text1"/>
        </w:rPr>
      </w:pPr>
      <w:r w:rsidRPr="00B42BE7">
        <w:rPr>
          <w:rFonts w:cs="Times New Roman"/>
          <w:b/>
          <w:i/>
          <w:color w:val="000000" w:themeColor="text1"/>
        </w:rPr>
        <w:t>Receitas de Valores Mobiliários –</w:t>
      </w:r>
      <w:r>
        <w:rPr>
          <w:rFonts w:cs="Times New Roman"/>
          <w:color w:val="000000" w:themeColor="text1"/>
        </w:rPr>
        <w:t xml:space="preserve"> representa 43,12</w:t>
      </w:r>
      <w:r w:rsidRPr="00B42BE7">
        <w:rPr>
          <w:rFonts w:cs="Times New Roman"/>
          <w:color w:val="000000" w:themeColor="text1"/>
        </w:rPr>
        <w:t xml:space="preserve">% da realização das Receitas Correntes. Destaque para os valores de receitas realizados nos Órgãos: Superintendência de Desenvolvimento da Amazônia; Superintendência de Desenvolvimento do Nordeste e Fundo Nacional de Habitação e Interesse Social/MDR, todos em virtude do grande volume de recursos provenientes de rendimentos de aplicações de recursos da Conta Única. </w:t>
      </w:r>
    </w:p>
    <w:p w14:paraId="3F2F5E26" w14:textId="77777777" w:rsidR="001946F9" w:rsidRPr="00B42BE7" w:rsidRDefault="001946F9" w:rsidP="001946F9">
      <w:pPr>
        <w:jc w:val="both"/>
        <w:rPr>
          <w:rFonts w:cs="Times New Roman"/>
          <w:color w:val="000000" w:themeColor="text1"/>
        </w:rPr>
      </w:pPr>
    </w:p>
    <w:p w14:paraId="173BA0DD" w14:textId="77777777" w:rsidR="001946F9" w:rsidRPr="00B42BE7" w:rsidRDefault="001946F9" w:rsidP="001946F9">
      <w:pPr>
        <w:jc w:val="both"/>
        <w:rPr>
          <w:rFonts w:cs="Times New Roman"/>
          <w:color w:val="000000" w:themeColor="text1"/>
        </w:rPr>
      </w:pPr>
      <w:r w:rsidRPr="00B42BE7">
        <w:rPr>
          <w:rFonts w:cs="Times New Roman"/>
          <w:b/>
          <w:i/>
          <w:color w:val="000000" w:themeColor="text1"/>
        </w:rPr>
        <w:t xml:space="preserve">Receita de Exploração de Recursos Naturais </w:t>
      </w:r>
      <w:r>
        <w:rPr>
          <w:rFonts w:cs="Times New Roman"/>
          <w:color w:val="000000" w:themeColor="text1"/>
        </w:rPr>
        <w:t>– são 21,40</w:t>
      </w:r>
      <w:r w:rsidRPr="00B42BE7">
        <w:rPr>
          <w:rFonts w:cs="Times New Roman"/>
          <w:color w:val="000000" w:themeColor="text1"/>
        </w:rPr>
        <w:t>% da realização das Receitas Correntes, sendo totalmente realizada na Agência Nacional de Águas por arrecadação relativa à compensação financeira por utilização de recursos hídricos para a geração de energia elétrica.</w:t>
      </w:r>
    </w:p>
    <w:p w14:paraId="6596F595" w14:textId="77777777" w:rsidR="001946F9" w:rsidRPr="00B42BE7" w:rsidRDefault="001946F9" w:rsidP="001946F9">
      <w:pPr>
        <w:jc w:val="both"/>
        <w:rPr>
          <w:rFonts w:cs="Times New Roman"/>
          <w:color w:val="000000" w:themeColor="text1"/>
        </w:rPr>
      </w:pPr>
    </w:p>
    <w:p w14:paraId="6B5830EA" w14:textId="77777777" w:rsidR="001946F9" w:rsidRPr="00B42BE7" w:rsidRDefault="001946F9" w:rsidP="001946F9">
      <w:pPr>
        <w:jc w:val="both"/>
        <w:rPr>
          <w:rFonts w:cs="Times New Roman"/>
          <w:b/>
          <w:i/>
          <w:color w:val="000000" w:themeColor="text1"/>
        </w:rPr>
      </w:pPr>
      <w:r w:rsidRPr="00B42BE7">
        <w:rPr>
          <w:rFonts w:cs="Times New Roman"/>
          <w:b/>
          <w:i/>
          <w:color w:val="000000" w:themeColor="text1"/>
        </w:rPr>
        <w:t>Receita de Serviços</w:t>
      </w:r>
    </w:p>
    <w:p w14:paraId="31596E68" w14:textId="77777777" w:rsidR="001946F9" w:rsidRPr="00B42BE7" w:rsidRDefault="001946F9" w:rsidP="001946F9">
      <w:pPr>
        <w:jc w:val="both"/>
        <w:rPr>
          <w:rFonts w:cs="Times New Roman"/>
          <w:color w:val="000000" w:themeColor="text1"/>
        </w:rPr>
      </w:pPr>
      <w:r w:rsidRPr="00B42BE7">
        <w:rPr>
          <w:rFonts w:cs="Times New Roman"/>
          <w:color w:val="000000" w:themeColor="text1"/>
        </w:rPr>
        <w:t xml:space="preserve"> </w:t>
      </w:r>
    </w:p>
    <w:p w14:paraId="4EED46C0" w14:textId="77777777" w:rsidR="001946F9" w:rsidRPr="00B42BE7" w:rsidRDefault="001946F9" w:rsidP="001946F9">
      <w:pPr>
        <w:jc w:val="both"/>
        <w:rPr>
          <w:rFonts w:cs="Times New Roman"/>
          <w:color w:val="000000" w:themeColor="text1"/>
        </w:rPr>
      </w:pPr>
      <w:r w:rsidRPr="00B42BE7">
        <w:rPr>
          <w:rFonts w:cs="Times New Roman"/>
          <w:b/>
          <w:i/>
          <w:color w:val="000000" w:themeColor="text1"/>
        </w:rPr>
        <w:t xml:space="preserve">Serviços e Atividades referentes à Navegação e ao Transporte – </w:t>
      </w:r>
      <w:r>
        <w:rPr>
          <w:rFonts w:cs="Times New Roman"/>
          <w:color w:val="000000" w:themeColor="text1"/>
        </w:rPr>
        <w:t>representa 16,59</w:t>
      </w:r>
      <w:r w:rsidRPr="00B42BE7">
        <w:rPr>
          <w:rFonts w:cs="Times New Roman"/>
          <w:color w:val="000000" w:themeColor="text1"/>
        </w:rPr>
        <w:t>% das receitas realizada especificamente na Empresa de Trens Urbanos de Porto Alegre e na Companhia Brasileira de Trens Urbanos referentes aos Serviços de Transporte Ferroviário.</w:t>
      </w:r>
    </w:p>
    <w:p w14:paraId="7FC00BB6" w14:textId="77777777" w:rsidR="001946F9" w:rsidRPr="00B42BE7" w:rsidRDefault="001946F9" w:rsidP="001946F9">
      <w:pPr>
        <w:jc w:val="both"/>
        <w:rPr>
          <w:rFonts w:cs="Times New Roman"/>
          <w:color w:val="000000" w:themeColor="text1"/>
        </w:rPr>
      </w:pPr>
    </w:p>
    <w:p w14:paraId="058E4EC4" w14:textId="77777777" w:rsidR="001946F9" w:rsidRPr="00B42BE7" w:rsidRDefault="001946F9" w:rsidP="001946F9">
      <w:pPr>
        <w:jc w:val="both"/>
        <w:rPr>
          <w:rFonts w:cs="Times New Roman"/>
          <w:b/>
          <w:i/>
          <w:color w:val="000000" w:themeColor="text1"/>
        </w:rPr>
      </w:pPr>
      <w:r w:rsidRPr="00B42BE7">
        <w:rPr>
          <w:rFonts w:cs="Times New Roman"/>
          <w:b/>
          <w:i/>
          <w:color w:val="000000" w:themeColor="text1"/>
        </w:rPr>
        <w:t xml:space="preserve">Outras Receitas Correntes </w:t>
      </w:r>
    </w:p>
    <w:p w14:paraId="3F705C3E" w14:textId="77777777" w:rsidR="001946F9" w:rsidRPr="00B42BE7" w:rsidRDefault="001946F9" w:rsidP="001946F9">
      <w:pPr>
        <w:jc w:val="both"/>
        <w:rPr>
          <w:rFonts w:cs="Times New Roman"/>
          <w:b/>
          <w:i/>
          <w:color w:val="000000" w:themeColor="text1"/>
        </w:rPr>
      </w:pPr>
    </w:p>
    <w:p w14:paraId="548F825A" w14:textId="77777777" w:rsidR="001946F9" w:rsidRPr="00B42BE7" w:rsidRDefault="001946F9" w:rsidP="001946F9">
      <w:pPr>
        <w:jc w:val="both"/>
        <w:rPr>
          <w:rFonts w:cs="Times New Roman"/>
          <w:b/>
          <w:i/>
          <w:color w:val="000000" w:themeColor="text1"/>
        </w:rPr>
      </w:pPr>
      <w:r w:rsidRPr="00B42BE7">
        <w:rPr>
          <w:rFonts w:cs="Times New Roman"/>
          <w:b/>
          <w:i/>
          <w:color w:val="000000" w:themeColor="text1"/>
        </w:rPr>
        <w:t>Indenizações, Restituições e Ressarcimentos</w:t>
      </w:r>
    </w:p>
    <w:p w14:paraId="208889A5" w14:textId="77777777" w:rsidR="001946F9" w:rsidRPr="00B42BE7" w:rsidRDefault="001946F9" w:rsidP="001946F9">
      <w:pPr>
        <w:widowControl/>
        <w:suppressAutoHyphens w:val="0"/>
        <w:autoSpaceDN/>
        <w:jc w:val="both"/>
        <w:rPr>
          <w:rFonts w:cs="Times New Roman"/>
          <w:color w:val="000000" w:themeColor="text1"/>
        </w:rPr>
      </w:pPr>
    </w:p>
    <w:p w14:paraId="31153557" w14:textId="77777777" w:rsidR="001946F9" w:rsidRPr="00B42BE7" w:rsidRDefault="001946F9" w:rsidP="001946F9">
      <w:pPr>
        <w:widowControl/>
        <w:suppressAutoHyphens w:val="0"/>
        <w:autoSpaceDN/>
        <w:jc w:val="both"/>
        <w:rPr>
          <w:color w:val="000000" w:themeColor="text1"/>
        </w:rPr>
      </w:pPr>
      <w:r>
        <w:rPr>
          <w:rFonts w:cs="Times New Roman"/>
          <w:color w:val="000000" w:themeColor="text1"/>
        </w:rPr>
        <w:t>Representam 2,33</w:t>
      </w:r>
      <w:r w:rsidRPr="00B42BE7">
        <w:rPr>
          <w:rFonts w:cs="Times New Roman"/>
          <w:color w:val="000000" w:themeColor="text1"/>
        </w:rPr>
        <w:t xml:space="preserve">% das Receitas Correntes e </w:t>
      </w:r>
      <w:r w:rsidRPr="00B42BE7">
        <w:rPr>
          <w:rFonts w:eastAsia="Times New Roman" w:cs="Times New Roman"/>
          <w:color w:val="000000" w:themeColor="text1"/>
          <w:kern w:val="0"/>
          <w:lang w:eastAsia="pt-BR" w:bidi="ar-SA"/>
        </w:rPr>
        <w:t>C</w:t>
      </w:r>
      <w:r w:rsidRPr="00B42BE7">
        <w:rPr>
          <w:rFonts w:cs="Times New Roman"/>
          <w:color w:val="000000" w:themeColor="text1"/>
        </w:rPr>
        <w:t>onforme denominação das receitas definidas pela Secretaria de Orçamento, e, escrituração contábil constante nos documentos realizados pelos Ó</w:t>
      </w:r>
      <w:r w:rsidRPr="00B42BE7">
        <w:rPr>
          <w:rFonts w:cs="Times New Roman"/>
          <w:color w:val="000000" w:themeColor="text1"/>
        </w:rPr>
        <w:t>r</w:t>
      </w:r>
      <w:r w:rsidRPr="00B42BE7">
        <w:rPr>
          <w:rFonts w:cs="Times New Roman"/>
          <w:color w:val="000000" w:themeColor="text1"/>
        </w:rPr>
        <w:t>gãos no SIAFI, assim as receitas foram identificadas:</w:t>
      </w:r>
      <w:r w:rsidRPr="00B42BE7">
        <w:rPr>
          <w:color w:val="000000" w:themeColor="text1"/>
        </w:rPr>
        <w:t xml:space="preserve"> </w:t>
      </w:r>
      <w:r w:rsidRPr="00B42BE7">
        <w:rPr>
          <w:rFonts w:eastAsia="Times New Roman" w:cs="Times New Roman"/>
          <w:color w:val="000000" w:themeColor="text1"/>
          <w:kern w:val="0"/>
          <w:lang w:eastAsia="pt-BR" w:bidi="ar-SA"/>
        </w:rPr>
        <w:t>Empresa de Trens Urbanos de Porto Alegre S/A</w:t>
      </w:r>
      <w:r w:rsidRPr="00B42BE7">
        <w:rPr>
          <w:color w:val="000000" w:themeColor="text1"/>
        </w:rPr>
        <w:t xml:space="preserve"> (</w:t>
      </w:r>
      <w:r w:rsidRPr="00B42BE7">
        <w:rPr>
          <w:i/>
          <w:color w:val="000000" w:themeColor="text1"/>
        </w:rPr>
        <w:t>recuperação de despesas de exercícios anteriores e canceladas no exercício corrente</w:t>
      </w:r>
      <w:r w:rsidRPr="00B42BE7">
        <w:rPr>
          <w:color w:val="000000" w:themeColor="text1"/>
        </w:rPr>
        <w:t xml:space="preserve">); </w:t>
      </w:r>
      <w:r w:rsidRPr="00B42BE7">
        <w:rPr>
          <w:rFonts w:eastAsia="Times New Roman" w:cs="Times New Roman"/>
          <w:color w:val="000000" w:themeColor="text1"/>
          <w:kern w:val="0"/>
          <w:lang w:eastAsia="pt-BR" w:bidi="ar-SA"/>
        </w:rPr>
        <w:t>Agê</w:t>
      </w:r>
      <w:r w:rsidRPr="00B42BE7">
        <w:rPr>
          <w:rFonts w:eastAsia="Times New Roman" w:cs="Times New Roman"/>
          <w:color w:val="000000" w:themeColor="text1"/>
          <w:kern w:val="0"/>
          <w:lang w:eastAsia="pt-BR" w:bidi="ar-SA"/>
        </w:rPr>
        <w:t>n</w:t>
      </w:r>
      <w:r w:rsidRPr="00B42BE7">
        <w:rPr>
          <w:rFonts w:eastAsia="Times New Roman" w:cs="Times New Roman"/>
          <w:color w:val="000000" w:themeColor="text1"/>
          <w:kern w:val="0"/>
          <w:lang w:eastAsia="pt-BR" w:bidi="ar-SA"/>
        </w:rPr>
        <w:t>cia Nacional de Águas</w:t>
      </w:r>
      <w:r w:rsidRPr="00B42BE7">
        <w:rPr>
          <w:color w:val="000000" w:themeColor="text1"/>
        </w:rPr>
        <w:t xml:space="preserve"> (</w:t>
      </w:r>
      <w:r w:rsidRPr="00B42BE7">
        <w:rPr>
          <w:i/>
          <w:color w:val="000000" w:themeColor="text1"/>
        </w:rPr>
        <w:t>recuperação de despesas de exercícios anteriores fonte vinculada)</w:t>
      </w:r>
      <w:r w:rsidRPr="00B42BE7">
        <w:rPr>
          <w:rFonts w:eastAsia="Times New Roman" w:cs="Times New Roman"/>
          <w:color w:val="000000" w:themeColor="text1"/>
          <w:kern w:val="0"/>
          <w:lang w:eastAsia="pt-BR" w:bidi="ar-SA"/>
        </w:rPr>
        <w:t>;</w:t>
      </w:r>
      <w:r w:rsidRPr="00B42BE7">
        <w:rPr>
          <w:color w:val="000000" w:themeColor="text1"/>
        </w:rPr>
        <w:t xml:space="preserve"> </w:t>
      </w:r>
      <w:r w:rsidRPr="00B42BE7">
        <w:rPr>
          <w:rFonts w:eastAsia="Times New Roman" w:cs="Times New Roman"/>
          <w:color w:val="000000" w:themeColor="text1"/>
          <w:kern w:val="0"/>
          <w:lang w:eastAsia="pt-BR" w:bidi="ar-SA"/>
        </w:rPr>
        <w:t>Comp</w:t>
      </w:r>
      <w:r w:rsidRPr="00B42BE7">
        <w:rPr>
          <w:rFonts w:eastAsia="Times New Roman" w:cs="Times New Roman"/>
          <w:color w:val="000000" w:themeColor="text1"/>
          <w:kern w:val="0"/>
          <w:lang w:eastAsia="pt-BR" w:bidi="ar-SA"/>
        </w:rPr>
        <w:t>a</w:t>
      </w:r>
      <w:r w:rsidRPr="00B42BE7">
        <w:rPr>
          <w:rFonts w:eastAsia="Times New Roman" w:cs="Times New Roman"/>
          <w:color w:val="000000" w:themeColor="text1"/>
          <w:kern w:val="0"/>
          <w:lang w:eastAsia="pt-BR" w:bidi="ar-SA"/>
        </w:rPr>
        <w:t>nhia de Desenvolvimento dos Vales do São Francisco</w:t>
      </w:r>
      <w:r w:rsidRPr="00B42BE7">
        <w:rPr>
          <w:color w:val="000000" w:themeColor="text1"/>
        </w:rPr>
        <w:t xml:space="preserve"> (</w:t>
      </w:r>
      <w:r w:rsidRPr="00B42BE7">
        <w:rPr>
          <w:i/>
          <w:color w:val="000000" w:themeColor="text1"/>
        </w:rPr>
        <w:t>remuneração de depósitos bancários, re</w:t>
      </w:r>
      <w:r w:rsidRPr="00B42BE7">
        <w:rPr>
          <w:i/>
          <w:color w:val="000000" w:themeColor="text1"/>
        </w:rPr>
        <w:t>n</w:t>
      </w:r>
      <w:r w:rsidRPr="00B42BE7">
        <w:rPr>
          <w:i/>
          <w:color w:val="000000" w:themeColor="text1"/>
        </w:rPr>
        <w:t>dimentos de aplicações de recursos da Conta Única, multas e juros de mora de serviços administr</w:t>
      </w:r>
      <w:r w:rsidRPr="00B42BE7">
        <w:rPr>
          <w:i/>
          <w:color w:val="000000" w:themeColor="text1"/>
        </w:rPr>
        <w:t>a</w:t>
      </w:r>
      <w:r w:rsidRPr="00B42BE7">
        <w:rPr>
          <w:i/>
          <w:color w:val="000000" w:themeColor="text1"/>
        </w:rPr>
        <w:t>tivos, serviços de fornecimento de água e receita de energia elétrica</w:t>
      </w:r>
      <w:r w:rsidRPr="00B42BE7">
        <w:rPr>
          <w:color w:val="000000" w:themeColor="text1"/>
        </w:rPr>
        <w:t xml:space="preserve">); </w:t>
      </w:r>
      <w:r w:rsidRPr="00B42BE7">
        <w:rPr>
          <w:rFonts w:eastAsia="Times New Roman" w:cs="Times New Roman"/>
          <w:color w:val="000000" w:themeColor="text1"/>
          <w:kern w:val="0"/>
          <w:lang w:eastAsia="pt-BR" w:bidi="ar-SA"/>
        </w:rPr>
        <w:t>Companhia Brasileira de Trens Urbanos-Adm. Central</w:t>
      </w:r>
      <w:r w:rsidRPr="00B42BE7">
        <w:rPr>
          <w:color w:val="000000" w:themeColor="text1"/>
        </w:rPr>
        <w:t xml:space="preserve"> (</w:t>
      </w:r>
      <w:r w:rsidRPr="00B42BE7">
        <w:rPr>
          <w:i/>
          <w:color w:val="000000" w:themeColor="text1"/>
        </w:rPr>
        <w:t>serviços de transporte ferroviário, aluguéis, arrecadação do Sistema elétrico-GRE, recuperação de despesas de exercícios anteriores e outras restituições</w:t>
      </w:r>
      <w:r w:rsidRPr="00B42BE7">
        <w:rPr>
          <w:color w:val="000000" w:themeColor="text1"/>
        </w:rPr>
        <w:t xml:space="preserve">); </w:t>
      </w:r>
      <w:r w:rsidRPr="00B42BE7">
        <w:rPr>
          <w:rFonts w:eastAsia="Times New Roman" w:cs="Times New Roman"/>
          <w:color w:val="000000" w:themeColor="text1"/>
          <w:kern w:val="0"/>
          <w:lang w:eastAsia="pt-BR" w:bidi="ar-SA"/>
        </w:rPr>
        <w:t>Superinte</w:t>
      </w:r>
      <w:r w:rsidRPr="00B42BE7">
        <w:rPr>
          <w:rFonts w:eastAsia="Times New Roman" w:cs="Times New Roman"/>
          <w:color w:val="000000" w:themeColor="text1"/>
          <w:kern w:val="0"/>
          <w:lang w:eastAsia="pt-BR" w:bidi="ar-SA"/>
        </w:rPr>
        <w:t>n</w:t>
      </w:r>
      <w:r w:rsidRPr="00B42BE7">
        <w:rPr>
          <w:rFonts w:eastAsia="Times New Roman" w:cs="Times New Roman"/>
          <w:color w:val="000000" w:themeColor="text1"/>
          <w:kern w:val="0"/>
          <w:lang w:eastAsia="pt-BR" w:bidi="ar-SA"/>
        </w:rPr>
        <w:t xml:space="preserve">dência do Desenvolvimento do Nordeste (impacto observado no </w:t>
      </w:r>
      <w:r w:rsidRPr="00B42BE7">
        <w:rPr>
          <w:color w:val="000000" w:themeColor="text1"/>
        </w:rPr>
        <w:t xml:space="preserve">Fundo de Desenvolvimento do Nordeste nas receitas de </w:t>
      </w:r>
      <w:r w:rsidRPr="00B42BE7">
        <w:rPr>
          <w:i/>
          <w:color w:val="000000" w:themeColor="text1"/>
        </w:rPr>
        <w:t>outras restituições</w:t>
      </w:r>
      <w:r w:rsidRPr="00B42BE7">
        <w:rPr>
          <w:color w:val="000000" w:themeColor="text1"/>
        </w:rPr>
        <w:t xml:space="preserve"> referentes a </w:t>
      </w:r>
      <w:r w:rsidRPr="00B42BE7">
        <w:rPr>
          <w:i/>
          <w:color w:val="000000" w:themeColor="text1"/>
        </w:rPr>
        <w:t>ressarcimentos</w:t>
      </w:r>
      <w:r w:rsidRPr="00B42BE7">
        <w:rPr>
          <w:color w:val="000000" w:themeColor="text1"/>
        </w:rPr>
        <w:t xml:space="preserve"> à Superintendência de D</w:t>
      </w:r>
      <w:r w:rsidRPr="00B42BE7">
        <w:rPr>
          <w:color w:val="000000" w:themeColor="text1"/>
        </w:rPr>
        <w:t>e</w:t>
      </w:r>
      <w:r w:rsidRPr="00B42BE7">
        <w:rPr>
          <w:color w:val="000000" w:themeColor="text1"/>
        </w:rPr>
        <w:t xml:space="preserve">senvolvimento do Nordeste e de </w:t>
      </w:r>
      <w:r w:rsidRPr="00B42BE7">
        <w:rPr>
          <w:i/>
          <w:color w:val="000000" w:themeColor="text1"/>
        </w:rPr>
        <w:t>recursos glosados pelo Banco do Nordeste</w:t>
      </w:r>
      <w:r w:rsidRPr="00B42BE7">
        <w:rPr>
          <w:color w:val="000000" w:themeColor="text1"/>
        </w:rPr>
        <w:t xml:space="preserve"> em virtude da atualiz</w:t>
      </w:r>
      <w:r w:rsidRPr="00B42BE7">
        <w:rPr>
          <w:color w:val="000000" w:themeColor="text1"/>
        </w:rPr>
        <w:t>a</w:t>
      </w:r>
      <w:r w:rsidRPr="00B42BE7">
        <w:rPr>
          <w:color w:val="000000" w:themeColor="text1"/>
        </w:rPr>
        <w:t xml:space="preserve">ção da taxa SELIC); </w:t>
      </w:r>
    </w:p>
    <w:p w14:paraId="15AC1F81" w14:textId="77777777" w:rsidR="001946F9" w:rsidRPr="00B42BE7" w:rsidRDefault="001946F9" w:rsidP="001946F9">
      <w:pPr>
        <w:widowControl/>
        <w:suppressAutoHyphens w:val="0"/>
        <w:autoSpaceDN/>
        <w:jc w:val="both"/>
        <w:rPr>
          <w:color w:val="000000" w:themeColor="text1"/>
        </w:rPr>
      </w:pPr>
    </w:p>
    <w:p w14:paraId="074143A0" w14:textId="77777777" w:rsidR="001946F9" w:rsidRPr="00B42BE7" w:rsidRDefault="001946F9" w:rsidP="001946F9">
      <w:pPr>
        <w:widowControl/>
        <w:suppressAutoHyphens w:val="0"/>
        <w:autoSpaceDN/>
        <w:jc w:val="both"/>
        <w:rPr>
          <w:rFonts w:cs="Times New Roman"/>
          <w:color w:val="000000" w:themeColor="text1"/>
        </w:rPr>
      </w:pPr>
    </w:p>
    <w:p w14:paraId="6DCC0798" w14:textId="77777777" w:rsidR="001946F9" w:rsidRPr="00B42BE7" w:rsidRDefault="001946F9" w:rsidP="001946F9">
      <w:pPr>
        <w:jc w:val="both"/>
        <w:rPr>
          <w:rFonts w:cs="Times New Roman"/>
          <w:b/>
          <w:color w:val="000000" w:themeColor="text1"/>
        </w:rPr>
      </w:pPr>
      <w:r w:rsidRPr="00B42BE7">
        <w:rPr>
          <w:rFonts w:cs="Times New Roman"/>
          <w:b/>
          <w:color w:val="000000" w:themeColor="text1"/>
        </w:rPr>
        <w:t xml:space="preserve">Nota </w:t>
      </w:r>
      <w:r>
        <w:rPr>
          <w:rFonts w:cs="Times New Roman"/>
          <w:b/>
          <w:color w:val="000000" w:themeColor="text1"/>
        </w:rPr>
        <w:t>12</w:t>
      </w:r>
      <w:r w:rsidRPr="00B42BE7">
        <w:rPr>
          <w:rFonts w:cs="Times New Roman"/>
          <w:b/>
          <w:color w:val="000000" w:themeColor="text1"/>
        </w:rPr>
        <w:t xml:space="preserve"> – Receitas de Capital</w:t>
      </w:r>
    </w:p>
    <w:p w14:paraId="474C5472" w14:textId="77777777" w:rsidR="001946F9" w:rsidRPr="00B42BE7" w:rsidRDefault="001946F9" w:rsidP="001946F9">
      <w:pPr>
        <w:jc w:val="both"/>
        <w:rPr>
          <w:rFonts w:cs="Times New Roman"/>
          <w:b/>
          <w:color w:val="000000" w:themeColor="text1"/>
        </w:rPr>
      </w:pPr>
    </w:p>
    <w:p w14:paraId="56506790" w14:textId="77777777" w:rsidR="001946F9" w:rsidRPr="00B42BE7" w:rsidRDefault="001946F9" w:rsidP="001946F9">
      <w:pPr>
        <w:jc w:val="both"/>
        <w:rPr>
          <w:rFonts w:cs="Times New Roman"/>
          <w:color w:val="000000" w:themeColor="text1"/>
        </w:rPr>
      </w:pPr>
      <w:r w:rsidRPr="00B42BE7">
        <w:rPr>
          <w:rFonts w:cs="Times New Roman"/>
          <w:color w:val="000000" w:themeColor="text1"/>
        </w:rPr>
        <w:t xml:space="preserve">No tocante às Receitas de Capital, nos grupos de contas </w:t>
      </w:r>
      <w:r w:rsidRPr="00B42BE7">
        <w:rPr>
          <w:rFonts w:cs="Times New Roman"/>
          <w:b/>
          <w:i/>
          <w:color w:val="000000" w:themeColor="text1"/>
        </w:rPr>
        <w:t>Alienação de Bens</w:t>
      </w:r>
      <w:r w:rsidRPr="00B42BE7">
        <w:rPr>
          <w:rFonts w:cs="Times New Roman"/>
          <w:color w:val="000000" w:themeColor="text1"/>
        </w:rPr>
        <w:t xml:space="preserve"> e </w:t>
      </w:r>
      <w:r w:rsidRPr="00B42BE7">
        <w:rPr>
          <w:rFonts w:cs="Times New Roman"/>
          <w:b/>
          <w:bCs/>
          <w:i/>
          <w:iCs/>
          <w:color w:val="000000" w:themeColor="text1"/>
        </w:rPr>
        <w:t>Amortização de Empréstimos</w:t>
      </w:r>
      <w:r w:rsidRPr="00B42BE7">
        <w:rPr>
          <w:rFonts w:cs="Times New Roman"/>
          <w:color w:val="000000" w:themeColor="text1"/>
        </w:rPr>
        <w:t xml:space="preserve"> foram identificados excesso de arrecadação conforme demonstra o quadro abaixo. Destaque para não realização de 100% nas r</w:t>
      </w:r>
      <w:r w:rsidRPr="00B42BE7">
        <w:rPr>
          <w:rFonts w:eastAsiaTheme="minorHAnsi" w:cs="Times New Roman"/>
          <w:bCs/>
          <w:color w:val="000000" w:themeColor="text1"/>
          <w:kern w:val="0"/>
          <w:lang w:eastAsia="en-US" w:bidi="ar-SA"/>
        </w:rPr>
        <w:t xml:space="preserve">eceitas de Capital de </w:t>
      </w:r>
      <w:r w:rsidRPr="00B42BE7">
        <w:rPr>
          <w:rFonts w:eastAsiaTheme="minorHAnsi" w:cs="Times New Roman"/>
          <w:b/>
          <w:bCs/>
          <w:i/>
          <w:color w:val="000000" w:themeColor="text1"/>
          <w:kern w:val="0"/>
          <w:lang w:eastAsia="en-US" w:bidi="ar-SA"/>
        </w:rPr>
        <w:t>Operações de Crédito – Mercado Interno</w:t>
      </w:r>
      <w:r w:rsidRPr="00B42BE7">
        <w:rPr>
          <w:rFonts w:eastAsiaTheme="minorHAnsi" w:cs="Times New Roman"/>
          <w:bCs/>
          <w:i/>
          <w:color w:val="000000" w:themeColor="text1"/>
          <w:kern w:val="0"/>
          <w:lang w:eastAsia="en-US" w:bidi="ar-SA"/>
        </w:rPr>
        <w:t>,</w:t>
      </w:r>
      <w:r w:rsidRPr="00B42BE7">
        <w:rPr>
          <w:rFonts w:eastAsiaTheme="minorHAnsi" w:cs="Times New Roman"/>
          <w:b/>
          <w:bCs/>
          <w:i/>
          <w:color w:val="000000" w:themeColor="text1"/>
          <w:kern w:val="0"/>
          <w:lang w:eastAsia="en-US" w:bidi="ar-SA"/>
        </w:rPr>
        <w:t xml:space="preserve"> </w:t>
      </w:r>
      <w:r w:rsidRPr="00B42BE7">
        <w:rPr>
          <w:rFonts w:eastAsiaTheme="minorHAnsi" w:cs="Times New Roman"/>
          <w:color w:val="000000" w:themeColor="text1"/>
          <w:kern w:val="0"/>
          <w:lang w:eastAsia="en-US" w:bidi="ar-SA"/>
        </w:rPr>
        <w:t xml:space="preserve">evidenciado no Balanço Orçamentário do </w:t>
      </w:r>
      <w:r w:rsidRPr="00B42BE7">
        <w:rPr>
          <w:rFonts w:cs="Times New Roman"/>
          <w:color w:val="000000" w:themeColor="text1"/>
        </w:rPr>
        <w:t>Órgão Superior registrado nas Setoriais Financeiras de todos os Órgãos vinculados ao MDR e na Setorial Financeira do MDR.</w:t>
      </w:r>
    </w:p>
    <w:p w14:paraId="65A1EA75" w14:textId="77777777" w:rsidR="001946F9" w:rsidRPr="00B42BE7" w:rsidRDefault="001946F9" w:rsidP="001946F9">
      <w:pPr>
        <w:jc w:val="both"/>
        <w:rPr>
          <w:rFonts w:eastAsiaTheme="minorHAnsi" w:cs="Times New Roman"/>
          <w:color w:val="000000" w:themeColor="text1"/>
          <w:kern w:val="0"/>
          <w:lang w:eastAsia="en-US" w:bidi="ar-SA"/>
        </w:rPr>
      </w:pPr>
    </w:p>
    <w:p w14:paraId="0FAC80F8" w14:textId="77777777" w:rsidR="001946F9" w:rsidRPr="00B42BE7" w:rsidRDefault="001946F9" w:rsidP="001946F9">
      <w:pPr>
        <w:widowControl/>
        <w:shd w:val="clear" w:color="auto" w:fill="FFFFFF"/>
        <w:tabs>
          <w:tab w:val="left" w:pos="-24066"/>
          <w:tab w:val="left" w:pos="-9306"/>
          <w:tab w:val="left" w:pos="1134"/>
        </w:tabs>
        <w:suppressAutoHyphens w:val="0"/>
        <w:ind w:left="720" w:hanging="360"/>
        <w:jc w:val="center"/>
        <w:rPr>
          <w:rFonts w:ascii="Arial" w:eastAsia="Times New Roman" w:hAnsi="Arial" w:cs="Arial"/>
          <w:b/>
          <w:color w:val="000000" w:themeColor="text1"/>
          <w:kern w:val="0"/>
          <w:sz w:val="18"/>
          <w:szCs w:val="18"/>
          <w:lang w:eastAsia="pt-BR" w:bidi="ar-SA"/>
        </w:rPr>
      </w:pPr>
    </w:p>
    <w:tbl>
      <w:tblPr>
        <w:tblW w:w="4919" w:type="pct"/>
        <w:tblCellMar>
          <w:left w:w="10" w:type="dxa"/>
          <w:right w:w="10" w:type="dxa"/>
        </w:tblCellMar>
        <w:tblLook w:val="0000" w:firstRow="0" w:lastRow="0" w:firstColumn="0" w:lastColumn="0" w:noHBand="0" w:noVBand="0"/>
      </w:tblPr>
      <w:tblGrid>
        <w:gridCol w:w="4391"/>
        <w:gridCol w:w="1789"/>
        <w:gridCol w:w="1626"/>
        <w:gridCol w:w="1792"/>
      </w:tblGrid>
      <w:tr w:rsidR="001946F9" w:rsidRPr="00B42BE7" w14:paraId="2FDF0FD8" w14:textId="77777777" w:rsidTr="001946F9">
        <w:trPr>
          <w:trHeight w:val="19"/>
        </w:trPr>
        <w:tc>
          <w:tcPr>
            <w:tcW w:w="3828" w:type="dxa"/>
            <w:tcBorders>
              <w:top w:val="single" w:sz="4" w:space="0" w:color="000000"/>
              <w:bottom w:val="single" w:sz="4" w:space="0" w:color="000000"/>
            </w:tcBorders>
            <w:shd w:val="clear" w:color="auto" w:fill="D9D9D9"/>
            <w:tcMar>
              <w:top w:w="0" w:type="dxa"/>
              <w:left w:w="108" w:type="dxa"/>
              <w:bottom w:w="0" w:type="dxa"/>
              <w:right w:w="108" w:type="dxa"/>
            </w:tcMar>
            <w:vAlign w:val="center"/>
          </w:tcPr>
          <w:p w14:paraId="67DC643C" w14:textId="77777777"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RECEITAS ORÇAMENTÁRIAS</w:t>
            </w:r>
          </w:p>
        </w:tc>
        <w:tc>
          <w:tcPr>
            <w:tcW w:w="1559"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0CFE5034"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 xml:space="preserve">PREVISÃO </w:t>
            </w:r>
          </w:p>
          <w:p w14:paraId="13579EC7"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ATUALIZADA</w:t>
            </w:r>
          </w:p>
        </w:tc>
        <w:tc>
          <w:tcPr>
            <w:tcW w:w="1417"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23730180"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RECEITAS REALIZADAS</w:t>
            </w:r>
          </w:p>
        </w:tc>
        <w:tc>
          <w:tcPr>
            <w:tcW w:w="1562" w:type="dxa"/>
            <w:tcBorders>
              <w:top w:val="single" w:sz="4" w:space="0" w:color="000000"/>
              <w:bottom w:val="single" w:sz="4" w:space="0" w:color="000000"/>
            </w:tcBorders>
            <w:shd w:val="clear" w:color="auto" w:fill="D9D9D9"/>
          </w:tcPr>
          <w:p w14:paraId="0E0D50BD" w14:textId="77777777" w:rsidR="001946F9" w:rsidRPr="00B42BE7" w:rsidRDefault="001946F9" w:rsidP="001946F9">
            <w:pPr>
              <w:ind w:right="-74"/>
              <w:jc w:val="center"/>
              <w:rPr>
                <w:rFonts w:cs="Arial"/>
                <w:b/>
                <w:color w:val="000000" w:themeColor="text1"/>
                <w:sz w:val="16"/>
                <w:szCs w:val="16"/>
              </w:rPr>
            </w:pPr>
            <w:r w:rsidRPr="00B42BE7">
              <w:rPr>
                <w:rFonts w:cs="Arial"/>
                <w:b/>
                <w:color w:val="000000" w:themeColor="text1"/>
                <w:sz w:val="16"/>
                <w:szCs w:val="16"/>
              </w:rPr>
              <w:t>INSUFICIÊNCIA/ EXCESSO DE ARRECADAÇÃO</w:t>
            </w:r>
          </w:p>
        </w:tc>
      </w:tr>
      <w:tr w:rsidR="001946F9" w:rsidRPr="00B42BE7" w14:paraId="30613344" w14:textId="77777777" w:rsidTr="001946F9">
        <w:trPr>
          <w:trHeight w:val="19"/>
        </w:trPr>
        <w:tc>
          <w:tcPr>
            <w:tcW w:w="3828" w:type="dxa"/>
            <w:tcBorders>
              <w:top w:val="single" w:sz="4" w:space="0" w:color="000000"/>
              <w:bottom w:val="single" w:sz="4" w:space="0" w:color="000000"/>
            </w:tcBorders>
            <w:shd w:val="clear" w:color="auto" w:fill="D9D9D9"/>
            <w:tcMar>
              <w:top w:w="0" w:type="dxa"/>
              <w:left w:w="108" w:type="dxa"/>
              <w:bottom w:w="0" w:type="dxa"/>
              <w:right w:w="108" w:type="dxa"/>
            </w:tcMar>
            <w:vAlign w:val="center"/>
          </w:tcPr>
          <w:p w14:paraId="1B6F9941" w14:textId="77777777" w:rsidR="001946F9" w:rsidRPr="00B42BE7" w:rsidRDefault="001946F9" w:rsidP="001946F9">
            <w:pPr>
              <w:jc w:val="center"/>
              <w:rPr>
                <w:rFonts w:cs="Arial"/>
                <w:b/>
                <w:color w:val="000000" w:themeColor="text1"/>
                <w:sz w:val="16"/>
                <w:szCs w:val="16"/>
              </w:rPr>
            </w:pPr>
            <w:r w:rsidRPr="00B42BE7">
              <w:rPr>
                <w:rFonts w:cs="Arial"/>
                <w:b/>
                <w:color w:val="000000" w:themeColor="text1"/>
                <w:sz w:val="16"/>
                <w:szCs w:val="16"/>
              </w:rPr>
              <w:t>RECEITAS DE CAPITAL</w:t>
            </w:r>
          </w:p>
        </w:tc>
        <w:tc>
          <w:tcPr>
            <w:tcW w:w="1559"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2357068A" w14:textId="77777777" w:rsidR="001946F9" w:rsidRPr="00B42BE7" w:rsidRDefault="001946F9" w:rsidP="001946F9">
            <w:pPr>
              <w:ind w:right="-74"/>
              <w:jc w:val="center"/>
              <w:rPr>
                <w:rFonts w:cs="Arial"/>
                <w:b/>
                <w:color w:val="000000" w:themeColor="text1"/>
                <w:sz w:val="16"/>
                <w:szCs w:val="16"/>
              </w:rPr>
            </w:pPr>
          </w:p>
        </w:tc>
        <w:tc>
          <w:tcPr>
            <w:tcW w:w="1417"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5CA2B140" w14:textId="77777777" w:rsidR="001946F9" w:rsidRPr="00B42BE7" w:rsidRDefault="001946F9" w:rsidP="001946F9">
            <w:pPr>
              <w:ind w:right="-74"/>
              <w:jc w:val="center"/>
              <w:rPr>
                <w:rFonts w:cs="Arial"/>
                <w:b/>
                <w:color w:val="000000" w:themeColor="text1"/>
                <w:sz w:val="16"/>
                <w:szCs w:val="16"/>
              </w:rPr>
            </w:pPr>
          </w:p>
        </w:tc>
        <w:tc>
          <w:tcPr>
            <w:tcW w:w="1562" w:type="dxa"/>
            <w:tcBorders>
              <w:top w:val="single" w:sz="4" w:space="0" w:color="000000"/>
              <w:bottom w:val="single" w:sz="4" w:space="0" w:color="000000"/>
            </w:tcBorders>
            <w:shd w:val="clear" w:color="auto" w:fill="D9D9D9"/>
          </w:tcPr>
          <w:p w14:paraId="6876CB46" w14:textId="77777777" w:rsidR="001946F9" w:rsidRPr="00B42BE7" w:rsidRDefault="001946F9" w:rsidP="001946F9">
            <w:pPr>
              <w:ind w:right="-74"/>
              <w:jc w:val="center"/>
              <w:rPr>
                <w:rFonts w:cs="Arial"/>
                <w:b/>
                <w:color w:val="000000" w:themeColor="text1"/>
                <w:sz w:val="16"/>
                <w:szCs w:val="16"/>
              </w:rPr>
            </w:pPr>
          </w:p>
        </w:tc>
      </w:tr>
      <w:tr w:rsidR="001946F9" w:rsidRPr="00B42BE7" w14:paraId="0E1563AE" w14:textId="77777777" w:rsidTr="001946F9">
        <w:trPr>
          <w:trHeight w:val="19"/>
        </w:trPr>
        <w:tc>
          <w:tcPr>
            <w:tcW w:w="3828" w:type="dxa"/>
            <w:shd w:val="clear" w:color="auto" w:fill="auto"/>
            <w:tcMar>
              <w:top w:w="0" w:type="dxa"/>
              <w:left w:w="108" w:type="dxa"/>
              <w:bottom w:w="0" w:type="dxa"/>
              <w:right w:w="108" w:type="dxa"/>
            </w:tcMar>
          </w:tcPr>
          <w:p w14:paraId="1BF894B1" w14:textId="77777777" w:rsidR="001946F9" w:rsidRPr="00B42BE7" w:rsidRDefault="001946F9" w:rsidP="001946F9">
            <w:pPr>
              <w:rPr>
                <w:rFonts w:cs="Arial"/>
                <w:color w:val="000000" w:themeColor="text1"/>
                <w:sz w:val="20"/>
                <w:szCs w:val="20"/>
              </w:rPr>
            </w:pPr>
            <w:r w:rsidRPr="00B42BE7">
              <w:rPr>
                <w:rFonts w:eastAsiaTheme="minorHAnsi" w:cs="Times New Roman"/>
                <w:b/>
                <w:bCs/>
                <w:i/>
                <w:color w:val="000000" w:themeColor="text1"/>
                <w:kern w:val="0"/>
                <w:sz w:val="20"/>
                <w:szCs w:val="20"/>
                <w:lang w:eastAsia="en-US" w:bidi="ar-SA"/>
              </w:rPr>
              <w:t>Operações de Crédito – Mercado Interno</w:t>
            </w:r>
          </w:p>
        </w:tc>
        <w:tc>
          <w:tcPr>
            <w:tcW w:w="1559" w:type="dxa"/>
            <w:shd w:val="clear" w:color="auto" w:fill="auto"/>
            <w:tcMar>
              <w:top w:w="0" w:type="dxa"/>
              <w:left w:w="10" w:type="dxa"/>
              <w:bottom w:w="0" w:type="dxa"/>
              <w:right w:w="10" w:type="dxa"/>
            </w:tcMar>
            <w:vAlign w:val="center"/>
          </w:tcPr>
          <w:p w14:paraId="2A6D0DBD" w14:textId="77777777" w:rsidR="001946F9" w:rsidRPr="00B42BE7" w:rsidRDefault="001946F9" w:rsidP="001946F9">
            <w:pPr>
              <w:jc w:val="right"/>
              <w:rPr>
                <w:rFonts w:cs="Arial"/>
                <w:color w:val="000000" w:themeColor="text1"/>
                <w:sz w:val="16"/>
                <w:szCs w:val="16"/>
              </w:rPr>
            </w:pPr>
            <w:r w:rsidRPr="00B42BE7">
              <w:rPr>
                <w:rFonts w:cs="Arial"/>
                <w:color w:val="000000" w:themeColor="text1"/>
                <w:sz w:val="16"/>
                <w:szCs w:val="16"/>
              </w:rPr>
              <w:t>658.414.407,00</w:t>
            </w:r>
          </w:p>
        </w:tc>
        <w:tc>
          <w:tcPr>
            <w:tcW w:w="1417" w:type="dxa"/>
            <w:shd w:val="clear" w:color="auto" w:fill="auto"/>
            <w:tcMar>
              <w:top w:w="0" w:type="dxa"/>
              <w:left w:w="10" w:type="dxa"/>
              <w:bottom w:w="0" w:type="dxa"/>
              <w:right w:w="10" w:type="dxa"/>
            </w:tcMar>
            <w:vAlign w:val="center"/>
          </w:tcPr>
          <w:p w14:paraId="34B4D16B" w14:textId="77777777" w:rsidR="001946F9" w:rsidRPr="00B42BE7" w:rsidRDefault="001946F9" w:rsidP="001946F9">
            <w:pPr>
              <w:jc w:val="right"/>
              <w:rPr>
                <w:rFonts w:cs="Arial"/>
                <w:color w:val="000000" w:themeColor="text1"/>
                <w:sz w:val="16"/>
                <w:szCs w:val="16"/>
              </w:rPr>
            </w:pPr>
            <w:r w:rsidRPr="00B42BE7">
              <w:rPr>
                <w:rFonts w:cs="Arial"/>
                <w:color w:val="000000" w:themeColor="text1"/>
                <w:sz w:val="16"/>
                <w:szCs w:val="16"/>
              </w:rPr>
              <w:t>0,00</w:t>
            </w:r>
          </w:p>
        </w:tc>
        <w:tc>
          <w:tcPr>
            <w:tcW w:w="1562" w:type="dxa"/>
          </w:tcPr>
          <w:p w14:paraId="17D2D3D5" w14:textId="77777777" w:rsidR="001946F9" w:rsidRPr="00B42BE7" w:rsidRDefault="001946F9" w:rsidP="001946F9">
            <w:pPr>
              <w:jc w:val="center"/>
              <w:rPr>
                <w:rFonts w:cs="Arial"/>
                <w:color w:val="000000" w:themeColor="text1"/>
                <w:sz w:val="16"/>
                <w:szCs w:val="16"/>
              </w:rPr>
            </w:pPr>
            <w:r w:rsidRPr="00B42BE7">
              <w:rPr>
                <w:rFonts w:cs="Arial"/>
                <w:color w:val="000000" w:themeColor="text1"/>
                <w:sz w:val="16"/>
                <w:szCs w:val="16"/>
              </w:rPr>
              <w:t>100,00%</w:t>
            </w:r>
          </w:p>
        </w:tc>
      </w:tr>
      <w:tr w:rsidR="001946F9" w:rsidRPr="00B42BE7" w14:paraId="2B363942" w14:textId="77777777" w:rsidTr="001946F9">
        <w:trPr>
          <w:trHeight w:val="19"/>
        </w:trPr>
        <w:tc>
          <w:tcPr>
            <w:tcW w:w="3828" w:type="dxa"/>
            <w:shd w:val="clear" w:color="auto" w:fill="auto"/>
            <w:tcMar>
              <w:top w:w="0" w:type="dxa"/>
              <w:left w:w="108" w:type="dxa"/>
              <w:bottom w:w="0" w:type="dxa"/>
              <w:right w:w="108" w:type="dxa"/>
            </w:tcMar>
          </w:tcPr>
          <w:p w14:paraId="659DC0C2" w14:textId="77777777" w:rsidR="001946F9" w:rsidRPr="00B42BE7" w:rsidRDefault="001946F9" w:rsidP="001946F9">
            <w:pPr>
              <w:rPr>
                <w:rFonts w:eastAsiaTheme="minorHAnsi" w:cs="Times New Roman"/>
                <w:b/>
                <w:bCs/>
                <w:i/>
                <w:color w:val="000000" w:themeColor="text1"/>
                <w:kern w:val="0"/>
                <w:sz w:val="20"/>
                <w:szCs w:val="20"/>
                <w:lang w:eastAsia="en-US" w:bidi="ar-SA"/>
              </w:rPr>
            </w:pPr>
            <w:r w:rsidRPr="00B42BE7">
              <w:rPr>
                <w:rFonts w:eastAsiaTheme="minorHAnsi" w:cs="Times New Roman"/>
                <w:b/>
                <w:bCs/>
                <w:i/>
                <w:color w:val="000000" w:themeColor="text1"/>
                <w:kern w:val="0"/>
                <w:sz w:val="20"/>
                <w:szCs w:val="20"/>
                <w:lang w:eastAsia="en-US" w:bidi="ar-SA"/>
              </w:rPr>
              <w:t>Alienação de Bens Imóveis</w:t>
            </w:r>
          </w:p>
        </w:tc>
        <w:tc>
          <w:tcPr>
            <w:tcW w:w="1559" w:type="dxa"/>
            <w:shd w:val="clear" w:color="auto" w:fill="auto"/>
            <w:tcMar>
              <w:top w:w="0" w:type="dxa"/>
              <w:left w:w="10" w:type="dxa"/>
              <w:bottom w:w="0" w:type="dxa"/>
              <w:right w:w="10" w:type="dxa"/>
            </w:tcMar>
            <w:vAlign w:val="center"/>
          </w:tcPr>
          <w:p w14:paraId="6FF8B54E" w14:textId="77777777" w:rsidR="001946F9" w:rsidRPr="00B42BE7" w:rsidRDefault="001946F9" w:rsidP="001946F9">
            <w:pPr>
              <w:jc w:val="right"/>
              <w:rPr>
                <w:rFonts w:cs="Arial"/>
                <w:color w:val="000000" w:themeColor="text1"/>
                <w:sz w:val="16"/>
                <w:szCs w:val="16"/>
              </w:rPr>
            </w:pPr>
            <w:r w:rsidRPr="00B42BE7">
              <w:rPr>
                <w:rFonts w:eastAsia="Times New Roman" w:cs="Arial"/>
                <w:color w:val="000000" w:themeColor="text1"/>
                <w:kern w:val="0"/>
                <w:sz w:val="16"/>
                <w:szCs w:val="16"/>
                <w:lang w:eastAsia="pt-BR" w:bidi="ar-SA"/>
              </w:rPr>
              <w:t xml:space="preserve">3.692.990,00    </w:t>
            </w:r>
          </w:p>
        </w:tc>
        <w:tc>
          <w:tcPr>
            <w:tcW w:w="1417" w:type="dxa"/>
            <w:shd w:val="clear" w:color="auto" w:fill="auto"/>
            <w:tcMar>
              <w:top w:w="0" w:type="dxa"/>
              <w:left w:w="10" w:type="dxa"/>
              <w:bottom w:w="0" w:type="dxa"/>
              <w:right w:w="10" w:type="dxa"/>
            </w:tcMar>
            <w:vAlign w:val="center"/>
          </w:tcPr>
          <w:p w14:paraId="33506194" w14:textId="77777777" w:rsidR="001946F9" w:rsidRPr="00B42BE7" w:rsidRDefault="001946F9" w:rsidP="001946F9">
            <w:pPr>
              <w:jc w:val="right"/>
              <w:rPr>
                <w:rFonts w:cs="Arial"/>
                <w:color w:val="000000" w:themeColor="text1"/>
                <w:sz w:val="16"/>
                <w:szCs w:val="16"/>
              </w:rPr>
            </w:pPr>
            <w:r w:rsidRPr="008F456E">
              <w:rPr>
                <w:rFonts w:cs="Arial"/>
                <w:color w:val="000000" w:themeColor="text1"/>
                <w:sz w:val="16"/>
                <w:szCs w:val="16"/>
              </w:rPr>
              <w:t>5</w:t>
            </w:r>
            <w:r>
              <w:rPr>
                <w:rFonts w:cs="Arial"/>
                <w:color w:val="000000" w:themeColor="text1"/>
                <w:sz w:val="16"/>
                <w:szCs w:val="16"/>
              </w:rPr>
              <w:t>.</w:t>
            </w:r>
            <w:r w:rsidRPr="008F456E">
              <w:rPr>
                <w:rFonts w:cs="Arial"/>
                <w:color w:val="000000" w:themeColor="text1"/>
                <w:sz w:val="16"/>
                <w:szCs w:val="16"/>
              </w:rPr>
              <w:t>740</w:t>
            </w:r>
            <w:r>
              <w:rPr>
                <w:rFonts w:cs="Arial"/>
                <w:color w:val="000000" w:themeColor="text1"/>
                <w:sz w:val="16"/>
                <w:szCs w:val="16"/>
              </w:rPr>
              <w:t>.</w:t>
            </w:r>
            <w:r w:rsidRPr="008F456E">
              <w:rPr>
                <w:rFonts w:cs="Arial"/>
                <w:color w:val="000000" w:themeColor="text1"/>
                <w:sz w:val="16"/>
                <w:szCs w:val="16"/>
              </w:rPr>
              <w:t>142,17</w:t>
            </w:r>
          </w:p>
        </w:tc>
        <w:tc>
          <w:tcPr>
            <w:tcW w:w="1562" w:type="dxa"/>
          </w:tcPr>
          <w:p w14:paraId="2DBC4881" w14:textId="77777777" w:rsidR="001946F9" w:rsidRPr="00B42BE7" w:rsidRDefault="001946F9" w:rsidP="001946F9">
            <w:pPr>
              <w:jc w:val="center"/>
              <w:rPr>
                <w:rFonts w:cs="Arial"/>
                <w:color w:val="000000" w:themeColor="text1"/>
                <w:sz w:val="16"/>
                <w:szCs w:val="16"/>
              </w:rPr>
            </w:pPr>
            <w:r>
              <w:rPr>
                <w:rFonts w:cs="Arial"/>
                <w:color w:val="000000" w:themeColor="text1"/>
                <w:sz w:val="16"/>
                <w:szCs w:val="16"/>
              </w:rPr>
              <w:t xml:space="preserve">  55,43</w:t>
            </w:r>
            <w:r w:rsidRPr="00B42BE7">
              <w:rPr>
                <w:rFonts w:cs="Arial"/>
                <w:color w:val="000000" w:themeColor="text1"/>
                <w:sz w:val="16"/>
                <w:szCs w:val="16"/>
              </w:rPr>
              <w:t>%</w:t>
            </w:r>
          </w:p>
        </w:tc>
      </w:tr>
      <w:tr w:rsidR="001946F9" w:rsidRPr="00B42BE7" w14:paraId="43B1B390" w14:textId="77777777" w:rsidTr="001946F9">
        <w:trPr>
          <w:trHeight w:val="19"/>
        </w:trPr>
        <w:tc>
          <w:tcPr>
            <w:tcW w:w="3828" w:type="dxa"/>
            <w:shd w:val="clear" w:color="auto" w:fill="auto"/>
            <w:tcMar>
              <w:top w:w="0" w:type="dxa"/>
              <w:left w:w="108" w:type="dxa"/>
              <w:bottom w:w="0" w:type="dxa"/>
              <w:right w:w="108" w:type="dxa"/>
            </w:tcMar>
          </w:tcPr>
          <w:p w14:paraId="5A3F5BE3" w14:textId="77777777" w:rsidR="001946F9" w:rsidRPr="00B42BE7" w:rsidRDefault="001946F9" w:rsidP="001946F9">
            <w:pPr>
              <w:rPr>
                <w:rFonts w:eastAsiaTheme="minorHAnsi" w:cs="Times New Roman"/>
                <w:b/>
                <w:bCs/>
                <w:i/>
                <w:color w:val="000000" w:themeColor="text1"/>
                <w:kern w:val="0"/>
                <w:sz w:val="20"/>
                <w:szCs w:val="20"/>
                <w:lang w:eastAsia="en-US" w:bidi="ar-SA"/>
              </w:rPr>
            </w:pPr>
            <w:r w:rsidRPr="00B42BE7">
              <w:rPr>
                <w:rFonts w:eastAsiaTheme="minorHAnsi" w:cs="Times New Roman"/>
                <w:b/>
                <w:bCs/>
                <w:i/>
                <w:color w:val="000000" w:themeColor="text1"/>
                <w:kern w:val="0"/>
                <w:sz w:val="20"/>
                <w:szCs w:val="20"/>
                <w:lang w:eastAsia="en-US" w:bidi="ar-SA"/>
              </w:rPr>
              <w:t>Amortização de Empréstimos</w:t>
            </w:r>
          </w:p>
        </w:tc>
        <w:tc>
          <w:tcPr>
            <w:tcW w:w="1559" w:type="dxa"/>
            <w:shd w:val="clear" w:color="auto" w:fill="auto"/>
            <w:tcMar>
              <w:top w:w="0" w:type="dxa"/>
              <w:left w:w="10" w:type="dxa"/>
              <w:bottom w:w="0" w:type="dxa"/>
              <w:right w:w="10" w:type="dxa"/>
            </w:tcMar>
            <w:vAlign w:val="center"/>
          </w:tcPr>
          <w:p w14:paraId="4BB4F52C" w14:textId="77777777" w:rsidR="001946F9" w:rsidRPr="00B42BE7" w:rsidRDefault="001946F9" w:rsidP="001946F9">
            <w:pPr>
              <w:jc w:val="right"/>
              <w:rPr>
                <w:rFonts w:cs="Arial"/>
                <w:color w:val="000000" w:themeColor="text1"/>
                <w:sz w:val="16"/>
                <w:szCs w:val="16"/>
              </w:rPr>
            </w:pPr>
            <w:r w:rsidRPr="00B42BE7">
              <w:rPr>
                <w:rFonts w:cs="Arial"/>
                <w:color w:val="000000" w:themeColor="text1"/>
                <w:sz w:val="16"/>
                <w:szCs w:val="16"/>
              </w:rPr>
              <w:t>862.876.245,00</w:t>
            </w:r>
          </w:p>
        </w:tc>
        <w:tc>
          <w:tcPr>
            <w:tcW w:w="1417" w:type="dxa"/>
            <w:shd w:val="clear" w:color="auto" w:fill="auto"/>
            <w:tcMar>
              <w:top w:w="0" w:type="dxa"/>
              <w:left w:w="10" w:type="dxa"/>
              <w:bottom w:w="0" w:type="dxa"/>
              <w:right w:w="10" w:type="dxa"/>
            </w:tcMar>
            <w:vAlign w:val="center"/>
          </w:tcPr>
          <w:p w14:paraId="782E6D6D" w14:textId="77777777" w:rsidR="001946F9" w:rsidRPr="00B42BE7" w:rsidRDefault="001946F9" w:rsidP="001946F9">
            <w:pPr>
              <w:jc w:val="right"/>
              <w:rPr>
                <w:rFonts w:cs="Arial"/>
                <w:color w:val="000000" w:themeColor="text1"/>
                <w:sz w:val="16"/>
                <w:szCs w:val="16"/>
              </w:rPr>
            </w:pPr>
            <w:r w:rsidRPr="008F456E">
              <w:rPr>
                <w:rFonts w:cs="Arial"/>
                <w:color w:val="000000" w:themeColor="text1"/>
                <w:sz w:val="16"/>
                <w:szCs w:val="16"/>
              </w:rPr>
              <w:t>2</w:t>
            </w:r>
            <w:r>
              <w:rPr>
                <w:rFonts w:cs="Arial"/>
                <w:color w:val="000000" w:themeColor="text1"/>
                <w:sz w:val="16"/>
                <w:szCs w:val="16"/>
              </w:rPr>
              <w:t>.</w:t>
            </w:r>
            <w:r w:rsidRPr="008F456E">
              <w:rPr>
                <w:rFonts w:cs="Arial"/>
                <w:color w:val="000000" w:themeColor="text1"/>
                <w:sz w:val="16"/>
                <w:szCs w:val="16"/>
              </w:rPr>
              <w:t>193</w:t>
            </w:r>
            <w:r>
              <w:rPr>
                <w:rFonts w:cs="Arial"/>
                <w:color w:val="000000" w:themeColor="text1"/>
                <w:sz w:val="16"/>
                <w:szCs w:val="16"/>
              </w:rPr>
              <w:t>.</w:t>
            </w:r>
            <w:r w:rsidRPr="008F456E">
              <w:rPr>
                <w:rFonts w:cs="Arial"/>
                <w:color w:val="000000" w:themeColor="text1"/>
                <w:sz w:val="16"/>
                <w:szCs w:val="16"/>
              </w:rPr>
              <w:t>672</w:t>
            </w:r>
            <w:r>
              <w:rPr>
                <w:rFonts w:cs="Arial"/>
                <w:color w:val="000000" w:themeColor="text1"/>
                <w:sz w:val="16"/>
                <w:szCs w:val="16"/>
              </w:rPr>
              <w:t>.</w:t>
            </w:r>
            <w:r w:rsidRPr="008F456E">
              <w:rPr>
                <w:rFonts w:cs="Arial"/>
                <w:color w:val="000000" w:themeColor="text1"/>
                <w:sz w:val="16"/>
                <w:szCs w:val="16"/>
              </w:rPr>
              <w:t>799,71</w:t>
            </w:r>
          </w:p>
        </w:tc>
        <w:tc>
          <w:tcPr>
            <w:tcW w:w="1562" w:type="dxa"/>
          </w:tcPr>
          <w:p w14:paraId="2828E3A3" w14:textId="77777777" w:rsidR="001946F9" w:rsidRPr="00B42BE7" w:rsidRDefault="001946F9" w:rsidP="001946F9">
            <w:pPr>
              <w:jc w:val="center"/>
              <w:rPr>
                <w:rFonts w:cs="Arial"/>
                <w:color w:val="000000" w:themeColor="text1"/>
                <w:sz w:val="16"/>
                <w:szCs w:val="16"/>
              </w:rPr>
            </w:pPr>
            <w:r w:rsidRPr="00B42BE7">
              <w:rPr>
                <w:rFonts w:cs="Arial"/>
                <w:color w:val="000000" w:themeColor="text1"/>
                <w:sz w:val="16"/>
                <w:szCs w:val="16"/>
              </w:rPr>
              <w:t xml:space="preserve">  </w:t>
            </w:r>
            <w:r>
              <w:rPr>
                <w:rFonts w:cs="Arial"/>
                <w:color w:val="000000" w:themeColor="text1"/>
                <w:sz w:val="16"/>
                <w:szCs w:val="16"/>
              </w:rPr>
              <w:t>154,23</w:t>
            </w:r>
            <w:r w:rsidRPr="00B42BE7">
              <w:rPr>
                <w:rFonts w:cs="Arial"/>
                <w:color w:val="000000" w:themeColor="text1"/>
                <w:sz w:val="16"/>
                <w:szCs w:val="16"/>
              </w:rPr>
              <w:t>%</w:t>
            </w:r>
          </w:p>
        </w:tc>
      </w:tr>
      <w:tr w:rsidR="001946F9" w:rsidRPr="00B42BE7" w14:paraId="34129911" w14:textId="77777777" w:rsidTr="001946F9">
        <w:trPr>
          <w:trHeight w:val="19"/>
        </w:trPr>
        <w:tc>
          <w:tcPr>
            <w:tcW w:w="3828" w:type="dxa"/>
            <w:tcBorders>
              <w:top w:val="single" w:sz="4" w:space="0" w:color="000000"/>
              <w:bottom w:val="single" w:sz="4" w:space="0" w:color="000000"/>
            </w:tcBorders>
            <w:shd w:val="clear" w:color="auto" w:fill="D9D9D9"/>
            <w:tcMar>
              <w:top w:w="0" w:type="dxa"/>
              <w:left w:w="108" w:type="dxa"/>
              <w:bottom w:w="0" w:type="dxa"/>
              <w:right w:w="108" w:type="dxa"/>
            </w:tcMar>
            <w:vAlign w:val="center"/>
          </w:tcPr>
          <w:p w14:paraId="134282DE" w14:textId="77777777" w:rsidR="001946F9" w:rsidRPr="00B42BE7" w:rsidRDefault="001946F9" w:rsidP="001946F9">
            <w:pPr>
              <w:rPr>
                <w:rFonts w:cs="Arial"/>
                <w:b/>
                <w:color w:val="000000" w:themeColor="text1"/>
                <w:sz w:val="16"/>
                <w:szCs w:val="16"/>
              </w:rPr>
            </w:pPr>
            <w:r w:rsidRPr="00B42BE7">
              <w:rPr>
                <w:rFonts w:cs="Arial"/>
                <w:b/>
                <w:color w:val="000000" w:themeColor="text1"/>
                <w:sz w:val="16"/>
                <w:szCs w:val="16"/>
              </w:rPr>
              <w:t>Total</w:t>
            </w:r>
          </w:p>
        </w:tc>
        <w:tc>
          <w:tcPr>
            <w:tcW w:w="1559"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79A3332C" w14:textId="77777777" w:rsidR="001946F9" w:rsidRPr="00B42BE7" w:rsidRDefault="001946F9" w:rsidP="001946F9">
            <w:pPr>
              <w:ind w:right="-74"/>
              <w:jc w:val="right"/>
              <w:rPr>
                <w:rFonts w:cs="Arial"/>
                <w:b/>
                <w:color w:val="000000" w:themeColor="text1"/>
                <w:sz w:val="16"/>
                <w:szCs w:val="16"/>
              </w:rPr>
            </w:pPr>
            <w:r w:rsidRPr="00B42BE7">
              <w:rPr>
                <w:rFonts w:cs="Arial"/>
                <w:b/>
                <w:color w:val="000000" w:themeColor="text1"/>
                <w:sz w:val="16"/>
                <w:szCs w:val="16"/>
              </w:rPr>
              <w:t>1.521.290.652,002</w:t>
            </w:r>
          </w:p>
        </w:tc>
        <w:tc>
          <w:tcPr>
            <w:tcW w:w="1417" w:type="dxa"/>
            <w:tcBorders>
              <w:top w:val="single" w:sz="4" w:space="0" w:color="000000"/>
              <w:bottom w:val="single" w:sz="4" w:space="0" w:color="000000"/>
            </w:tcBorders>
            <w:shd w:val="clear" w:color="auto" w:fill="D9D9D9"/>
            <w:tcMar>
              <w:top w:w="0" w:type="dxa"/>
              <w:left w:w="10" w:type="dxa"/>
              <w:bottom w:w="0" w:type="dxa"/>
              <w:right w:w="10" w:type="dxa"/>
            </w:tcMar>
            <w:vAlign w:val="center"/>
          </w:tcPr>
          <w:p w14:paraId="04EF057D" w14:textId="77777777" w:rsidR="001946F9" w:rsidRPr="00B42BE7" w:rsidRDefault="001946F9" w:rsidP="001946F9">
            <w:pPr>
              <w:jc w:val="right"/>
              <w:rPr>
                <w:rFonts w:cs="Arial"/>
                <w:b/>
                <w:color w:val="000000" w:themeColor="text1"/>
                <w:sz w:val="16"/>
                <w:szCs w:val="16"/>
              </w:rPr>
            </w:pPr>
            <w:r>
              <w:rPr>
                <w:rFonts w:cs="Arial"/>
                <w:b/>
                <w:color w:val="000000" w:themeColor="text1"/>
                <w:sz w:val="16"/>
                <w:szCs w:val="16"/>
              </w:rPr>
              <w:t>2.199.412.941,88</w:t>
            </w:r>
          </w:p>
        </w:tc>
        <w:tc>
          <w:tcPr>
            <w:tcW w:w="1562" w:type="dxa"/>
            <w:tcBorders>
              <w:top w:val="single" w:sz="4" w:space="0" w:color="000000"/>
              <w:bottom w:val="single" w:sz="4" w:space="0" w:color="000000"/>
            </w:tcBorders>
            <w:shd w:val="clear" w:color="auto" w:fill="D9D9D9"/>
          </w:tcPr>
          <w:p w14:paraId="60B25277" w14:textId="77777777" w:rsidR="001946F9" w:rsidRPr="00B42BE7" w:rsidRDefault="001946F9" w:rsidP="001946F9">
            <w:pPr>
              <w:jc w:val="center"/>
              <w:rPr>
                <w:rFonts w:cs="Arial"/>
                <w:b/>
                <w:color w:val="000000" w:themeColor="text1"/>
                <w:sz w:val="16"/>
                <w:szCs w:val="16"/>
              </w:rPr>
            </w:pPr>
          </w:p>
        </w:tc>
      </w:tr>
    </w:tbl>
    <w:p w14:paraId="4886E1FD" w14:textId="77777777" w:rsidR="001946F9" w:rsidRPr="00B42BE7" w:rsidRDefault="001946F9" w:rsidP="001946F9">
      <w:pPr>
        <w:jc w:val="both"/>
        <w:rPr>
          <w:rFonts w:cs="Times New Roman"/>
          <w:b/>
          <w:color w:val="000000" w:themeColor="text1"/>
        </w:rPr>
      </w:pPr>
    </w:p>
    <w:p w14:paraId="79988551" w14:textId="77777777" w:rsidR="001946F9" w:rsidRPr="00B42BE7" w:rsidRDefault="001946F9" w:rsidP="001946F9">
      <w:pPr>
        <w:jc w:val="both"/>
        <w:rPr>
          <w:rFonts w:cs="Times New Roman"/>
          <w:color w:val="000000" w:themeColor="text1"/>
        </w:rPr>
      </w:pPr>
      <w:r w:rsidRPr="00B42BE7">
        <w:rPr>
          <w:rFonts w:cs="Times New Roman"/>
          <w:color w:val="000000" w:themeColor="text1"/>
        </w:rPr>
        <w:t xml:space="preserve">As principais insuficiências foram identificadas nos seguintes grupos e percentuais: </w:t>
      </w:r>
    </w:p>
    <w:p w14:paraId="6B3F6F88" w14:textId="77777777" w:rsidR="001946F9" w:rsidRPr="00B42BE7" w:rsidRDefault="001946F9" w:rsidP="001946F9">
      <w:pPr>
        <w:widowControl/>
        <w:shd w:val="clear" w:color="auto" w:fill="FFFFFF"/>
        <w:tabs>
          <w:tab w:val="left" w:pos="-24066"/>
          <w:tab w:val="left" w:pos="-9306"/>
          <w:tab w:val="left" w:pos="1134"/>
        </w:tabs>
        <w:suppressAutoHyphens w:val="0"/>
        <w:ind w:left="720" w:hanging="360"/>
        <w:jc w:val="center"/>
        <w:rPr>
          <w:rFonts w:ascii="Arial" w:eastAsia="Times New Roman" w:hAnsi="Arial" w:cs="Arial"/>
          <w:b/>
          <w:color w:val="000000" w:themeColor="text1"/>
          <w:kern w:val="0"/>
          <w:sz w:val="18"/>
          <w:szCs w:val="18"/>
          <w:lang w:eastAsia="pt-BR" w:bidi="ar-SA"/>
        </w:rPr>
      </w:pPr>
    </w:p>
    <w:tbl>
      <w:tblPr>
        <w:tblW w:w="8920" w:type="dxa"/>
        <w:tblCellMar>
          <w:left w:w="70" w:type="dxa"/>
          <w:right w:w="70" w:type="dxa"/>
        </w:tblCellMar>
        <w:tblLook w:val="04A0" w:firstRow="1" w:lastRow="0" w:firstColumn="1" w:lastColumn="0" w:noHBand="0" w:noVBand="1"/>
      </w:tblPr>
      <w:tblGrid>
        <w:gridCol w:w="3880"/>
        <w:gridCol w:w="1500"/>
        <w:gridCol w:w="1460"/>
        <w:gridCol w:w="2080"/>
      </w:tblGrid>
      <w:tr w:rsidR="001946F9" w:rsidRPr="00B42BE7" w14:paraId="383D9BF2" w14:textId="77777777" w:rsidTr="001946F9">
        <w:trPr>
          <w:trHeight w:val="645"/>
        </w:trPr>
        <w:tc>
          <w:tcPr>
            <w:tcW w:w="3880" w:type="dxa"/>
            <w:tcBorders>
              <w:top w:val="single" w:sz="8" w:space="0" w:color="000000"/>
              <w:left w:val="nil"/>
              <w:bottom w:val="single" w:sz="8" w:space="0" w:color="000000"/>
              <w:right w:val="nil"/>
            </w:tcBorders>
            <w:shd w:val="clear" w:color="000000" w:fill="D9D9D9"/>
            <w:vAlign w:val="center"/>
            <w:hideMark/>
          </w:tcPr>
          <w:p w14:paraId="7BA69F07"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1500" w:type="dxa"/>
            <w:tcBorders>
              <w:top w:val="single" w:sz="8" w:space="0" w:color="000000"/>
              <w:left w:val="nil"/>
              <w:bottom w:val="single" w:sz="8" w:space="0" w:color="000000"/>
              <w:right w:val="nil"/>
            </w:tcBorders>
            <w:shd w:val="clear" w:color="000000" w:fill="D9D9D9"/>
            <w:vAlign w:val="center"/>
            <w:hideMark/>
          </w:tcPr>
          <w:p w14:paraId="422FBBAA"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PREVISÃO AT</w:t>
            </w:r>
            <w:r w:rsidRPr="00B42BE7">
              <w:rPr>
                <w:rFonts w:eastAsia="Times New Roman" w:cs="Arial"/>
                <w:b/>
                <w:bCs/>
                <w:color w:val="000000" w:themeColor="text1"/>
                <w:kern w:val="0"/>
                <w:sz w:val="16"/>
                <w:szCs w:val="16"/>
                <w:lang w:eastAsia="pt-BR" w:bidi="ar-SA"/>
              </w:rPr>
              <w:t>U</w:t>
            </w:r>
            <w:r w:rsidRPr="00B42BE7">
              <w:rPr>
                <w:rFonts w:eastAsia="Times New Roman" w:cs="Arial"/>
                <w:b/>
                <w:bCs/>
                <w:color w:val="000000" w:themeColor="text1"/>
                <w:kern w:val="0"/>
                <w:sz w:val="16"/>
                <w:szCs w:val="16"/>
                <w:lang w:eastAsia="pt-BR" w:bidi="ar-SA"/>
              </w:rPr>
              <w:t>ALIZADA</w:t>
            </w:r>
          </w:p>
        </w:tc>
        <w:tc>
          <w:tcPr>
            <w:tcW w:w="1460" w:type="dxa"/>
            <w:tcBorders>
              <w:top w:val="single" w:sz="8" w:space="0" w:color="000000"/>
              <w:left w:val="nil"/>
              <w:bottom w:val="single" w:sz="8" w:space="0" w:color="000000"/>
              <w:right w:val="nil"/>
            </w:tcBorders>
            <w:shd w:val="clear" w:color="000000" w:fill="D9D9D9"/>
            <w:vAlign w:val="center"/>
            <w:hideMark/>
          </w:tcPr>
          <w:p w14:paraId="3C3F46CB"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RECEITAS RE</w:t>
            </w:r>
            <w:r w:rsidRPr="00B42BE7">
              <w:rPr>
                <w:rFonts w:eastAsia="Times New Roman" w:cs="Arial"/>
                <w:b/>
                <w:bCs/>
                <w:color w:val="000000" w:themeColor="text1"/>
                <w:kern w:val="0"/>
                <w:sz w:val="16"/>
                <w:szCs w:val="16"/>
                <w:lang w:eastAsia="pt-BR" w:bidi="ar-SA"/>
              </w:rPr>
              <w:t>A</w:t>
            </w:r>
            <w:r w:rsidRPr="00B42BE7">
              <w:rPr>
                <w:rFonts w:eastAsia="Times New Roman" w:cs="Arial"/>
                <w:b/>
                <w:bCs/>
                <w:color w:val="000000" w:themeColor="text1"/>
                <w:kern w:val="0"/>
                <w:sz w:val="16"/>
                <w:szCs w:val="16"/>
                <w:lang w:eastAsia="pt-BR" w:bidi="ar-SA"/>
              </w:rPr>
              <w:t>LIZADAS</w:t>
            </w:r>
          </w:p>
        </w:tc>
        <w:tc>
          <w:tcPr>
            <w:tcW w:w="2080" w:type="dxa"/>
            <w:tcBorders>
              <w:top w:val="single" w:sz="8" w:space="0" w:color="000000"/>
              <w:left w:val="nil"/>
              <w:bottom w:val="single" w:sz="8" w:space="0" w:color="000000"/>
              <w:right w:val="nil"/>
            </w:tcBorders>
            <w:shd w:val="clear" w:color="000000" w:fill="D9D9D9"/>
            <w:vAlign w:val="center"/>
            <w:hideMark/>
          </w:tcPr>
          <w:p w14:paraId="628BB203" w14:textId="77777777" w:rsidR="001946F9" w:rsidRPr="00B42BE7" w:rsidRDefault="001946F9" w:rsidP="001946F9">
            <w:pPr>
              <w:widowControl/>
              <w:suppressAutoHyphens w:val="0"/>
              <w:autoSpaceDN/>
              <w:jc w:val="center"/>
              <w:rPr>
                <w:rFonts w:eastAsia="Times New Roman" w:cs="Arial"/>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xml:space="preserve">INSUFICIÊNCIA NA ARRECADAÇÃO </w:t>
            </w:r>
          </w:p>
          <w:p w14:paraId="2438F5E2"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DA RECEITA</w:t>
            </w:r>
          </w:p>
        </w:tc>
      </w:tr>
      <w:tr w:rsidR="001946F9" w:rsidRPr="00B42BE7" w14:paraId="34880354" w14:textId="77777777" w:rsidTr="001946F9">
        <w:trPr>
          <w:trHeight w:val="270"/>
        </w:trPr>
        <w:tc>
          <w:tcPr>
            <w:tcW w:w="3880" w:type="dxa"/>
            <w:tcBorders>
              <w:top w:val="nil"/>
              <w:left w:val="nil"/>
              <w:bottom w:val="single" w:sz="8" w:space="0" w:color="000000"/>
              <w:right w:val="nil"/>
            </w:tcBorders>
            <w:shd w:val="clear" w:color="000000" w:fill="D9D9D9"/>
            <w:vAlign w:val="center"/>
            <w:hideMark/>
          </w:tcPr>
          <w:p w14:paraId="2E945946"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RECEITAS DE CAPITAL</w:t>
            </w:r>
          </w:p>
        </w:tc>
        <w:tc>
          <w:tcPr>
            <w:tcW w:w="1500" w:type="dxa"/>
            <w:tcBorders>
              <w:top w:val="nil"/>
              <w:left w:val="nil"/>
              <w:bottom w:val="single" w:sz="8" w:space="0" w:color="000000"/>
              <w:right w:val="nil"/>
            </w:tcBorders>
            <w:shd w:val="clear" w:color="000000" w:fill="D9D9D9"/>
            <w:vAlign w:val="center"/>
            <w:hideMark/>
          </w:tcPr>
          <w:p w14:paraId="0C319B6A"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1460" w:type="dxa"/>
            <w:tcBorders>
              <w:top w:val="nil"/>
              <w:left w:val="nil"/>
              <w:bottom w:val="single" w:sz="8" w:space="0" w:color="000000"/>
              <w:right w:val="nil"/>
            </w:tcBorders>
            <w:shd w:val="clear" w:color="000000" w:fill="D9D9D9"/>
            <w:vAlign w:val="center"/>
            <w:hideMark/>
          </w:tcPr>
          <w:p w14:paraId="6623E1D6"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2080" w:type="dxa"/>
            <w:tcBorders>
              <w:top w:val="nil"/>
              <w:left w:val="nil"/>
              <w:bottom w:val="single" w:sz="8" w:space="0" w:color="000000"/>
              <w:right w:val="nil"/>
            </w:tcBorders>
            <w:shd w:val="clear" w:color="000000" w:fill="D9D9D9"/>
            <w:vAlign w:val="center"/>
            <w:hideMark/>
          </w:tcPr>
          <w:p w14:paraId="099BAEA7"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r>
      <w:tr w:rsidR="001946F9" w:rsidRPr="00B42BE7" w14:paraId="57F95B4E" w14:textId="77777777" w:rsidTr="001946F9">
        <w:trPr>
          <w:trHeight w:val="255"/>
        </w:trPr>
        <w:tc>
          <w:tcPr>
            <w:tcW w:w="3880" w:type="dxa"/>
            <w:tcBorders>
              <w:top w:val="nil"/>
              <w:left w:val="nil"/>
              <w:bottom w:val="nil"/>
              <w:right w:val="nil"/>
            </w:tcBorders>
            <w:shd w:val="clear" w:color="auto" w:fill="auto"/>
            <w:vAlign w:val="center"/>
            <w:hideMark/>
          </w:tcPr>
          <w:p w14:paraId="60F46C01" w14:textId="77777777" w:rsidR="001946F9" w:rsidRPr="00B42BE7" w:rsidRDefault="001946F9" w:rsidP="001946F9">
            <w:pPr>
              <w:widowControl/>
              <w:suppressAutoHyphens w:val="0"/>
              <w:autoSpaceDN/>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Operações de Crédito </w:t>
            </w:r>
          </w:p>
        </w:tc>
        <w:tc>
          <w:tcPr>
            <w:tcW w:w="1500" w:type="dxa"/>
            <w:tcBorders>
              <w:top w:val="nil"/>
              <w:left w:val="nil"/>
              <w:bottom w:val="nil"/>
              <w:right w:val="nil"/>
            </w:tcBorders>
            <w:shd w:val="clear" w:color="auto" w:fill="auto"/>
            <w:vAlign w:val="center"/>
          </w:tcPr>
          <w:p w14:paraId="1BE04EF0"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p>
        </w:tc>
        <w:tc>
          <w:tcPr>
            <w:tcW w:w="1460" w:type="dxa"/>
            <w:tcBorders>
              <w:top w:val="nil"/>
              <w:left w:val="nil"/>
              <w:bottom w:val="nil"/>
              <w:right w:val="nil"/>
            </w:tcBorders>
            <w:shd w:val="clear" w:color="auto" w:fill="auto"/>
            <w:vAlign w:val="center"/>
          </w:tcPr>
          <w:p w14:paraId="0741083C"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p>
        </w:tc>
        <w:tc>
          <w:tcPr>
            <w:tcW w:w="2080" w:type="dxa"/>
            <w:tcBorders>
              <w:top w:val="nil"/>
              <w:left w:val="nil"/>
              <w:bottom w:val="nil"/>
              <w:right w:val="nil"/>
            </w:tcBorders>
            <w:shd w:val="clear" w:color="auto" w:fill="auto"/>
            <w:vAlign w:val="center"/>
          </w:tcPr>
          <w:p w14:paraId="64E59E5E"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p>
        </w:tc>
      </w:tr>
      <w:tr w:rsidR="001946F9" w:rsidRPr="00B42BE7" w14:paraId="2DA8EABC" w14:textId="77777777" w:rsidTr="001946F9">
        <w:trPr>
          <w:trHeight w:val="255"/>
        </w:trPr>
        <w:tc>
          <w:tcPr>
            <w:tcW w:w="3880" w:type="dxa"/>
            <w:tcBorders>
              <w:top w:val="nil"/>
              <w:left w:val="nil"/>
              <w:bottom w:val="nil"/>
              <w:right w:val="nil"/>
            </w:tcBorders>
            <w:shd w:val="clear" w:color="auto" w:fill="auto"/>
            <w:vAlign w:val="center"/>
            <w:hideMark/>
          </w:tcPr>
          <w:p w14:paraId="1430B367" w14:textId="77777777" w:rsidR="001946F9" w:rsidRPr="00B42BE7" w:rsidRDefault="001946F9" w:rsidP="001946F9">
            <w:pPr>
              <w:widowControl/>
              <w:suppressAutoHyphens w:val="0"/>
              <w:autoSpaceDN/>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   </w:t>
            </w:r>
            <w:proofErr w:type="spellStart"/>
            <w:r w:rsidRPr="00B42BE7">
              <w:rPr>
                <w:rFonts w:eastAsia="Times New Roman" w:cs="Arial"/>
                <w:color w:val="000000" w:themeColor="text1"/>
                <w:kern w:val="0"/>
                <w:sz w:val="16"/>
                <w:szCs w:val="16"/>
                <w:lang w:eastAsia="pt-BR" w:bidi="ar-SA"/>
              </w:rPr>
              <w:t>Operções</w:t>
            </w:r>
            <w:proofErr w:type="spellEnd"/>
            <w:r w:rsidRPr="00B42BE7">
              <w:rPr>
                <w:rFonts w:eastAsia="Times New Roman" w:cs="Arial"/>
                <w:color w:val="000000" w:themeColor="text1"/>
                <w:kern w:val="0"/>
                <w:sz w:val="16"/>
                <w:szCs w:val="16"/>
                <w:lang w:eastAsia="pt-BR" w:bidi="ar-SA"/>
              </w:rPr>
              <w:t xml:space="preserve"> de Crédito Internas</w:t>
            </w:r>
          </w:p>
        </w:tc>
        <w:tc>
          <w:tcPr>
            <w:tcW w:w="1500" w:type="dxa"/>
            <w:tcBorders>
              <w:top w:val="nil"/>
              <w:left w:val="nil"/>
              <w:bottom w:val="nil"/>
              <w:right w:val="nil"/>
            </w:tcBorders>
            <w:shd w:val="clear" w:color="auto" w:fill="auto"/>
            <w:vAlign w:val="center"/>
            <w:hideMark/>
          </w:tcPr>
          <w:p w14:paraId="2B5F37C2"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658.414.407,00</w:t>
            </w:r>
          </w:p>
        </w:tc>
        <w:tc>
          <w:tcPr>
            <w:tcW w:w="1460" w:type="dxa"/>
            <w:tcBorders>
              <w:top w:val="nil"/>
              <w:left w:val="nil"/>
              <w:bottom w:val="nil"/>
              <w:right w:val="nil"/>
            </w:tcBorders>
            <w:shd w:val="clear" w:color="auto" w:fill="auto"/>
            <w:vAlign w:val="center"/>
            <w:hideMark/>
          </w:tcPr>
          <w:p w14:paraId="7EEACFEF" w14:textId="77777777" w:rsidR="001946F9" w:rsidRPr="00B42BE7" w:rsidRDefault="001946F9" w:rsidP="001946F9">
            <w:pPr>
              <w:widowControl/>
              <w:suppressAutoHyphens w:val="0"/>
              <w:autoSpaceDN/>
              <w:jc w:val="right"/>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0,00</w:t>
            </w:r>
          </w:p>
        </w:tc>
        <w:tc>
          <w:tcPr>
            <w:tcW w:w="2080" w:type="dxa"/>
            <w:tcBorders>
              <w:top w:val="nil"/>
              <w:left w:val="nil"/>
              <w:bottom w:val="nil"/>
              <w:right w:val="nil"/>
            </w:tcBorders>
            <w:shd w:val="clear" w:color="auto" w:fill="auto"/>
            <w:vAlign w:val="center"/>
            <w:hideMark/>
          </w:tcPr>
          <w:p w14:paraId="11380873"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  100,00%</w:t>
            </w:r>
          </w:p>
        </w:tc>
      </w:tr>
      <w:tr w:rsidR="001946F9" w:rsidRPr="00B42BE7" w14:paraId="77C8EBED" w14:textId="77777777" w:rsidTr="001946F9">
        <w:trPr>
          <w:trHeight w:val="255"/>
        </w:trPr>
        <w:tc>
          <w:tcPr>
            <w:tcW w:w="3880" w:type="dxa"/>
            <w:tcBorders>
              <w:top w:val="nil"/>
              <w:left w:val="nil"/>
              <w:bottom w:val="nil"/>
              <w:right w:val="nil"/>
            </w:tcBorders>
            <w:shd w:val="clear" w:color="auto" w:fill="auto"/>
            <w:vAlign w:val="center"/>
          </w:tcPr>
          <w:p w14:paraId="444208A9" w14:textId="77777777" w:rsidR="001946F9" w:rsidRPr="00B42BE7" w:rsidRDefault="001946F9" w:rsidP="001946F9">
            <w:pPr>
              <w:widowControl/>
              <w:suppressAutoHyphens w:val="0"/>
              <w:autoSpaceDN/>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Outras Receitas de Capital</w:t>
            </w:r>
          </w:p>
        </w:tc>
        <w:tc>
          <w:tcPr>
            <w:tcW w:w="1500" w:type="dxa"/>
            <w:tcBorders>
              <w:top w:val="nil"/>
              <w:left w:val="nil"/>
              <w:bottom w:val="nil"/>
              <w:right w:val="nil"/>
            </w:tcBorders>
            <w:shd w:val="clear" w:color="auto" w:fill="auto"/>
            <w:vAlign w:val="center"/>
          </w:tcPr>
          <w:p w14:paraId="3453177C"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p>
        </w:tc>
        <w:tc>
          <w:tcPr>
            <w:tcW w:w="1460" w:type="dxa"/>
            <w:tcBorders>
              <w:top w:val="nil"/>
              <w:left w:val="nil"/>
              <w:bottom w:val="nil"/>
              <w:right w:val="nil"/>
            </w:tcBorders>
            <w:shd w:val="clear" w:color="auto" w:fill="auto"/>
            <w:vAlign w:val="center"/>
          </w:tcPr>
          <w:p w14:paraId="72B8AC96"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p>
        </w:tc>
        <w:tc>
          <w:tcPr>
            <w:tcW w:w="2080" w:type="dxa"/>
            <w:tcBorders>
              <w:top w:val="nil"/>
              <w:left w:val="nil"/>
              <w:bottom w:val="nil"/>
              <w:right w:val="nil"/>
            </w:tcBorders>
            <w:shd w:val="clear" w:color="auto" w:fill="auto"/>
            <w:vAlign w:val="center"/>
          </w:tcPr>
          <w:p w14:paraId="31C1EDB4" w14:textId="77777777" w:rsidR="001946F9" w:rsidRPr="00B42BE7" w:rsidRDefault="001946F9" w:rsidP="001946F9">
            <w:pPr>
              <w:widowControl/>
              <w:suppressAutoHyphens w:val="0"/>
              <w:autoSpaceDN/>
              <w:jc w:val="center"/>
              <w:rPr>
                <w:rFonts w:eastAsia="Times New Roman" w:cs="Arial"/>
                <w:color w:val="000000" w:themeColor="text1"/>
                <w:kern w:val="0"/>
                <w:sz w:val="16"/>
                <w:szCs w:val="16"/>
                <w:lang w:eastAsia="pt-BR" w:bidi="ar-SA"/>
              </w:rPr>
            </w:pPr>
          </w:p>
        </w:tc>
      </w:tr>
      <w:tr w:rsidR="001946F9" w:rsidRPr="00B42BE7" w14:paraId="2E39FA4C" w14:textId="77777777" w:rsidTr="001946F9">
        <w:trPr>
          <w:trHeight w:val="255"/>
        </w:trPr>
        <w:tc>
          <w:tcPr>
            <w:tcW w:w="3880" w:type="dxa"/>
            <w:tcBorders>
              <w:top w:val="nil"/>
              <w:left w:val="nil"/>
              <w:bottom w:val="nil"/>
              <w:right w:val="nil"/>
            </w:tcBorders>
            <w:shd w:val="clear" w:color="auto" w:fill="auto"/>
            <w:vAlign w:val="center"/>
          </w:tcPr>
          <w:p w14:paraId="720FE59F" w14:textId="77777777" w:rsidR="001946F9" w:rsidRPr="00B42BE7" w:rsidRDefault="001946F9" w:rsidP="001946F9">
            <w:pPr>
              <w:widowControl/>
              <w:suppressAutoHyphens w:val="0"/>
              <w:autoSpaceDN/>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 xml:space="preserve">  Resgate de Títulos do Tesouro Nacional </w:t>
            </w:r>
          </w:p>
        </w:tc>
        <w:tc>
          <w:tcPr>
            <w:tcW w:w="1500" w:type="dxa"/>
            <w:tcBorders>
              <w:top w:val="nil"/>
              <w:left w:val="nil"/>
              <w:bottom w:val="nil"/>
              <w:right w:val="nil"/>
            </w:tcBorders>
            <w:shd w:val="clear" w:color="auto" w:fill="auto"/>
            <w:vAlign w:val="center"/>
          </w:tcPr>
          <w:p w14:paraId="66E8EEC9"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215.284,00</w:t>
            </w:r>
          </w:p>
        </w:tc>
        <w:tc>
          <w:tcPr>
            <w:tcW w:w="1460" w:type="dxa"/>
            <w:tcBorders>
              <w:top w:val="nil"/>
              <w:left w:val="nil"/>
              <w:bottom w:val="nil"/>
              <w:right w:val="nil"/>
            </w:tcBorders>
            <w:shd w:val="clear" w:color="auto" w:fill="auto"/>
            <w:vAlign w:val="center"/>
          </w:tcPr>
          <w:p w14:paraId="111D6FC3" w14:textId="77777777" w:rsidR="001946F9" w:rsidRPr="00B42BE7" w:rsidRDefault="001946F9" w:rsidP="001946F9">
            <w:pPr>
              <w:widowControl/>
              <w:suppressAutoHyphens w:val="0"/>
              <w:autoSpaceDN/>
              <w:jc w:val="right"/>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189.746,00</w:t>
            </w:r>
          </w:p>
        </w:tc>
        <w:tc>
          <w:tcPr>
            <w:tcW w:w="2080" w:type="dxa"/>
            <w:tcBorders>
              <w:top w:val="nil"/>
              <w:left w:val="nil"/>
              <w:bottom w:val="nil"/>
              <w:right w:val="nil"/>
            </w:tcBorders>
            <w:shd w:val="clear" w:color="auto" w:fill="auto"/>
            <w:vAlign w:val="center"/>
          </w:tcPr>
          <w:p w14:paraId="31553E0B" w14:textId="77777777" w:rsidR="001946F9" w:rsidRPr="00B42BE7" w:rsidRDefault="001946F9" w:rsidP="001946F9">
            <w:pPr>
              <w:widowControl/>
              <w:suppressAutoHyphens w:val="0"/>
              <w:autoSpaceDN/>
              <w:jc w:val="center"/>
              <w:rPr>
                <w:rFonts w:eastAsia="Times New Roman" w:cs="Arial"/>
                <w:color w:val="000000" w:themeColor="text1"/>
                <w:kern w:val="0"/>
                <w:sz w:val="16"/>
                <w:szCs w:val="16"/>
                <w:lang w:eastAsia="pt-BR" w:bidi="ar-SA"/>
              </w:rPr>
            </w:pPr>
            <w:r w:rsidRPr="00B42BE7">
              <w:rPr>
                <w:rFonts w:eastAsia="Times New Roman" w:cs="Arial"/>
                <w:color w:val="000000" w:themeColor="text1"/>
                <w:kern w:val="0"/>
                <w:sz w:val="16"/>
                <w:szCs w:val="16"/>
                <w:lang w:eastAsia="pt-BR" w:bidi="ar-SA"/>
              </w:rPr>
              <w:t>11,86%</w:t>
            </w:r>
          </w:p>
        </w:tc>
      </w:tr>
      <w:tr w:rsidR="001946F9" w:rsidRPr="00B42BE7" w14:paraId="070580CB" w14:textId="77777777" w:rsidTr="001946F9">
        <w:trPr>
          <w:trHeight w:val="270"/>
        </w:trPr>
        <w:tc>
          <w:tcPr>
            <w:tcW w:w="3880" w:type="dxa"/>
            <w:tcBorders>
              <w:top w:val="single" w:sz="8" w:space="0" w:color="000000"/>
              <w:left w:val="nil"/>
              <w:bottom w:val="single" w:sz="8" w:space="0" w:color="000000"/>
              <w:right w:val="nil"/>
            </w:tcBorders>
            <w:shd w:val="clear" w:color="000000" w:fill="D9D9D9"/>
            <w:vAlign w:val="center"/>
            <w:hideMark/>
          </w:tcPr>
          <w:p w14:paraId="01440856"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Total</w:t>
            </w:r>
          </w:p>
        </w:tc>
        <w:tc>
          <w:tcPr>
            <w:tcW w:w="1500" w:type="dxa"/>
            <w:tcBorders>
              <w:top w:val="single" w:sz="8" w:space="0" w:color="000000"/>
              <w:left w:val="nil"/>
              <w:bottom w:val="single" w:sz="8" w:space="0" w:color="000000"/>
              <w:right w:val="nil"/>
            </w:tcBorders>
            <w:shd w:val="clear" w:color="000000" w:fill="D9D9D9"/>
            <w:vAlign w:val="center"/>
            <w:hideMark/>
          </w:tcPr>
          <w:p w14:paraId="2A006CBD" w14:textId="77777777" w:rsidR="001946F9" w:rsidRPr="00B42BE7" w:rsidRDefault="001946F9" w:rsidP="001946F9">
            <w:pPr>
              <w:widowControl/>
              <w:suppressAutoHyphens w:val="0"/>
              <w:autoSpaceDN/>
              <w:jc w:val="right"/>
              <w:rPr>
                <w:rFonts w:eastAsia="Times New Roman" w:cs="Times New Roman"/>
                <w:b/>
                <w:bCs/>
                <w:color w:val="000000" w:themeColor="text1"/>
                <w:kern w:val="0"/>
                <w:sz w:val="16"/>
                <w:szCs w:val="16"/>
                <w:lang w:eastAsia="pt-BR" w:bidi="ar-SA"/>
              </w:rPr>
            </w:pPr>
            <w:r w:rsidRPr="00B42BE7">
              <w:rPr>
                <w:rFonts w:eastAsia="Times New Roman" w:cs="Times New Roman"/>
                <w:b/>
                <w:bCs/>
                <w:color w:val="000000" w:themeColor="text1"/>
                <w:kern w:val="0"/>
                <w:sz w:val="16"/>
                <w:szCs w:val="16"/>
                <w:lang w:eastAsia="pt-BR" w:bidi="ar-SA"/>
              </w:rPr>
              <w:t>662.322.681,00</w:t>
            </w:r>
          </w:p>
        </w:tc>
        <w:tc>
          <w:tcPr>
            <w:tcW w:w="1460" w:type="dxa"/>
            <w:tcBorders>
              <w:top w:val="single" w:sz="8" w:space="0" w:color="000000"/>
              <w:left w:val="nil"/>
              <w:bottom w:val="single" w:sz="8" w:space="0" w:color="000000"/>
              <w:right w:val="nil"/>
            </w:tcBorders>
            <w:shd w:val="clear" w:color="000000" w:fill="D9D9D9"/>
            <w:vAlign w:val="center"/>
            <w:hideMark/>
          </w:tcPr>
          <w:p w14:paraId="6D58498D" w14:textId="77777777" w:rsidR="001946F9" w:rsidRPr="00B42BE7" w:rsidRDefault="001946F9" w:rsidP="001946F9">
            <w:pPr>
              <w:widowControl/>
              <w:suppressAutoHyphens w:val="0"/>
              <w:autoSpaceDN/>
              <w:jc w:val="right"/>
              <w:rPr>
                <w:rFonts w:eastAsia="Times New Roman" w:cs="Times New Roman"/>
                <w:b/>
                <w:bCs/>
                <w:color w:val="000000" w:themeColor="text1"/>
                <w:kern w:val="0"/>
                <w:sz w:val="16"/>
                <w:szCs w:val="16"/>
                <w:lang w:eastAsia="pt-BR" w:bidi="ar-SA"/>
              </w:rPr>
            </w:pPr>
            <w:r w:rsidRPr="00B42BE7">
              <w:rPr>
                <w:rFonts w:eastAsia="Times New Roman" w:cs="Times New Roman"/>
                <w:b/>
                <w:bCs/>
                <w:color w:val="000000" w:themeColor="text1"/>
                <w:kern w:val="0"/>
                <w:sz w:val="16"/>
                <w:szCs w:val="16"/>
                <w:lang w:eastAsia="pt-BR" w:bidi="ar-SA"/>
              </w:rPr>
              <w:t>3.216.989,76</w:t>
            </w:r>
          </w:p>
        </w:tc>
        <w:tc>
          <w:tcPr>
            <w:tcW w:w="2080" w:type="dxa"/>
            <w:tcBorders>
              <w:top w:val="single" w:sz="8" w:space="0" w:color="000000"/>
              <w:left w:val="nil"/>
              <w:bottom w:val="single" w:sz="8" w:space="0" w:color="000000"/>
              <w:right w:val="nil"/>
            </w:tcBorders>
            <w:shd w:val="clear" w:color="000000" w:fill="D9D9D9"/>
            <w:vAlign w:val="center"/>
            <w:hideMark/>
          </w:tcPr>
          <w:p w14:paraId="6F0AA915"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r>
    </w:tbl>
    <w:p w14:paraId="792AB074" w14:textId="77777777" w:rsidR="001946F9" w:rsidRPr="00B42BE7" w:rsidRDefault="001946F9" w:rsidP="001946F9">
      <w:pPr>
        <w:jc w:val="both"/>
        <w:rPr>
          <w:rFonts w:cs="Times New Roman"/>
          <w:color w:val="000000" w:themeColor="text1"/>
        </w:rPr>
      </w:pPr>
    </w:p>
    <w:p w14:paraId="75C041A2" w14:textId="77777777" w:rsidR="001946F9" w:rsidRPr="00B42BE7" w:rsidRDefault="001946F9" w:rsidP="001946F9">
      <w:pPr>
        <w:jc w:val="both"/>
        <w:rPr>
          <w:rFonts w:cs="Times New Roman"/>
          <w:color w:val="000000" w:themeColor="text1"/>
        </w:rPr>
      </w:pPr>
      <w:r w:rsidRPr="00B42BE7">
        <w:rPr>
          <w:rFonts w:cs="Times New Roman"/>
          <w:color w:val="000000" w:themeColor="text1"/>
        </w:rPr>
        <w:t xml:space="preserve">Os grupos em que se identificam maior percentual de participação nas Receitas de Capital são os destacados a seguir: </w:t>
      </w:r>
    </w:p>
    <w:p w14:paraId="6BA2C87A" w14:textId="77777777" w:rsidR="001946F9" w:rsidRPr="00B42BE7" w:rsidRDefault="001946F9" w:rsidP="001946F9">
      <w:pPr>
        <w:jc w:val="both"/>
        <w:rPr>
          <w:color w:val="000000" w:themeColor="text1"/>
          <w:lang w:eastAsia="en-US" w:bidi="ar-SA"/>
        </w:rPr>
      </w:pPr>
    </w:p>
    <w:p w14:paraId="5EF1EE6C" w14:textId="77777777" w:rsidR="001946F9" w:rsidRPr="00B42BE7" w:rsidRDefault="001946F9" w:rsidP="001946F9">
      <w:pPr>
        <w:jc w:val="both"/>
        <w:rPr>
          <w:rFonts w:cs="Times New Roman"/>
          <w:b/>
          <w:i/>
          <w:color w:val="000000" w:themeColor="text1"/>
        </w:rPr>
      </w:pPr>
      <w:r w:rsidRPr="00B42BE7">
        <w:rPr>
          <w:rFonts w:cs="Times New Roman"/>
          <w:b/>
          <w:i/>
          <w:color w:val="000000" w:themeColor="text1"/>
        </w:rPr>
        <w:t>Alienação de Bens</w:t>
      </w:r>
    </w:p>
    <w:p w14:paraId="02549A0D" w14:textId="77777777" w:rsidR="001946F9" w:rsidRPr="00B42BE7" w:rsidRDefault="001946F9" w:rsidP="001946F9">
      <w:pPr>
        <w:jc w:val="both"/>
        <w:rPr>
          <w:color w:val="000000" w:themeColor="text1"/>
          <w:lang w:eastAsia="en-US" w:bidi="ar-SA"/>
        </w:rPr>
      </w:pPr>
    </w:p>
    <w:p w14:paraId="02A69F05" w14:textId="77777777" w:rsidR="001946F9" w:rsidRPr="00B42BE7" w:rsidRDefault="001946F9" w:rsidP="001946F9">
      <w:pPr>
        <w:jc w:val="both"/>
        <w:rPr>
          <w:rFonts w:cs="Times New Roman"/>
          <w:b/>
          <w:i/>
          <w:color w:val="000000" w:themeColor="text1"/>
        </w:rPr>
      </w:pPr>
      <w:r w:rsidRPr="00B42BE7">
        <w:rPr>
          <w:rFonts w:cs="Times New Roman"/>
          <w:b/>
          <w:i/>
          <w:color w:val="000000" w:themeColor="text1"/>
        </w:rPr>
        <w:t>Alienação de Bens Imóveis</w:t>
      </w:r>
    </w:p>
    <w:p w14:paraId="4D2F426F" w14:textId="77777777" w:rsidR="001946F9" w:rsidRPr="00B42BE7" w:rsidRDefault="001946F9" w:rsidP="001946F9">
      <w:pPr>
        <w:jc w:val="both"/>
        <w:rPr>
          <w:color w:val="000000" w:themeColor="text1"/>
          <w:lang w:eastAsia="en-US" w:bidi="ar-SA"/>
        </w:rPr>
      </w:pPr>
    </w:p>
    <w:p w14:paraId="29146EF8" w14:textId="77777777" w:rsidR="001946F9" w:rsidRPr="00B42BE7" w:rsidRDefault="001946F9" w:rsidP="001946F9">
      <w:pPr>
        <w:jc w:val="both"/>
        <w:rPr>
          <w:rFonts w:cs="Times New Roman"/>
          <w:color w:val="000000" w:themeColor="text1"/>
        </w:rPr>
      </w:pPr>
      <w:r>
        <w:rPr>
          <w:rFonts w:cs="Times New Roman"/>
          <w:color w:val="000000" w:themeColor="text1"/>
        </w:rPr>
        <w:t>Compõe 0,26</w:t>
      </w:r>
      <w:r w:rsidRPr="00B42BE7">
        <w:rPr>
          <w:rFonts w:cs="Times New Roman"/>
          <w:color w:val="000000" w:themeColor="text1"/>
        </w:rPr>
        <w:t xml:space="preserve">% da realização das Receitas de Capital com registros na </w:t>
      </w:r>
      <w:r w:rsidRPr="00B42BE7">
        <w:rPr>
          <w:rFonts w:eastAsia="Times New Roman" w:cs="Times New Roman"/>
          <w:color w:val="000000" w:themeColor="text1"/>
          <w:kern w:val="0"/>
          <w:lang w:eastAsia="pt-BR" w:bidi="ar-SA"/>
        </w:rPr>
        <w:t>Companhia de Desenvolvimento dos Vales do São Francisco, maior participação, e no Departamento Nacional de Obras contra a Seca, em virtude de alienação de imóveis rurais.</w:t>
      </w:r>
    </w:p>
    <w:p w14:paraId="0FF1D958" w14:textId="77777777" w:rsidR="001946F9" w:rsidRPr="00B42BE7" w:rsidRDefault="001946F9" w:rsidP="001946F9">
      <w:pPr>
        <w:jc w:val="both"/>
        <w:rPr>
          <w:color w:val="000000" w:themeColor="text1"/>
          <w:lang w:eastAsia="en-US" w:bidi="ar-SA"/>
        </w:rPr>
      </w:pPr>
    </w:p>
    <w:p w14:paraId="4C2BAFC1" w14:textId="77777777" w:rsidR="001946F9" w:rsidRPr="00B42BE7" w:rsidRDefault="001946F9" w:rsidP="001946F9">
      <w:pPr>
        <w:jc w:val="both"/>
        <w:rPr>
          <w:rFonts w:cs="Times New Roman"/>
          <w:b/>
          <w:i/>
          <w:color w:val="000000" w:themeColor="text1"/>
        </w:rPr>
      </w:pPr>
      <w:r w:rsidRPr="00B42BE7">
        <w:rPr>
          <w:rFonts w:cs="Times New Roman"/>
          <w:b/>
          <w:i/>
          <w:color w:val="000000" w:themeColor="text1"/>
        </w:rPr>
        <w:t>Amortização de Empréstimos</w:t>
      </w:r>
    </w:p>
    <w:p w14:paraId="43024E16" w14:textId="77777777" w:rsidR="001946F9" w:rsidRPr="00B42BE7" w:rsidRDefault="001946F9" w:rsidP="001946F9">
      <w:pPr>
        <w:jc w:val="both"/>
        <w:rPr>
          <w:rFonts w:cs="Times New Roman"/>
          <w:b/>
          <w:i/>
          <w:color w:val="000000" w:themeColor="text1"/>
        </w:rPr>
      </w:pPr>
    </w:p>
    <w:p w14:paraId="4A7A8D10" w14:textId="77777777" w:rsidR="001946F9" w:rsidRPr="00B42BE7" w:rsidRDefault="001946F9" w:rsidP="001946F9">
      <w:pPr>
        <w:jc w:val="both"/>
        <w:rPr>
          <w:rFonts w:cs="Times New Roman"/>
          <w:color w:val="000000" w:themeColor="text1"/>
        </w:rPr>
      </w:pPr>
      <w:r>
        <w:rPr>
          <w:rFonts w:cs="Times New Roman"/>
          <w:color w:val="000000" w:themeColor="text1"/>
        </w:rPr>
        <w:t>Representam 99,73</w:t>
      </w:r>
      <w:r w:rsidRPr="00B42BE7">
        <w:rPr>
          <w:rFonts w:cs="Times New Roman"/>
          <w:color w:val="000000" w:themeColor="text1"/>
        </w:rPr>
        <w:t xml:space="preserve">% da realização das Receitas de Capital, proveniente de arrecadação na </w:t>
      </w:r>
      <w:r w:rsidRPr="00B42BE7">
        <w:rPr>
          <w:rFonts w:eastAsia="Times New Roman" w:cs="Times New Roman"/>
          <w:color w:val="000000" w:themeColor="text1"/>
          <w:kern w:val="0"/>
          <w:lang w:eastAsia="pt-BR" w:bidi="ar-SA"/>
        </w:rPr>
        <w:t>Superintendência do Desenvolvimento da Amazônia, maior parte, e na Superintendência do Desenvolvimento do Nordeste</w:t>
      </w:r>
      <w:r w:rsidRPr="00B42BE7">
        <w:rPr>
          <w:rFonts w:cs="Times New Roman"/>
          <w:color w:val="000000" w:themeColor="text1"/>
        </w:rPr>
        <w:t xml:space="preserve">, referente à amortização de empréstimo e financiamentos concedidos. </w:t>
      </w:r>
    </w:p>
    <w:p w14:paraId="5D9A2AF7" w14:textId="77777777" w:rsidR="001946F9" w:rsidRPr="00B42BE7" w:rsidRDefault="001946F9" w:rsidP="001946F9">
      <w:pPr>
        <w:jc w:val="both"/>
        <w:rPr>
          <w:color w:val="000000" w:themeColor="text1"/>
          <w:lang w:eastAsia="en-US" w:bidi="ar-SA"/>
        </w:rPr>
      </w:pPr>
    </w:p>
    <w:p w14:paraId="7E6F1D65" w14:textId="77777777" w:rsidR="001946F9" w:rsidRPr="00B42BE7" w:rsidRDefault="001946F9" w:rsidP="001946F9">
      <w:pPr>
        <w:tabs>
          <w:tab w:val="left" w:pos="3623"/>
        </w:tabs>
        <w:jc w:val="both"/>
        <w:rPr>
          <w:rFonts w:cs="Times New Roman"/>
          <w:b/>
          <w:color w:val="000000" w:themeColor="text1"/>
        </w:rPr>
      </w:pPr>
      <w:r w:rsidRPr="00B42BE7">
        <w:rPr>
          <w:rFonts w:cs="Times New Roman"/>
          <w:b/>
          <w:color w:val="000000" w:themeColor="text1"/>
        </w:rPr>
        <w:t xml:space="preserve">Nota </w:t>
      </w:r>
      <w:r>
        <w:rPr>
          <w:rFonts w:cs="Times New Roman"/>
          <w:b/>
          <w:color w:val="000000" w:themeColor="text1"/>
        </w:rPr>
        <w:t>13</w:t>
      </w:r>
      <w:r w:rsidRPr="00B42BE7">
        <w:rPr>
          <w:rFonts w:cs="Times New Roman"/>
          <w:b/>
          <w:color w:val="000000" w:themeColor="text1"/>
        </w:rPr>
        <w:t xml:space="preserve"> – Despesas Correntes</w:t>
      </w:r>
      <w:r w:rsidRPr="00B42BE7">
        <w:rPr>
          <w:rFonts w:cs="Times New Roman"/>
          <w:b/>
          <w:color w:val="000000" w:themeColor="text1"/>
        </w:rPr>
        <w:tab/>
      </w:r>
    </w:p>
    <w:p w14:paraId="07C79977" w14:textId="77777777" w:rsidR="001946F9" w:rsidRPr="00B42BE7" w:rsidRDefault="001946F9" w:rsidP="001946F9">
      <w:pPr>
        <w:jc w:val="both"/>
        <w:rPr>
          <w:color w:val="000000" w:themeColor="text1"/>
          <w:lang w:eastAsia="en-US" w:bidi="ar-SA"/>
        </w:rPr>
      </w:pPr>
    </w:p>
    <w:p w14:paraId="0F5721C1" w14:textId="77777777" w:rsidR="001946F9" w:rsidRPr="00B42BE7" w:rsidRDefault="001946F9" w:rsidP="001946F9">
      <w:pPr>
        <w:jc w:val="both"/>
        <w:rPr>
          <w:color w:val="000000" w:themeColor="text1"/>
          <w:lang w:eastAsia="en-US" w:bidi="ar-SA"/>
        </w:rPr>
      </w:pPr>
      <w:r w:rsidRPr="00B42BE7">
        <w:rPr>
          <w:color w:val="000000" w:themeColor="text1"/>
          <w:lang w:eastAsia="en-US" w:bidi="ar-SA"/>
        </w:rPr>
        <w:t xml:space="preserve">A </w:t>
      </w:r>
      <w:r w:rsidRPr="00B42BE7">
        <w:rPr>
          <w:b/>
          <w:i/>
          <w:color w:val="000000" w:themeColor="text1"/>
          <w:lang w:eastAsia="en-US" w:bidi="ar-SA"/>
        </w:rPr>
        <w:t>Dotação Atualizada</w:t>
      </w:r>
      <w:r w:rsidRPr="00B42BE7">
        <w:rPr>
          <w:color w:val="000000" w:themeColor="text1"/>
          <w:lang w:eastAsia="en-US" w:bidi="ar-SA"/>
        </w:rPr>
        <w:t xml:space="preserve"> do MDR para as Despesas Orça</w:t>
      </w:r>
      <w:r>
        <w:rPr>
          <w:color w:val="000000" w:themeColor="text1"/>
          <w:lang w:eastAsia="en-US" w:bidi="ar-SA"/>
        </w:rPr>
        <w:t>mentárias atingiu cerca de R$ 37,2</w:t>
      </w:r>
      <w:r w:rsidRPr="00B42BE7">
        <w:rPr>
          <w:color w:val="000000" w:themeColor="text1"/>
          <w:lang w:eastAsia="en-US" w:bidi="ar-SA"/>
        </w:rPr>
        <w:t xml:space="preserve"> bilhões, disponibilizada pela Secretaria de Orçamento Federal devidamente registrada no SIAFI. </w:t>
      </w:r>
    </w:p>
    <w:p w14:paraId="1CB6B372" w14:textId="77777777" w:rsidR="001946F9" w:rsidRPr="00B42BE7" w:rsidRDefault="001946F9" w:rsidP="001946F9">
      <w:pPr>
        <w:jc w:val="both"/>
        <w:rPr>
          <w:color w:val="000000" w:themeColor="text1"/>
          <w:lang w:eastAsia="en-US" w:bidi="ar-SA"/>
        </w:rPr>
      </w:pPr>
    </w:p>
    <w:p w14:paraId="280ED716" w14:textId="77777777" w:rsidR="001946F9" w:rsidRPr="00667AF2" w:rsidRDefault="001946F9" w:rsidP="001946F9">
      <w:pPr>
        <w:jc w:val="both"/>
        <w:rPr>
          <w:color w:val="000000" w:themeColor="text1"/>
          <w:lang w:eastAsia="en-US" w:bidi="ar-SA"/>
        </w:rPr>
      </w:pPr>
      <w:r w:rsidRPr="00667AF2">
        <w:rPr>
          <w:color w:val="000000" w:themeColor="text1"/>
          <w:lang w:eastAsia="en-US" w:bidi="ar-SA"/>
        </w:rPr>
        <w:t xml:space="preserve">Para as </w:t>
      </w:r>
      <w:r w:rsidRPr="00667AF2">
        <w:rPr>
          <w:b/>
          <w:i/>
          <w:color w:val="000000" w:themeColor="text1"/>
          <w:lang w:eastAsia="en-US" w:bidi="ar-SA"/>
        </w:rPr>
        <w:t>Despesas Correntes</w:t>
      </w:r>
      <w:r w:rsidRPr="00667AF2">
        <w:rPr>
          <w:color w:val="000000" w:themeColor="text1"/>
          <w:lang w:eastAsia="en-US" w:bidi="ar-SA"/>
        </w:rPr>
        <w:t xml:space="preserve"> foi reservado o percentual de 19,53%, cerca de R$ 5,8 bilhões. Desse montante foram empenhados 82,25%, o que correspondeu a R$ 4,7 bilhões executados. </w:t>
      </w:r>
    </w:p>
    <w:p w14:paraId="5C5E2315" w14:textId="77777777" w:rsidR="001946F9" w:rsidRPr="00667AF2" w:rsidRDefault="001946F9" w:rsidP="001946F9">
      <w:pPr>
        <w:jc w:val="both"/>
        <w:rPr>
          <w:color w:val="000000" w:themeColor="text1"/>
          <w:lang w:eastAsia="en-US" w:bidi="ar-SA"/>
        </w:rPr>
      </w:pPr>
      <w:r w:rsidRPr="00667AF2">
        <w:rPr>
          <w:color w:val="000000" w:themeColor="text1"/>
          <w:lang w:eastAsia="en-US" w:bidi="ar-SA"/>
        </w:rPr>
        <w:tab/>
      </w:r>
      <w:r w:rsidRPr="00667AF2">
        <w:rPr>
          <w:color w:val="000000" w:themeColor="text1"/>
          <w:lang w:eastAsia="en-US" w:bidi="ar-SA"/>
        </w:rPr>
        <w:tab/>
      </w:r>
    </w:p>
    <w:p w14:paraId="2274D065" w14:textId="77777777" w:rsidR="001946F9" w:rsidRPr="00B42BE7" w:rsidRDefault="001946F9" w:rsidP="001946F9">
      <w:pPr>
        <w:jc w:val="both"/>
        <w:rPr>
          <w:color w:val="000000" w:themeColor="text1"/>
          <w:lang w:eastAsia="en-US" w:bidi="ar-SA"/>
        </w:rPr>
      </w:pPr>
      <w:r w:rsidRPr="00B42BE7">
        <w:rPr>
          <w:color w:val="000000" w:themeColor="text1"/>
          <w:lang w:eastAsia="en-US" w:bidi="ar-SA"/>
        </w:rPr>
        <w:t xml:space="preserve">A tabela abaixo demonstra as despesas executadas/empenhadas conforme rubricas: </w:t>
      </w:r>
      <w:r w:rsidRPr="00B42BE7">
        <w:rPr>
          <w:i/>
          <w:color w:val="000000" w:themeColor="text1"/>
          <w:lang w:eastAsia="en-US" w:bidi="ar-SA"/>
        </w:rPr>
        <w:t>Pessoal e Encargos Sociais</w:t>
      </w:r>
      <w:r w:rsidRPr="00B42BE7">
        <w:rPr>
          <w:color w:val="000000" w:themeColor="text1"/>
          <w:lang w:eastAsia="en-US" w:bidi="ar-SA"/>
        </w:rPr>
        <w:t xml:space="preserve">, </w:t>
      </w:r>
      <w:r w:rsidRPr="00B42BE7">
        <w:rPr>
          <w:i/>
          <w:color w:val="000000" w:themeColor="text1"/>
          <w:lang w:eastAsia="en-US" w:bidi="ar-SA"/>
        </w:rPr>
        <w:t>Juros e Encargos da Dívida</w:t>
      </w:r>
      <w:r w:rsidRPr="00B42BE7">
        <w:rPr>
          <w:color w:val="000000" w:themeColor="text1"/>
          <w:lang w:eastAsia="en-US" w:bidi="ar-SA"/>
        </w:rPr>
        <w:t xml:space="preserve"> e </w:t>
      </w:r>
      <w:r w:rsidRPr="00B42BE7">
        <w:rPr>
          <w:i/>
          <w:color w:val="000000" w:themeColor="text1"/>
          <w:lang w:eastAsia="en-US" w:bidi="ar-SA"/>
        </w:rPr>
        <w:t>Outras Despesas Correntes</w:t>
      </w:r>
      <w:r w:rsidRPr="00B42BE7">
        <w:rPr>
          <w:color w:val="000000" w:themeColor="text1"/>
          <w:lang w:eastAsia="en-US" w:bidi="ar-SA"/>
        </w:rPr>
        <w:t>, nos seguintes percentuais:</w:t>
      </w:r>
    </w:p>
    <w:p w14:paraId="766B7E84" w14:textId="77777777" w:rsidR="001946F9" w:rsidRPr="00B42BE7" w:rsidRDefault="001946F9" w:rsidP="001946F9">
      <w:pPr>
        <w:jc w:val="both"/>
        <w:rPr>
          <w:color w:val="000000" w:themeColor="text1"/>
          <w:lang w:eastAsia="en-US" w:bidi="ar-SA"/>
        </w:rPr>
      </w:pPr>
    </w:p>
    <w:tbl>
      <w:tblPr>
        <w:tblW w:w="8920" w:type="dxa"/>
        <w:tblCellMar>
          <w:left w:w="70" w:type="dxa"/>
          <w:right w:w="70" w:type="dxa"/>
        </w:tblCellMar>
        <w:tblLook w:val="04A0" w:firstRow="1" w:lastRow="0" w:firstColumn="1" w:lastColumn="0" w:noHBand="0" w:noVBand="1"/>
      </w:tblPr>
      <w:tblGrid>
        <w:gridCol w:w="3880"/>
        <w:gridCol w:w="1500"/>
        <w:gridCol w:w="1460"/>
        <w:gridCol w:w="2080"/>
      </w:tblGrid>
      <w:tr w:rsidR="001946F9" w:rsidRPr="00B42BE7" w14:paraId="272A5FB0" w14:textId="77777777" w:rsidTr="001946F9">
        <w:trPr>
          <w:trHeight w:val="255"/>
        </w:trPr>
        <w:tc>
          <w:tcPr>
            <w:tcW w:w="3880" w:type="dxa"/>
            <w:vMerge w:val="restart"/>
            <w:tcBorders>
              <w:top w:val="single" w:sz="8" w:space="0" w:color="000000"/>
              <w:left w:val="nil"/>
              <w:bottom w:val="single" w:sz="8" w:space="0" w:color="000000"/>
              <w:right w:val="nil"/>
            </w:tcBorders>
            <w:shd w:val="clear" w:color="000000" w:fill="D9D9D9"/>
            <w:vAlign w:val="center"/>
            <w:hideMark/>
          </w:tcPr>
          <w:p w14:paraId="14E18744"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DESPESAS ORÇAMENTÁRIAS</w:t>
            </w:r>
          </w:p>
        </w:tc>
        <w:tc>
          <w:tcPr>
            <w:tcW w:w="1500" w:type="dxa"/>
            <w:vMerge w:val="restart"/>
            <w:tcBorders>
              <w:top w:val="single" w:sz="8" w:space="0" w:color="000000"/>
              <w:left w:val="nil"/>
              <w:bottom w:val="single" w:sz="8" w:space="0" w:color="000000"/>
              <w:right w:val="nil"/>
            </w:tcBorders>
            <w:shd w:val="clear" w:color="000000" w:fill="D9D9D9"/>
            <w:vAlign w:val="center"/>
            <w:hideMark/>
          </w:tcPr>
          <w:p w14:paraId="2B0EF22D"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DOTAÇÃO</w:t>
            </w:r>
            <w:proofErr w:type="gramStart"/>
            <w:r w:rsidRPr="00B42BE7">
              <w:rPr>
                <w:rFonts w:eastAsia="Times New Roman" w:cs="Arial"/>
                <w:b/>
                <w:bCs/>
                <w:color w:val="000000" w:themeColor="text1"/>
                <w:kern w:val="0"/>
                <w:sz w:val="16"/>
                <w:szCs w:val="16"/>
                <w:lang w:eastAsia="pt-BR" w:bidi="ar-SA"/>
              </w:rPr>
              <w:t xml:space="preserve">  </w:t>
            </w:r>
            <w:proofErr w:type="gramEnd"/>
            <w:r w:rsidRPr="00B42BE7">
              <w:rPr>
                <w:rFonts w:eastAsia="Times New Roman" w:cs="Arial"/>
                <w:b/>
                <w:bCs/>
                <w:color w:val="000000" w:themeColor="text1"/>
                <w:kern w:val="0"/>
                <w:sz w:val="16"/>
                <w:szCs w:val="16"/>
                <w:lang w:eastAsia="pt-BR" w:bidi="ar-SA"/>
              </w:rPr>
              <w:t>AT</w:t>
            </w:r>
            <w:r w:rsidRPr="00B42BE7">
              <w:rPr>
                <w:rFonts w:eastAsia="Times New Roman" w:cs="Arial"/>
                <w:b/>
                <w:bCs/>
                <w:color w:val="000000" w:themeColor="text1"/>
                <w:kern w:val="0"/>
                <w:sz w:val="16"/>
                <w:szCs w:val="16"/>
                <w:lang w:eastAsia="pt-BR" w:bidi="ar-SA"/>
              </w:rPr>
              <w:t>U</w:t>
            </w:r>
            <w:r w:rsidRPr="00B42BE7">
              <w:rPr>
                <w:rFonts w:eastAsia="Times New Roman" w:cs="Arial"/>
                <w:b/>
                <w:bCs/>
                <w:color w:val="000000" w:themeColor="text1"/>
                <w:kern w:val="0"/>
                <w:sz w:val="16"/>
                <w:szCs w:val="16"/>
                <w:lang w:eastAsia="pt-BR" w:bidi="ar-SA"/>
              </w:rPr>
              <w:t>ALIZADA</w:t>
            </w:r>
          </w:p>
        </w:tc>
        <w:tc>
          <w:tcPr>
            <w:tcW w:w="1460" w:type="dxa"/>
            <w:vMerge w:val="restart"/>
            <w:tcBorders>
              <w:top w:val="single" w:sz="8" w:space="0" w:color="000000"/>
              <w:left w:val="nil"/>
              <w:bottom w:val="single" w:sz="8" w:space="0" w:color="000000"/>
              <w:right w:val="nil"/>
            </w:tcBorders>
            <w:shd w:val="clear" w:color="000000" w:fill="D9D9D9"/>
            <w:vAlign w:val="center"/>
            <w:hideMark/>
          </w:tcPr>
          <w:p w14:paraId="776D8435"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DESPESAS E</w:t>
            </w:r>
            <w:r w:rsidRPr="00B42BE7">
              <w:rPr>
                <w:rFonts w:eastAsia="Times New Roman" w:cs="Arial"/>
                <w:b/>
                <w:bCs/>
                <w:color w:val="000000" w:themeColor="text1"/>
                <w:kern w:val="0"/>
                <w:sz w:val="16"/>
                <w:szCs w:val="16"/>
                <w:lang w:eastAsia="pt-BR" w:bidi="ar-SA"/>
              </w:rPr>
              <w:t>M</w:t>
            </w:r>
            <w:r w:rsidRPr="00B42BE7">
              <w:rPr>
                <w:rFonts w:eastAsia="Times New Roman" w:cs="Arial"/>
                <w:b/>
                <w:bCs/>
                <w:color w:val="000000" w:themeColor="text1"/>
                <w:kern w:val="0"/>
                <w:sz w:val="16"/>
                <w:szCs w:val="16"/>
                <w:lang w:eastAsia="pt-BR" w:bidi="ar-SA"/>
              </w:rPr>
              <w:t>PENHADAS</w:t>
            </w:r>
          </w:p>
        </w:tc>
        <w:tc>
          <w:tcPr>
            <w:tcW w:w="2080" w:type="dxa"/>
            <w:tcBorders>
              <w:top w:val="single" w:sz="8" w:space="0" w:color="000000"/>
              <w:left w:val="nil"/>
              <w:bottom w:val="nil"/>
              <w:right w:val="nil"/>
            </w:tcBorders>
            <w:shd w:val="clear" w:color="000000" w:fill="D9D9D9"/>
            <w:vAlign w:val="center"/>
            <w:hideMark/>
          </w:tcPr>
          <w:p w14:paraId="3F75D99E"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w:t>
            </w:r>
          </w:p>
        </w:tc>
      </w:tr>
      <w:tr w:rsidR="001946F9" w:rsidRPr="00B42BE7" w14:paraId="6C262B2C" w14:textId="77777777" w:rsidTr="001946F9">
        <w:trPr>
          <w:trHeight w:val="255"/>
        </w:trPr>
        <w:tc>
          <w:tcPr>
            <w:tcW w:w="3880" w:type="dxa"/>
            <w:vMerge/>
            <w:tcBorders>
              <w:top w:val="single" w:sz="8" w:space="0" w:color="000000"/>
              <w:left w:val="nil"/>
              <w:bottom w:val="single" w:sz="8" w:space="0" w:color="000000"/>
              <w:right w:val="nil"/>
            </w:tcBorders>
            <w:vAlign w:val="center"/>
            <w:hideMark/>
          </w:tcPr>
          <w:p w14:paraId="1FA59BE3"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1500" w:type="dxa"/>
            <w:vMerge/>
            <w:tcBorders>
              <w:top w:val="single" w:sz="8" w:space="0" w:color="000000"/>
              <w:left w:val="nil"/>
              <w:bottom w:val="single" w:sz="8" w:space="0" w:color="000000"/>
              <w:right w:val="nil"/>
            </w:tcBorders>
            <w:vAlign w:val="center"/>
            <w:hideMark/>
          </w:tcPr>
          <w:p w14:paraId="2F5A08BD"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1460" w:type="dxa"/>
            <w:vMerge/>
            <w:tcBorders>
              <w:top w:val="single" w:sz="8" w:space="0" w:color="000000"/>
              <w:left w:val="nil"/>
              <w:bottom w:val="single" w:sz="8" w:space="0" w:color="000000"/>
              <w:right w:val="nil"/>
            </w:tcBorders>
            <w:vAlign w:val="center"/>
            <w:hideMark/>
          </w:tcPr>
          <w:p w14:paraId="2C0E1A1F"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2080" w:type="dxa"/>
            <w:tcBorders>
              <w:top w:val="nil"/>
              <w:left w:val="nil"/>
              <w:bottom w:val="nil"/>
              <w:right w:val="nil"/>
            </w:tcBorders>
            <w:shd w:val="clear" w:color="000000" w:fill="D9D9D9"/>
            <w:vAlign w:val="center"/>
            <w:hideMark/>
          </w:tcPr>
          <w:p w14:paraId="340CDA79"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ORÇAMENTO</w:t>
            </w:r>
          </w:p>
        </w:tc>
      </w:tr>
      <w:tr w:rsidR="001946F9" w:rsidRPr="00B42BE7" w14:paraId="104F6C59" w14:textId="77777777" w:rsidTr="001946F9">
        <w:trPr>
          <w:trHeight w:val="270"/>
        </w:trPr>
        <w:tc>
          <w:tcPr>
            <w:tcW w:w="3880" w:type="dxa"/>
            <w:vMerge/>
            <w:tcBorders>
              <w:top w:val="single" w:sz="8" w:space="0" w:color="000000"/>
              <w:left w:val="nil"/>
              <w:bottom w:val="single" w:sz="8" w:space="0" w:color="000000"/>
              <w:right w:val="nil"/>
            </w:tcBorders>
            <w:vAlign w:val="center"/>
            <w:hideMark/>
          </w:tcPr>
          <w:p w14:paraId="0F532150"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1500" w:type="dxa"/>
            <w:vMerge/>
            <w:tcBorders>
              <w:top w:val="single" w:sz="8" w:space="0" w:color="000000"/>
              <w:left w:val="nil"/>
              <w:bottom w:val="single" w:sz="8" w:space="0" w:color="000000"/>
              <w:right w:val="nil"/>
            </w:tcBorders>
            <w:vAlign w:val="center"/>
            <w:hideMark/>
          </w:tcPr>
          <w:p w14:paraId="0331A3F4"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1460" w:type="dxa"/>
            <w:vMerge/>
            <w:tcBorders>
              <w:top w:val="single" w:sz="8" w:space="0" w:color="000000"/>
              <w:left w:val="nil"/>
              <w:bottom w:val="single" w:sz="8" w:space="0" w:color="000000"/>
              <w:right w:val="nil"/>
            </w:tcBorders>
            <w:vAlign w:val="center"/>
            <w:hideMark/>
          </w:tcPr>
          <w:p w14:paraId="226B695C"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2080" w:type="dxa"/>
            <w:tcBorders>
              <w:top w:val="nil"/>
              <w:left w:val="nil"/>
              <w:bottom w:val="single" w:sz="8" w:space="0" w:color="000000"/>
              <w:right w:val="nil"/>
            </w:tcBorders>
            <w:shd w:val="clear" w:color="000000" w:fill="D9D9D9"/>
            <w:vAlign w:val="center"/>
            <w:hideMark/>
          </w:tcPr>
          <w:p w14:paraId="0DB5BE3A"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EXECUTADO</w:t>
            </w:r>
          </w:p>
        </w:tc>
      </w:tr>
      <w:tr w:rsidR="001946F9" w:rsidRPr="00B42BE7" w14:paraId="09DEAE5F" w14:textId="77777777" w:rsidTr="001946F9">
        <w:trPr>
          <w:trHeight w:val="270"/>
        </w:trPr>
        <w:tc>
          <w:tcPr>
            <w:tcW w:w="3880" w:type="dxa"/>
            <w:tcBorders>
              <w:top w:val="nil"/>
              <w:left w:val="nil"/>
              <w:bottom w:val="single" w:sz="8" w:space="0" w:color="000000"/>
              <w:right w:val="nil"/>
            </w:tcBorders>
            <w:shd w:val="clear" w:color="000000" w:fill="D9D9D9"/>
            <w:vAlign w:val="center"/>
            <w:hideMark/>
          </w:tcPr>
          <w:p w14:paraId="51FC4B6D"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DESPESAS CORRENTES</w:t>
            </w:r>
          </w:p>
        </w:tc>
        <w:tc>
          <w:tcPr>
            <w:tcW w:w="1500" w:type="dxa"/>
            <w:tcBorders>
              <w:top w:val="nil"/>
              <w:left w:val="nil"/>
              <w:bottom w:val="single" w:sz="8" w:space="0" w:color="000000"/>
              <w:right w:val="nil"/>
            </w:tcBorders>
            <w:shd w:val="clear" w:color="000000" w:fill="D9D9D9"/>
            <w:vAlign w:val="center"/>
            <w:hideMark/>
          </w:tcPr>
          <w:p w14:paraId="56E67E2C"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1460" w:type="dxa"/>
            <w:tcBorders>
              <w:top w:val="nil"/>
              <w:left w:val="nil"/>
              <w:bottom w:val="single" w:sz="8" w:space="0" w:color="000000"/>
              <w:right w:val="nil"/>
            </w:tcBorders>
            <w:shd w:val="clear" w:color="000000" w:fill="D9D9D9"/>
            <w:vAlign w:val="center"/>
            <w:hideMark/>
          </w:tcPr>
          <w:p w14:paraId="63833533"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2080" w:type="dxa"/>
            <w:tcBorders>
              <w:top w:val="nil"/>
              <w:left w:val="nil"/>
              <w:bottom w:val="single" w:sz="8" w:space="0" w:color="000000"/>
              <w:right w:val="nil"/>
            </w:tcBorders>
            <w:shd w:val="clear" w:color="000000" w:fill="D9D9D9"/>
            <w:vAlign w:val="center"/>
            <w:hideMark/>
          </w:tcPr>
          <w:p w14:paraId="3B9CCFDA"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r>
      <w:tr w:rsidR="001946F9" w:rsidRPr="00B42BE7" w14:paraId="734C1A59" w14:textId="77777777" w:rsidTr="001946F9">
        <w:trPr>
          <w:trHeight w:val="255"/>
        </w:trPr>
        <w:tc>
          <w:tcPr>
            <w:tcW w:w="3880" w:type="dxa"/>
            <w:tcBorders>
              <w:top w:val="nil"/>
              <w:left w:val="nil"/>
              <w:bottom w:val="nil"/>
              <w:right w:val="nil"/>
            </w:tcBorders>
            <w:shd w:val="clear" w:color="auto" w:fill="auto"/>
            <w:vAlign w:val="center"/>
            <w:hideMark/>
          </w:tcPr>
          <w:p w14:paraId="3ED433A0" w14:textId="77777777" w:rsidR="001946F9" w:rsidRPr="00B42BE7" w:rsidRDefault="001946F9" w:rsidP="001946F9">
            <w:pPr>
              <w:widowControl/>
              <w:suppressAutoHyphens w:val="0"/>
              <w:autoSpaceDN/>
              <w:rPr>
                <w:rFonts w:eastAsia="Times New Roman" w:cs="Times New Roman"/>
                <w:i/>
                <w:iCs/>
                <w:color w:val="000000" w:themeColor="text1"/>
                <w:kern w:val="0"/>
                <w:sz w:val="18"/>
                <w:szCs w:val="18"/>
                <w:lang w:eastAsia="pt-BR" w:bidi="ar-SA"/>
              </w:rPr>
            </w:pPr>
            <w:r w:rsidRPr="00B42BE7">
              <w:rPr>
                <w:rFonts w:eastAsia="Times New Roman" w:cs="Times New Roman"/>
                <w:i/>
                <w:iCs/>
                <w:color w:val="000000" w:themeColor="text1"/>
                <w:kern w:val="0"/>
                <w:sz w:val="18"/>
                <w:szCs w:val="18"/>
                <w:lang w:eastAsia="pt-BR" w:bidi="ar-SA"/>
              </w:rPr>
              <w:t>Pessoal e Encargos Sociais</w:t>
            </w:r>
          </w:p>
        </w:tc>
        <w:tc>
          <w:tcPr>
            <w:tcW w:w="1500" w:type="dxa"/>
            <w:tcBorders>
              <w:top w:val="nil"/>
              <w:left w:val="nil"/>
              <w:bottom w:val="nil"/>
              <w:right w:val="nil"/>
            </w:tcBorders>
            <w:shd w:val="clear" w:color="auto" w:fill="auto"/>
            <w:vAlign w:val="center"/>
            <w:hideMark/>
          </w:tcPr>
          <w:p w14:paraId="6DCD550B"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666663">
              <w:rPr>
                <w:rFonts w:eastAsia="Times New Roman" w:cs="Times New Roman"/>
                <w:color w:val="000000" w:themeColor="text1"/>
                <w:kern w:val="0"/>
                <w:sz w:val="16"/>
                <w:szCs w:val="16"/>
                <w:lang w:eastAsia="pt-BR" w:bidi="ar-SA"/>
              </w:rPr>
              <w:t>2</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408</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686</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209</w:t>
            </w:r>
            <w:r>
              <w:rPr>
                <w:rFonts w:eastAsia="Times New Roman" w:cs="Times New Roman"/>
                <w:color w:val="000000" w:themeColor="text1"/>
                <w:kern w:val="0"/>
                <w:sz w:val="16"/>
                <w:szCs w:val="16"/>
                <w:lang w:eastAsia="pt-BR" w:bidi="ar-SA"/>
              </w:rPr>
              <w:t>,00</w:t>
            </w:r>
          </w:p>
        </w:tc>
        <w:tc>
          <w:tcPr>
            <w:tcW w:w="1460" w:type="dxa"/>
            <w:tcBorders>
              <w:top w:val="nil"/>
              <w:left w:val="nil"/>
              <w:bottom w:val="nil"/>
              <w:right w:val="nil"/>
            </w:tcBorders>
            <w:shd w:val="clear" w:color="auto" w:fill="auto"/>
            <w:vAlign w:val="center"/>
            <w:hideMark/>
          </w:tcPr>
          <w:p w14:paraId="7944719E"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666663">
              <w:rPr>
                <w:rFonts w:eastAsia="Times New Roman" w:cs="Times New Roman"/>
                <w:color w:val="000000" w:themeColor="text1"/>
                <w:kern w:val="0"/>
                <w:sz w:val="16"/>
                <w:szCs w:val="16"/>
                <w:lang w:eastAsia="pt-BR" w:bidi="ar-SA"/>
              </w:rPr>
              <w:t>2</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350</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305</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100,53</w:t>
            </w:r>
          </w:p>
        </w:tc>
        <w:tc>
          <w:tcPr>
            <w:tcW w:w="2080" w:type="dxa"/>
            <w:tcBorders>
              <w:top w:val="nil"/>
              <w:left w:val="nil"/>
              <w:bottom w:val="nil"/>
              <w:right w:val="nil"/>
            </w:tcBorders>
            <w:shd w:val="clear" w:color="auto" w:fill="auto"/>
            <w:vAlign w:val="center"/>
            <w:hideMark/>
          </w:tcPr>
          <w:p w14:paraId="51C7A685"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Pr>
                <w:rFonts w:eastAsia="Times New Roman" w:cs="Times New Roman"/>
                <w:color w:val="000000" w:themeColor="text1"/>
                <w:kern w:val="0"/>
                <w:sz w:val="16"/>
                <w:szCs w:val="16"/>
                <w:lang w:eastAsia="pt-BR" w:bidi="ar-SA"/>
              </w:rPr>
              <w:t>97,58</w:t>
            </w:r>
            <w:r w:rsidRPr="00B42BE7">
              <w:rPr>
                <w:rFonts w:eastAsia="Times New Roman" w:cs="Times New Roman"/>
                <w:color w:val="000000" w:themeColor="text1"/>
                <w:kern w:val="0"/>
                <w:sz w:val="16"/>
                <w:szCs w:val="16"/>
                <w:lang w:eastAsia="pt-BR" w:bidi="ar-SA"/>
              </w:rPr>
              <w:t>%</w:t>
            </w:r>
          </w:p>
        </w:tc>
      </w:tr>
      <w:tr w:rsidR="001946F9" w:rsidRPr="00B42BE7" w14:paraId="0F3EDAF2" w14:textId="77777777" w:rsidTr="001946F9">
        <w:trPr>
          <w:trHeight w:val="255"/>
        </w:trPr>
        <w:tc>
          <w:tcPr>
            <w:tcW w:w="3880" w:type="dxa"/>
            <w:tcBorders>
              <w:top w:val="nil"/>
              <w:left w:val="nil"/>
              <w:bottom w:val="nil"/>
              <w:right w:val="nil"/>
            </w:tcBorders>
            <w:shd w:val="clear" w:color="auto" w:fill="auto"/>
            <w:vAlign w:val="center"/>
            <w:hideMark/>
          </w:tcPr>
          <w:p w14:paraId="499BC6F6" w14:textId="77777777" w:rsidR="001946F9" w:rsidRPr="00B42BE7" w:rsidRDefault="001946F9" w:rsidP="001946F9">
            <w:pPr>
              <w:widowControl/>
              <w:suppressAutoHyphens w:val="0"/>
              <w:autoSpaceDN/>
              <w:rPr>
                <w:rFonts w:eastAsia="Times New Roman" w:cs="Times New Roman"/>
                <w:i/>
                <w:iCs/>
                <w:color w:val="000000" w:themeColor="text1"/>
                <w:kern w:val="0"/>
                <w:sz w:val="18"/>
                <w:szCs w:val="18"/>
                <w:lang w:eastAsia="pt-BR" w:bidi="ar-SA"/>
              </w:rPr>
            </w:pPr>
            <w:r w:rsidRPr="00B42BE7">
              <w:rPr>
                <w:rFonts w:eastAsia="Times New Roman" w:cs="Times New Roman"/>
                <w:i/>
                <w:iCs/>
                <w:color w:val="000000" w:themeColor="text1"/>
                <w:kern w:val="0"/>
                <w:sz w:val="18"/>
                <w:szCs w:val="18"/>
                <w:lang w:eastAsia="pt-BR" w:bidi="ar-SA"/>
              </w:rPr>
              <w:t>Juros e Encargos da Dívida</w:t>
            </w:r>
          </w:p>
        </w:tc>
        <w:tc>
          <w:tcPr>
            <w:tcW w:w="1500" w:type="dxa"/>
            <w:tcBorders>
              <w:top w:val="nil"/>
              <w:left w:val="nil"/>
              <w:bottom w:val="nil"/>
              <w:right w:val="nil"/>
            </w:tcBorders>
            <w:shd w:val="clear" w:color="auto" w:fill="auto"/>
            <w:vAlign w:val="center"/>
            <w:hideMark/>
          </w:tcPr>
          <w:p w14:paraId="782CA44E"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B42BE7">
              <w:rPr>
                <w:rFonts w:eastAsia="Times New Roman" w:cs="Times New Roman"/>
                <w:color w:val="000000" w:themeColor="text1"/>
                <w:kern w:val="0"/>
                <w:sz w:val="16"/>
                <w:szCs w:val="16"/>
                <w:lang w:eastAsia="pt-BR" w:bidi="ar-SA"/>
              </w:rPr>
              <w:t xml:space="preserve">    </w:t>
            </w:r>
            <w:r>
              <w:rPr>
                <w:rFonts w:eastAsia="Times New Roman" w:cs="Times New Roman"/>
                <w:color w:val="000000" w:themeColor="text1"/>
                <w:kern w:val="0"/>
                <w:sz w:val="16"/>
                <w:szCs w:val="16"/>
                <w:lang w:eastAsia="pt-BR" w:bidi="ar-SA"/>
              </w:rPr>
              <w:t xml:space="preserve"> </w:t>
            </w:r>
            <w:r w:rsidRPr="00666663">
              <w:rPr>
                <w:rFonts w:eastAsia="Times New Roman" w:cs="Times New Roman"/>
                <w:color w:val="000000" w:themeColor="text1"/>
                <w:kern w:val="0"/>
                <w:sz w:val="16"/>
                <w:szCs w:val="16"/>
                <w:lang w:eastAsia="pt-BR" w:bidi="ar-SA"/>
              </w:rPr>
              <w:t>14</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829</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934</w:t>
            </w:r>
            <w:r>
              <w:rPr>
                <w:rFonts w:eastAsia="Times New Roman" w:cs="Times New Roman"/>
                <w:color w:val="000000" w:themeColor="text1"/>
                <w:kern w:val="0"/>
                <w:sz w:val="16"/>
                <w:szCs w:val="16"/>
                <w:lang w:eastAsia="pt-BR" w:bidi="ar-SA"/>
              </w:rPr>
              <w:t>,00</w:t>
            </w:r>
          </w:p>
        </w:tc>
        <w:tc>
          <w:tcPr>
            <w:tcW w:w="1460" w:type="dxa"/>
            <w:tcBorders>
              <w:top w:val="nil"/>
              <w:left w:val="nil"/>
              <w:bottom w:val="nil"/>
              <w:right w:val="nil"/>
            </w:tcBorders>
            <w:shd w:val="clear" w:color="auto" w:fill="auto"/>
            <w:vAlign w:val="center"/>
            <w:hideMark/>
          </w:tcPr>
          <w:p w14:paraId="63A8357A"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B42BE7">
              <w:rPr>
                <w:rFonts w:eastAsia="Times New Roman" w:cs="Times New Roman"/>
                <w:color w:val="000000" w:themeColor="text1"/>
                <w:kern w:val="0"/>
                <w:sz w:val="16"/>
                <w:szCs w:val="16"/>
                <w:lang w:eastAsia="pt-BR" w:bidi="ar-SA"/>
              </w:rPr>
              <w:t xml:space="preserve">     </w:t>
            </w:r>
            <w:r w:rsidRPr="00666663">
              <w:rPr>
                <w:rFonts w:eastAsia="Times New Roman" w:cs="Times New Roman"/>
                <w:color w:val="000000" w:themeColor="text1"/>
                <w:kern w:val="0"/>
                <w:sz w:val="16"/>
                <w:szCs w:val="16"/>
                <w:lang w:eastAsia="pt-BR" w:bidi="ar-SA"/>
              </w:rPr>
              <w:t>14</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147</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332,4</w:t>
            </w:r>
            <w:r>
              <w:rPr>
                <w:rFonts w:eastAsia="Times New Roman" w:cs="Times New Roman"/>
                <w:color w:val="000000" w:themeColor="text1"/>
                <w:kern w:val="0"/>
                <w:sz w:val="16"/>
                <w:szCs w:val="16"/>
                <w:lang w:eastAsia="pt-BR" w:bidi="ar-SA"/>
              </w:rPr>
              <w:t>0</w:t>
            </w:r>
          </w:p>
        </w:tc>
        <w:tc>
          <w:tcPr>
            <w:tcW w:w="2080" w:type="dxa"/>
            <w:tcBorders>
              <w:top w:val="nil"/>
              <w:left w:val="nil"/>
              <w:bottom w:val="nil"/>
              <w:right w:val="nil"/>
            </w:tcBorders>
            <w:shd w:val="clear" w:color="auto" w:fill="auto"/>
            <w:vAlign w:val="center"/>
            <w:hideMark/>
          </w:tcPr>
          <w:p w14:paraId="47186DF3"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Pr>
                <w:rFonts w:eastAsia="Times New Roman" w:cs="Times New Roman"/>
                <w:color w:val="000000" w:themeColor="text1"/>
                <w:kern w:val="0"/>
                <w:sz w:val="16"/>
                <w:szCs w:val="16"/>
                <w:lang w:eastAsia="pt-BR" w:bidi="ar-SA"/>
              </w:rPr>
              <w:t>95,40</w:t>
            </w:r>
            <w:r w:rsidRPr="00B42BE7">
              <w:rPr>
                <w:rFonts w:eastAsia="Times New Roman" w:cs="Times New Roman"/>
                <w:color w:val="000000" w:themeColor="text1"/>
                <w:kern w:val="0"/>
                <w:sz w:val="16"/>
                <w:szCs w:val="16"/>
                <w:lang w:eastAsia="pt-BR" w:bidi="ar-SA"/>
              </w:rPr>
              <w:t>%</w:t>
            </w:r>
          </w:p>
        </w:tc>
      </w:tr>
      <w:tr w:rsidR="001946F9" w:rsidRPr="00B42BE7" w14:paraId="59BF1D7D" w14:textId="77777777" w:rsidTr="001946F9">
        <w:trPr>
          <w:trHeight w:val="270"/>
        </w:trPr>
        <w:tc>
          <w:tcPr>
            <w:tcW w:w="3880" w:type="dxa"/>
            <w:tcBorders>
              <w:top w:val="nil"/>
              <w:left w:val="nil"/>
              <w:bottom w:val="nil"/>
              <w:right w:val="nil"/>
            </w:tcBorders>
            <w:shd w:val="clear" w:color="auto" w:fill="auto"/>
            <w:vAlign w:val="center"/>
            <w:hideMark/>
          </w:tcPr>
          <w:p w14:paraId="79623D51" w14:textId="77777777" w:rsidR="001946F9" w:rsidRPr="00B42BE7" w:rsidRDefault="001946F9" w:rsidP="001946F9">
            <w:pPr>
              <w:widowControl/>
              <w:suppressAutoHyphens w:val="0"/>
              <w:autoSpaceDN/>
              <w:rPr>
                <w:rFonts w:eastAsia="Times New Roman" w:cs="Times New Roman"/>
                <w:i/>
                <w:iCs/>
                <w:color w:val="000000" w:themeColor="text1"/>
                <w:kern w:val="0"/>
                <w:sz w:val="18"/>
                <w:szCs w:val="18"/>
                <w:lang w:eastAsia="pt-BR" w:bidi="ar-SA"/>
              </w:rPr>
            </w:pPr>
            <w:r w:rsidRPr="00B42BE7">
              <w:rPr>
                <w:rFonts w:eastAsia="Times New Roman" w:cs="Times New Roman"/>
                <w:i/>
                <w:iCs/>
                <w:color w:val="000000" w:themeColor="text1"/>
                <w:kern w:val="0"/>
                <w:sz w:val="18"/>
                <w:szCs w:val="18"/>
                <w:lang w:eastAsia="pt-BR" w:bidi="ar-SA"/>
              </w:rPr>
              <w:t>Outras Despesas Correntes</w:t>
            </w:r>
          </w:p>
        </w:tc>
        <w:tc>
          <w:tcPr>
            <w:tcW w:w="1500" w:type="dxa"/>
            <w:tcBorders>
              <w:top w:val="nil"/>
              <w:left w:val="nil"/>
              <w:bottom w:val="nil"/>
              <w:right w:val="nil"/>
            </w:tcBorders>
            <w:shd w:val="clear" w:color="auto" w:fill="auto"/>
            <w:vAlign w:val="center"/>
            <w:hideMark/>
          </w:tcPr>
          <w:p w14:paraId="48D75099"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666663">
              <w:rPr>
                <w:rFonts w:eastAsia="Times New Roman" w:cs="Times New Roman"/>
                <w:color w:val="000000" w:themeColor="text1"/>
                <w:kern w:val="0"/>
                <w:sz w:val="16"/>
                <w:szCs w:val="16"/>
                <w:lang w:eastAsia="pt-BR" w:bidi="ar-SA"/>
              </w:rPr>
              <w:t>3</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374</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493</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608</w:t>
            </w:r>
            <w:r>
              <w:rPr>
                <w:rFonts w:eastAsia="Times New Roman" w:cs="Times New Roman"/>
                <w:color w:val="000000" w:themeColor="text1"/>
                <w:kern w:val="0"/>
                <w:sz w:val="16"/>
                <w:szCs w:val="16"/>
                <w:lang w:eastAsia="pt-BR" w:bidi="ar-SA"/>
              </w:rPr>
              <w:t>,00</w:t>
            </w:r>
          </w:p>
        </w:tc>
        <w:tc>
          <w:tcPr>
            <w:tcW w:w="1460" w:type="dxa"/>
            <w:tcBorders>
              <w:top w:val="nil"/>
              <w:left w:val="nil"/>
              <w:bottom w:val="nil"/>
              <w:right w:val="nil"/>
            </w:tcBorders>
            <w:shd w:val="clear" w:color="auto" w:fill="auto"/>
            <w:vAlign w:val="center"/>
            <w:hideMark/>
          </w:tcPr>
          <w:p w14:paraId="073BE74F"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666663">
              <w:rPr>
                <w:rFonts w:eastAsia="Times New Roman" w:cs="Times New Roman"/>
                <w:color w:val="000000" w:themeColor="text1"/>
                <w:kern w:val="0"/>
                <w:sz w:val="16"/>
                <w:szCs w:val="16"/>
                <w:lang w:eastAsia="pt-BR" w:bidi="ar-SA"/>
              </w:rPr>
              <w:t>2</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404</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678</w:t>
            </w:r>
            <w:r>
              <w:rPr>
                <w:rFonts w:eastAsia="Times New Roman" w:cs="Times New Roman"/>
                <w:color w:val="000000" w:themeColor="text1"/>
                <w:kern w:val="0"/>
                <w:sz w:val="16"/>
                <w:szCs w:val="16"/>
                <w:lang w:eastAsia="pt-BR" w:bidi="ar-SA"/>
              </w:rPr>
              <w:t>.</w:t>
            </w:r>
            <w:r w:rsidRPr="00666663">
              <w:rPr>
                <w:rFonts w:eastAsia="Times New Roman" w:cs="Times New Roman"/>
                <w:color w:val="000000" w:themeColor="text1"/>
                <w:kern w:val="0"/>
                <w:sz w:val="16"/>
                <w:szCs w:val="16"/>
                <w:lang w:eastAsia="pt-BR" w:bidi="ar-SA"/>
              </w:rPr>
              <w:t>945,13</w:t>
            </w:r>
          </w:p>
        </w:tc>
        <w:tc>
          <w:tcPr>
            <w:tcW w:w="2080" w:type="dxa"/>
            <w:tcBorders>
              <w:top w:val="nil"/>
              <w:left w:val="nil"/>
              <w:bottom w:val="nil"/>
              <w:right w:val="nil"/>
            </w:tcBorders>
            <w:shd w:val="clear" w:color="auto" w:fill="auto"/>
            <w:vAlign w:val="center"/>
            <w:hideMark/>
          </w:tcPr>
          <w:p w14:paraId="2025807E"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Pr>
                <w:rFonts w:eastAsia="Times New Roman" w:cs="Times New Roman"/>
                <w:color w:val="000000" w:themeColor="text1"/>
                <w:kern w:val="0"/>
                <w:sz w:val="16"/>
                <w:szCs w:val="16"/>
                <w:lang w:eastAsia="pt-BR" w:bidi="ar-SA"/>
              </w:rPr>
              <w:t>71,36</w:t>
            </w:r>
            <w:r w:rsidRPr="00B42BE7">
              <w:rPr>
                <w:rFonts w:eastAsia="Times New Roman" w:cs="Times New Roman"/>
                <w:color w:val="000000" w:themeColor="text1"/>
                <w:kern w:val="0"/>
                <w:sz w:val="16"/>
                <w:szCs w:val="16"/>
                <w:lang w:eastAsia="pt-BR" w:bidi="ar-SA"/>
              </w:rPr>
              <w:t>%</w:t>
            </w:r>
          </w:p>
        </w:tc>
      </w:tr>
      <w:tr w:rsidR="001946F9" w:rsidRPr="00B42BE7" w14:paraId="144E60F7" w14:textId="77777777" w:rsidTr="001946F9">
        <w:trPr>
          <w:trHeight w:val="270"/>
        </w:trPr>
        <w:tc>
          <w:tcPr>
            <w:tcW w:w="3880" w:type="dxa"/>
            <w:tcBorders>
              <w:top w:val="single" w:sz="8" w:space="0" w:color="000000"/>
              <w:left w:val="nil"/>
              <w:bottom w:val="single" w:sz="8" w:space="0" w:color="000000"/>
              <w:right w:val="nil"/>
            </w:tcBorders>
            <w:shd w:val="clear" w:color="000000" w:fill="D9D9D9"/>
            <w:vAlign w:val="center"/>
            <w:hideMark/>
          </w:tcPr>
          <w:p w14:paraId="13DB3BB3"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Total</w:t>
            </w:r>
          </w:p>
        </w:tc>
        <w:tc>
          <w:tcPr>
            <w:tcW w:w="1500" w:type="dxa"/>
            <w:tcBorders>
              <w:top w:val="single" w:sz="8" w:space="0" w:color="000000"/>
              <w:left w:val="nil"/>
              <w:bottom w:val="single" w:sz="8" w:space="0" w:color="000000"/>
              <w:right w:val="nil"/>
            </w:tcBorders>
            <w:shd w:val="clear" w:color="000000" w:fill="D9D9D9"/>
            <w:vAlign w:val="center"/>
            <w:hideMark/>
          </w:tcPr>
          <w:p w14:paraId="5C8DFC18"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Pr>
                <w:rFonts w:eastAsia="Times New Roman" w:cs="Times New Roman"/>
                <w:b/>
                <w:bCs/>
                <w:color w:val="000000" w:themeColor="text1"/>
                <w:kern w:val="0"/>
                <w:sz w:val="16"/>
                <w:szCs w:val="16"/>
                <w:lang w:eastAsia="pt-BR" w:bidi="ar-SA"/>
              </w:rPr>
              <w:t>5.798.009.751,00</w:t>
            </w:r>
          </w:p>
        </w:tc>
        <w:tc>
          <w:tcPr>
            <w:tcW w:w="1460" w:type="dxa"/>
            <w:tcBorders>
              <w:top w:val="single" w:sz="8" w:space="0" w:color="000000"/>
              <w:left w:val="nil"/>
              <w:bottom w:val="single" w:sz="8" w:space="0" w:color="000000"/>
              <w:right w:val="nil"/>
            </w:tcBorders>
            <w:shd w:val="clear" w:color="000000" w:fill="D9D9D9"/>
            <w:vAlign w:val="center"/>
            <w:hideMark/>
          </w:tcPr>
          <w:p w14:paraId="4E0D1C27"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Pr>
                <w:rFonts w:eastAsia="Times New Roman" w:cs="Arial"/>
                <w:b/>
                <w:bCs/>
                <w:color w:val="000000" w:themeColor="text1"/>
                <w:kern w:val="0"/>
                <w:sz w:val="16"/>
                <w:szCs w:val="16"/>
                <w:lang w:eastAsia="pt-BR" w:bidi="ar-SA"/>
              </w:rPr>
              <w:t>4.769.131.378.06</w:t>
            </w:r>
          </w:p>
        </w:tc>
        <w:tc>
          <w:tcPr>
            <w:tcW w:w="2080" w:type="dxa"/>
            <w:tcBorders>
              <w:top w:val="single" w:sz="8" w:space="0" w:color="000000"/>
              <w:left w:val="nil"/>
              <w:bottom w:val="single" w:sz="8" w:space="0" w:color="000000"/>
              <w:right w:val="nil"/>
            </w:tcBorders>
            <w:shd w:val="clear" w:color="000000" w:fill="D9D9D9"/>
            <w:vAlign w:val="center"/>
            <w:hideMark/>
          </w:tcPr>
          <w:p w14:paraId="67FDF289"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p>
        </w:tc>
      </w:tr>
    </w:tbl>
    <w:p w14:paraId="1DEAAC7D" w14:textId="77777777" w:rsidR="001946F9" w:rsidRPr="00B42BE7" w:rsidRDefault="001946F9" w:rsidP="001946F9">
      <w:pPr>
        <w:jc w:val="both"/>
        <w:rPr>
          <w:color w:val="000000" w:themeColor="text1"/>
          <w:lang w:eastAsia="en-US" w:bidi="ar-SA"/>
        </w:rPr>
      </w:pPr>
    </w:p>
    <w:p w14:paraId="4EE7F932" w14:textId="6AAFE0FD" w:rsidR="001946F9" w:rsidRPr="00B42BE7" w:rsidRDefault="001946F9" w:rsidP="001946F9">
      <w:pPr>
        <w:jc w:val="both"/>
        <w:rPr>
          <w:rFonts w:cs="Times New Roman"/>
          <w:color w:val="000000" w:themeColor="text1"/>
        </w:rPr>
      </w:pPr>
      <w:r w:rsidRPr="00B42BE7">
        <w:rPr>
          <w:color w:val="000000" w:themeColor="text1"/>
          <w:lang w:eastAsia="en-US" w:bidi="ar-SA"/>
        </w:rPr>
        <w:t xml:space="preserve">Nas </w:t>
      </w:r>
      <w:r w:rsidRPr="00B42BE7">
        <w:rPr>
          <w:b/>
          <w:i/>
          <w:color w:val="000000" w:themeColor="text1"/>
          <w:lang w:eastAsia="en-US" w:bidi="ar-SA"/>
        </w:rPr>
        <w:t>Despesas de Pessoal e Encargos Sociais</w:t>
      </w:r>
      <w:r w:rsidRPr="00B42BE7">
        <w:rPr>
          <w:color w:val="000000" w:themeColor="text1"/>
          <w:lang w:eastAsia="en-US" w:bidi="ar-SA"/>
        </w:rPr>
        <w:t xml:space="preserve">, observada maior execução sequenciada decrescente nos Órgãos: Companhia de Desenvolvimento dos Vales do São Francisco e do Parnaíba - Codevasf; Companhia Brasileira de Trens Urbanos - CBTU; Departamento Nacional de Obras contra as Secas - Dnocs; e Ministério do Desenvolvimento Regional. O somatório das despesas empenhadas nos citados Órgãos, equivaleu a 88,07% do total executado, na rubrica </w:t>
      </w:r>
      <w:r w:rsidRPr="00B42BE7">
        <w:rPr>
          <w:i/>
          <w:color w:val="000000" w:themeColor="text1"/>
          <w:lang w:eastAsia="en-US" w:bidi="ar-SA"/>
        </w:rPr>
        <w:t>Pessoal e Encargos Sociais</w:t>
      </w:r>
      <w:r w:rsidRPr="00B42BE7">
        <w:rPr>
          <w:color w:val="000000" w:themeColor="text1"/>
          <w:lang w:eastAsia="en-US" w:bidi="ar-SA"/>
        </w:rPr>
        <w:t>, em nível de Órgão Superior. Desembolso justificado nas despesas</w:t>
      </w:r>
      <w:r w:rsidRPr="00B42BE7">
        <w:rPr>
          <w:rFonts w:cs="Times New Roman"/>
          <w:color w:val="000000" w:themeColor="text1"/>
        </w:rPr>
        <w:t xml:space="preserve"> com salários, encargos patronais, benefícios previdenciários/assistenciais e pensões pagos a empregados e servidores.</w:t>
      </w:r>
    </w:p>
    <w:p w14:paraId="344FDF70" w14:textId="77777777" w:rsidR="001946F9" w:rsidRPr="00B42BE7" w:rsidRDefault="001946F9" w:rsidP="001946F9">
      <w:pPr>
        <w:jc w:val="both"/>
        <w:rPr>
          <w:rFonts w:cs="Times New Roman"/>
          <w:color w:val="000000" w:themeColor="text1"/>
        </w:rPr>
      </w:pPr>
    </w:p>
    <w:p w14:paraId="773B9138" w14:textId="77777777" w:rsidR="001946F9" w:rsidRPr="00B42BE7" w:rsidRDefault="001946F9" w:rsidP="001946F9">
      <w:pPr>
        <w:jc w:val="both"/>
        <w:rPr>
          <w:b/>
          <w:color w:val="000000" w:themeColor="text1"/>
          <w:lang w:eastAsia="en-US" w:bidi="ar-SA"/>
        </w:rPr>
      </w:pPr>
      <w:r w:rsidRPr="00B42BE7">
        <w:rPr>
          <w:color w:val="000000" w:themeColor="text1"/>
          <w:lang w:eastAsia="en-US" w:bidi="ar-SA"/>
        </w:rPr>
        <w:t xml:space="preserve">A execução das despesas de </w:t>
      </w:r>
      <w:r w:rsidRPr="00B42BE7">
        <w:rPr>
          <w:b/>
          <w:i/>
          <w:color w:val="000000" w:themeColor="text1"/>
          <w:lang w:eastAsia="en-US" w:bidi="ar-SA"/>
        </w:rPr>
        <w:t xml:space="preserve">Juros e Encargos da Dívida, </w:t>
      </w:r>
      <w:r w:rsidRPr="00B42BE7">
        <w:rPr>
          <w:bCs/>
          <w:iCs/>
          <w:color w:val="000000" w:themeColor="text1"/>
          <w:lang w:eastAsia="en-US" w:bidi="ar-SA"/>
        </w:rPr>
        <w:t xml:space="preserve">ocorreram em sua totalidade na </w:t>
      </w:r>
      <w:r w:rsidRPr="00B42BE7">
        <w:rPr>
          <w:color w:val="000000" w:themeColor="text1"/>
          <w:lang w:eastAsia="en-US" w:bidi="ar-SA"/>
        </w:rPr>
        <w:t>Companhia Brasileira de Trens Urbanos referente a pagamento da dívida interna de financiamento de médio e longo prazo.</w:t>
      </w:r>
      <w:r w:rsidRPr="00B42BE7">
        <w:rPr>
          <w:b/>
          <w:color w:val="000000" w:themeColor="text1"/>
          <w:lang w:eastAsia="en-US" w:bidi="ar-SA"/>
        </w:rPr>
        <w:t xml:space="preserve"> </w:t>
      </w:r>
    </w:p>
    <w:p w14:paraId="433F00C3" w14:textId="77777777" w:rsidR="001946F9" w:rsidRPr="00B42BE7" w:rsidRDefault="001946F9" w:rsidP="001946F9">
      <w:pPr>
        <w:jc w:val="both"/>
        <w:rPr>
          <w:b/>
          <w:color w:val="000000" w:themeColor="text1"/>
          <w:lang w:eastAsia="en-US" w:bidi="ar-SA"/>
        </w:rPr>
      </w:pPr>
    </w:p>
    <w:p w14:paraId="630D1693" w14:textId="78572C96" w:rsidR="001946F9" w:rsidRPr="00B42BE7" w:rsidRDefault="001946F9" w:rsidP="001946F9">
      <w:pPr>
        <w:jc w:val="both"/>
        <w:rPr>
          <w:color w:val="000000" w:themeColor="text1"/>
        </w:rPr>
      </w:pPr>
      <w:r w:rsidRPr="00B42BE7">
        <w:rPr>
          <w:rFonts w:cs="Times New Roman"/>
          <w:color w:val="000000" w:themeColor="text1"/>
        </w:rPr>
        <w:t xml:space="preserve">Na rubrica </w:t>
      </w:r>
      <w:r w:rsidRPr="00B42BE7">
        <w:rPr>
          <w:b/>
          <w:i/>
          <w:color w:val="000000" w:themeColor="text1"/>
          <w:lang w:eastAsia="en-US" w:bidi="ar-SA"/>
        </w:rPr>
        <w:t>Outras Despesas Correntes</w:t>
      </w:r>
      <w:r w:rsidRPr="00B42BE7">
        <w:rPr>
          <w:color w:val="000000" w:themeColor="text1"/>
          <w:lang w:eastAsia="en-US" w:bidi="ar-SA"/>
        </w:rPr>
        <w:t xml:space="preserve">, maior execução sequenciada decrescente constada nos </w:t>
      </w:r>
      <w:r w:rsidRPr="00B42BE7">
        <w:rPr>
          <w:color w:val="000000" w:themeColor="text1"/>
          <w:lang w:eastAsia="en-US" w:bidi="ar-SA"/>
        </w:rPr>
        <w:lastRenderedPageBreak/>
        <w:t xml:space="preserve">Órgãos: Ministério do Desenvolvimento Regional; Companhia Brasileira de Trens Urbanos - CBTU; Empresa de Trens Urbanos de Porto Alegre/RS – Trensurb. </w:t>
      </w:r>
    </w:p>
    <w:p w14:paraId="7E022FCD" w14:textId="77777777" w:rsidR="004A28CF" w:rsidRPr="00B42BE7" w:rsidRDefault="004A28CF" w:rsidP="001946F9">
      <w:pPr>
        <w:jc w:val="both"/>
        <w:rPr>
          <w:color w:val="000000" w:themeColor="text1"/>
        </w:rPr>
      </w:pPr>
    </w:p>
    <w:p w14:paraId="34F0D38B" w14:textId="77777777" w:rsidR="001946F9" w:rsidRPr="00667AF2" w:rsidRDefault="001946F9" w:rsidP="001946F9">
      <w:pPr>
        <w:jc w:val="both"/>
        <w:rPr>
          <w:rFonts w:cs="Times New Roman"/>
          <w:b/>
          <w:color w:val="000000" w:themeColor="text1"/>
        </w:rPr>
      </w:pPr>
      <w:r w:rsidRPr="00667AF2">
        <w:rPr>
          <w:rFonts w:cs="Times New Roman"/>
          <w:b/>
          <w:color w:val="000000" w:themeColor="text1"/>
        </w:rPr>
        <w:t>Nota 14 – Despesas de Capital</w:t>
      </w:r>
    </w:p>
    <w:p w14:paraId="15F04FF1" w14:textId="77777777" w:rsidR="001946F9" w:rsidRPr="00667AF2" w:rsidRDefault="001946F9" w:rsidP="001946F9">
      <w:pPr>
        <w:jc w:val="both"/>
        <w:rPr>
          <w:color w:val="000000" w:themeColor="text1"/>
          <w:lang w:eastAsia="en-US" w:bidi="ar-SA"/>
        </w:rPr>
      </w:pPr>
    </w:p>
    <w:p w14:paraId="3F379F3A" w14:textId="77777777" w:rsidR="001946F9" w:rsidRPr="00B42BE7" w:rsidRDefault="001946F9" w:rsidP="001946F9">
      <w:pPr>
        <w:jc w:val="both"/>
        <w:rPr>
          <w:color w:val="000000" w:themeColor="text1"/>
          <w:lang w:eastAsia="en-US" w:bidi="ar-SA"/>
        </w:rPr>
      </w:pPr>
      <w:r w:rsidRPr="00B42BE7">
        <w:rPr>
          <w:color w:val="000000" w:themeColor="text1"/>
          <w:lang w:eastAsia="en-US" w:bidi="ar-SA"/>
        </w:rPr>
        <w:t xml:space="preserve">Da </w:t>
      </w:r>
      <w:r w:rsidRPr="00B42BE7">
        <w:rPr>
          <w:b/>
          <w:i/>
          <w:color w:val="000000" w:themeColor="text1"/>
          <w:lang w:eastAsia="en-US" w:bidi="ar-SA"/>
        </w:rPr>
        <w:t>Dotação Atualizada</w:t>
      </w:r>
      <w:r>
        <w:rPr>
          <w:color w:val="000000" w:themeColor="text1"/>
          <w:lang w:eastAsia="en-US" w:bidi="ar-SA"/>
        </w:rPr>
        <w:t xml:space="preserve"> do Órgão, cerca de R$ 31</w:t>
      </w:r>
      <w:r w:rsidRPr="00B42BE7">
        <w:rPr>
          <w:color w:val="000000" w:themeColor="text1"/>
          <w:lang w:eastAsia="en-US" w:bidi="ar-SA"/>
        </w:rPr>
        <w:t xml:space="preserve"> bilhões, foram reservados para as </w:t>
      </w:r>
      <w:r w:rsidRPr="00B42BE7">
        <w:rPr>
          <w:b/>
          <w:i/>
          <w:color w:val="000000" w:themeColor="text1"/>
          <w:lang w:eastAsia="en-US" w:bidi="ar-SA"/>
        </w:rPr>
        <w:t>Despesas de Capital</w:t>
      </w:r>
      <w:r w:rsidRPr="00B42BE7">
        <w:rPr>
          <w:color w:val="000000" w:themeColor="text1"/>
          <w:lang w:eastAsia="en-US" w:bidi="ar-SA"/>
        </w:rPr>
        <w:t xml:space="preserve">. Compostas pelas despesas empenhadas nas rubricas </w:t>
      </w:r>
      <w:r w:rsidRPr="00B42BE7">
        <w:rPr>
          <w:b/>
          <w:i/>
          <w:color w:val="000000" w:themeColor="text1"/>
          <w:lang w:eastAsia="en-US" w:bidi="ar-SA"/>
        </w:rPr>
        <w:t>Investimentos e Inversões Financeiras</w:t>
      </w:r>
      <w:r w:rsidRPr="00B42BE7">
        <w:rPr>
          <w:color w:val="000000" w:themeColor="text1"/>
          <w:lang w:eastAsia="en-US" w:bidi="ar-SA"/>
        </w:rPr>
        <w:t>, nos percentuais de execução demonstrados a seguir.</w:t>
      </w:r>
    </w:p>
    <w:p w14:paraId="53E44345" w14:textId="77777777" w:rsidR="001946F9" w:rsidRPr="00B42BE7" w:rsidRDefault="001946F9" w:rsidP="001946F9">
      <w:pPr>
        <w:jc w:val="both"/>
        <w:rPr>
          <w:color w:val="000000" w:themeColor="text1"/>
          <w:lang w:eastAsia="en-US" w:bidi="ar-SA"/>
        </w:rPr>
      </w:pPr>
      <w:r w:rsidRPr="00B42BE7">
        <w:rPr>
          <w:color w:val="000000" w:themeColor="text1"/>
          <w:lang w:eastAsia="en-US" w:bidi="ar-SA"/>
        </w:rPr>
        <w:t xml:space="preserve"> </w:t>
      </w:r>
    </w:p>
    <w:tbl>
      <w:tblPr>
        <w:tblW w:w="8920" w:type="dxa"/>
        <w:tblCellMar>
          <w:left w:w="70" w:type="dxa"/>
          <w:right w:w="70" w:type="dxa"/>
        </w:tblCellMar>
        <w:tblLook w:val="04A0" w:firstRow="1" w:lastRow="0" w:firstColumn="1" w:lastColumn="0" w:noHBand="0" w:noVBand="1"/>
      </w:tblPr>
      <w:tblGrid>
        <w:gridCol w:w="3880"/>
        <w:gridCol w:w="1500"/>
        <w:gridCol w:w="1460"/>
        <w:gridCol w:w="2080"/>
      </w:tblGrid>
      <w:tr w:rsidR="001946F9" w:rsidRPr="00B42BE7" w14:paraId="13DA7EE4" w14:textId="77777777" w:rsidTr="001946F9">
        <w:trPr>
          <w:trHeight w:val="255"/>
        </w:trPr>
        <w:tc>
          <w:tcPr>
            <w:tcW w:w="3880" w:type="dxa"/>
            <w:vMerge w:val="restart"/>
            <w:tcBorders>
              <w:top w:val="single" w:sz="8" w:space="0" w:color="000000"/>
              <w:left w:val="nil"/>
              <w:bottom w:val="single" w:sz="8" w:space="0" w:color="000000"/>
              <w:right w:val="nil"/>
            </w:tcBorders>
            <w:shd w:val="clear" w:color="000000" w:fill="D9D9D9"/>
            <w:vAlign w:val="center"/>
            <w:hideMark/>
          </w:tcPr>
          <w:p w14:paraId="76F587AD"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DESPESAS ORÇAMENTÁRIAS</w:t>
            </w:r>
          </w:p>
        </w:tc>
        <w:tc>
          <w:tcPr>
            <w:tcW w:w="1500" w:type="dxa"/>
            <w:vMerge w:val="restart"/>
            <w:tcBorders>
              <w:top w:val="single" w:sz="8" w:space="0" w:color="000000"/>
              <w:left w:val="nil"/>
              <w:bottom w:val="single" w:sz="8" w:space="0" w:color="000000"/>
              <w:right w:val="nil"/>
            </w:tcBorders>
            <w:shd w:val="clear" w:color="000000" w:fill="D9D9D9"/>
            <w:vAlign w:val="center"/>
            <w:hideMark/>
          </w:tcPr>
          <w:p w14:paraId="44630157"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DOTAÇÃO</w:t>
            </w:r>
            <w:proofErr w:type="gramStart"/>
            <w:r w:rsidRPr="00B42BE7">
              <w:rPr>
                <w:rFonts w:eastAsia="Times New Roman" w:cs="Arial"/>
                <w:b/>
                <w:bCs/>
                <w:color w:val="000000" w:themeColor="text1"/>
                <w:kern w:val="0"/>
                <w:sz w:val="16"/>
                <w:szCs w:val="16"/>
                <w:lang w:eastAsia="pt-BR" w:bidi="ar-SA"/>
              </w:rPr>
              <w:t xml:space="preserve">  </w:t>
            </w:r>
            <w:proofErr w:type="gramEnd"/>
            <w:r w:rsidRPr="00B42BE7">
              <w:rPr>
                <w:rFonts w:eastAsia="Times New Roman" w:cs="Arial"/>
                <w:b/>
                <w:bCs/>
                <w:color w:val="000000" w:themeColor="text1"/>
                <w:kern w:val="0"/>
                <w:sz w:val="16"/>
                <w:szCs w:val="16"/>
                <w:lang w:eastAsia="pt-BR" w:bidi="ar-SA"/>
              </w:rPr>
              <w:t>AT</w:t>
            </w:r>
            <w:r w:rsidRPr="00B42BE7">
              <w:rPr>
                <w:rFonts w:eastAsia="Times New Roman" w:cs="Arial"/>
                <w:b/>
                <w:bCs/>
                <w:color w:val="000000" w:themeColor="text1"/>
                <w:kern w:val="0"/>
                <w:sz w:val="16"/>
                <w:szCs w:val="16"/>
                <w:lang w:eastAsia="pt-BR" w:bidi="ar-SA"/>
              </w:rPr>
              <w:t>U</w:t>
            </w:r>
            <w:r w:rsidRPr="00B42BE7">
              <w:rPr>
                <w:rFonts w:eastAsia="Times New Roman" w:cs="Arial"/>
                <w:b/>
                <w:bCs/>
                <w:color w:val="000000" w:themeColor="text1"/>
                <w:kern w:val="0"/>
                <w:sz w:val="16"/>
                <w:szCs w:val="16"/>
                <w:lang w:eastAsia="pt-BR" w:bidi="ar-SA"/>
              </w:rPr>
              <w:t>ALIZADA</w:t>
            </w:r>
          </w:p>
        </w:tc>
        <w:tc>
          <w:tcPr>
            <w:tcW w:w="1460" w:type="dxa"/>
            <w:vMerge w:val="restart"/>
            <w:tcBorders>
              <w:top w:val="single" w:sz="8" w:space="0" w:color="000000"/>
              <w:left w:val="nil"/>
              <w:bottom w:val="single" w:sz="8" w:space="0" w:color="000000"/>
              <w:right w:val="nil"/>
            </w:tcBorders>
            <w:shd w:val="clear" w:color="000000" w:fill="D9D9D9"/>
            <w:vAlign w:val="center"/>
            <w:hideMark/>
          </w:tcPr>
          <w:p w14:paraId="25374C6F"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DESPESAS E</w:t>
            </w:r>
            <w:r w:rsidRPr="00B42BE7">
              <w:rPr>
                <w:rFonts w:eastAsia="Times New Roman" w:cs="Arial"/>
                <w:b/>
                <w:bCs/>
                <w:color w:val="000000" w:themeColor="text1"/>
                <w:kern w:val="0"/>
                <w:sz w:val="16"/>
                <w:szCs w:val="16"/>
                <w:lang w:eastAsia="pt-BR" w:bidi="ar-SA"/>
              </w:rPr>
              <w:t>M</w:t>
            </w:r>
            <w:r w:rsidRPr="00B42BE7">
              <w:rPr>
                <w:rFonts w:eastAsia="Times New Roman" w:cs="Arial"/>
                <w:b/>
                <w:bCs/>
                <w:color w:val="000000" w:themeColor="text1"/>
                <w:kern w:val="0"/>
                <w:sz w:val="16"/>
                <w:szCs w:val="16"/>
                <w:lang w:eastAsia="pt-BR" w:bidi="ar-SA"/>
              </w:rPr>
              <w:t>PENHADAS</w:t>
            </w:r>
          </w:p>
        </w:tc>
        <w:tc>
          <w:tcPr>
            <w:tcW w:w="2080" w:type="dxa"/>
            <w:tcBorders>
              <w:top w:val="single" w:sz="8" w:space="0" w:color="000000"/>
              <w:left w:val="nil"/>
              <w:bottom w:val="nil"/>
              <w:right w:val="nil"/>
            </w:tcBorders>
            <w:shd w:val="clear" w:color="000000" w:fill="D9D9D9"/>
            <w:vAlign w:val="center"/>
            <w:hideMark/>
          </w:tcPr>
          <w:p w14:paraId="557C1265"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ORÇAMENTO</w:t>
            </w:r>
          </w:p>
        </w:tc>
      </w:tr>
      <w:tr w:rsidR="001946F9" w:rsidRPr="00B42BE7" w14:paraId="5927B874" w14:textId="77777777" w:rsidTr="001946F9">
        <w:trPr>
          <w:trHeight w:val="255"/>
        </w:trPr>
        <w:tc>
          <w:tcPr>
            <w:tcW w:w="3880" w:type="dxa"/>
            <w:vMerge/>
            <w:tcBorders>
              <w:top w:val="single" w:sz="8" w:space="0" w:color="000000"/>
              <w:left w:val="nil"/>
              <w:bottom w:val="single" w:sz="8" w:space="0" w:color="000000"/>
              <w:right w:val="nil"/>
            </w:tcBorders>
            <w:vAlign w:val="center"/>
            <w:hideMark/>
          </w:tcPr>
          <w:p w14:paraId="4042AE45"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1500" w:type="dxa"/>
            <w:vMerge/>
            <w:tcBorders>
              <w:top w:val="single" w:sz="8" w:space="0" w:color="000000"/>
              <w:left w:val="nil"/>
              <w:bottom w:val="single" w:sz="8" w:space="0" w:color="000000"/>
              <w:right w:val="nil"/>
            </w:tcBorders>
            <w:vAlign w:val="center"/>
            <w:hideMark/>
          </w:tcPr>
          <w:p w14:paraId="592464CE"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1460" w:type="dxa"/>
            <w:vMerge/>
            <w:tcBorders>
              <w:top w:val="single" w:sz="8" w:space="0" w:color="000000"/>
              <w:left w:val="nil"/>
              <w:bottom w:val="single" w:sz="8" w:space="0" w:color="000000"/>
              <w:right w:val="nil"/>
            </w:tcBorders>
            <w:vAlign w:val="center"/>
            <w:hideMark/>
          </w:tcPr>
          <w:p w14:paraId="643C2793"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2080" w:type="dxa"/>
            <w:tcBorders>
              <w:top w:val="nil"/>
              <w:left w:val="nil"/>
              <w:bottom w:val="nil"/>
              <w:right w:val="nil"/>
            </w:tcBorders>
            <w:shd w:val="clear" w:color="000000" w:fill="D9D9D9"/>
            <w:vAlign w:val="center"/>
            <w:hideMark/>
          </w:tcPr>
          <w:p w14:paraId="72C70C17"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EXECUTADO</w:t>
            </w:r>
          </w:p>
        </w:tc>
      </w:tr>
      <w:tr w:rsidR="001946F9" w:rsidRPr="00B42BE7" w14:paraId="694219FD" w14:textId="77777777" w:rsidTr="001946F9">
        <w:trPr>
          <w:trHeight w:val="270"/>
        </w:trPr>
        <w:tc>
          <w:tcPr>
            <w:tcW w:w="3880" w:type="dxa"/>
            <w:vMerge/>
            <w:tcBorders>
              <w:top w:val="single" w:sz="8" w:space="0" w:color="000000"/>
              <w:left w:val="nil"/>
              <w:bottom w:val="single" w:sz="8" w:space="0" w:color="000000"/>
              <w:right w:val="nil"/>
            </w:tcBorders>
            <w:vAlign w:val="center"/>
            <w:hideMark/>
          </w:tcPr>
          <w:p w14:paraId="63DC1BC5"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1500" w:type="dxa"/>
            <w:vMerge/>
            <w:tcBorders>
              <w:top w:val="single" w:sz="8" w:space="0" w:color="000000"/>
              <w:left w:val="nil"/>
              <w:bottom w:val="single" w:sz="8" w:space="0" w:color="000000"/>
              <w:right w:val="nil"/>
            </w:tcBorders>
            <w:vAlign w:val="center"/>
            <w:hideMark/>
          </w:tcPr>
          <w:p w14:paraId="0E224869"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1460" w:type="dxa"/>
            <w:vMerge/>
            <w:tcBorders>
              <w:top w:val="single" w:sz="8" w:space="0" w:color="000000"/>
              <w:left w:val="nil"/>
              <w:bottom w:val="single" w:sz="8" w:space="0" w:color="000000"/>
              <w:right w:val="nil"/>
            </w:tcBorders>
            <w:vAlign w:val="center"/>
            <w:hideMark/>
          </w:tcPr>
          <w:p w14:paraId="54409093"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p>
        </w:tc>
        <w:tc>
          <w:tcPr>
            <w:tcW w:w="2080" w:type="dxa"/>
            <w:tcBorders>
              <w:top w:val="nil"/>
              <w:left w:val="nil"/>
              <w:bottom w:val="single" w:sz="8" w:space="0" w:color="000000"/>
              <w:right w:val="nil"/>
            </w:tcBorders>
            <w:shd w:val="clear" w:color="000000" w:fill="D9D9D9"/>
            <w:vAlign w:val="center"/>
            <w:hideMark/>
          </w:tcPr>
          <w:p w14:paraId="4BF74C97"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w:t>
            </w:r>
          </w:p>
        </w:tc>
      </w:tr>
      <w:tr w:rsidR="001946F9" w:rsidRPr="00B42BE7" w14:paraId="68C52FAD" w14:textId="77777777" w:rsidTr="001946F9">
        <w:trPr>
          <w:trHeight w:val="270"/>
        </w:trPr>
        <w:tc>
          <w:tcPr>
            <w:tcW w:w="3880" w:type="dxa"/>
            <w:tcBorders>
              <w:top w:val="nil"/>
              <w:left w:val="nil"/>
              <w:bottom w:val="single" w:sz="8" w:space="0" w:color="000000"/>
              <w:right w:val="nil"/>
            </w:tcBorders>
            <w:shd w:val="clear" w:color="000000" w:fill="D9D9D9"/>
            <w:vAlign w:val="center"/>
            <w:hideMark/>
          </w:tcPr>
          <w:p w14:paraId="27EBF6A6"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DESPESAS DE CAPITAL</w:t>
            </w:r>
          </w:p>
        </w:tc>
        <w:tc>
          <w:tcPr>
            <w:tcW w:w="1500" w:type="dxa"/>
            <w:tcBorders>
              <w:top w:val="nil"/>
              <w:left w:val="nil"/>
              <w:bottom w:val="single" w:sz="8" w:space="0" w:color="000000"/>
              <w:right w:val="nil"/>
            </w:tcBorders>
            <w:shd w:val="clear" w:color="000000" w:fill="D9D9D9"/>
            <w:vAlign w:val="center"/>
            <w:hideMark/>
          </w:tcPr>
          <w:p w14:paraId="2261FBD3"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1460" w:type="dxa"/>
            <w:tcBorders>
              <w:top w:val="nil"/>
              <w:left w:val="nil"/>
              <w:bottom w:val="single" w:sz="8" w:space="0" w:color="000000"/>
              <w:right w:val="nil"/>
            </w:tcBorders>
            <w:shd w:val="clear" w:color="000000" w:fill="D9D9D9"/>
            <w:vAlign w:val="center"/>
            <w:hideMark/>
          </w:tcPr>
          <w:p w14:paraId="24068600"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c>
          <w:tcPr>
            <w:tcW w:w="2080" w:type="dxa"/>
            <w:tcBorders>
              <w:top w:val="nil"/>
              <w:left w:val="nil"/>
              <w:bottom w:val="single" w:sz="8" w:space="0" w:color="000000"/>
              <w:right w:val="nil"/>
            </w:tcBorders>
            <w:shd w:val="clear" w:color="000000" w:fill="D9D9D9"/>
            <w:vAlign w:val="center"/>
            <w:hideMark/>
          </w:tcPr>
          <w:p w14:paraId="294F7841"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r>
      <w:tr w:rsidR="001946F9" w:rsidRPr="00B42BE7" w14:paraId="38CCDC1E" w14:textId="77777777" w:rsidTr="001946F9">
        <w:trPr>
          <w:trHeight w:val="255"/>
        </w:trPr>
        <w:tc>
          <w:tcPr>
            <w:tcW w:w="3880" w:type="dxa"/>
            <w:tcBorders>
              <w:top w:val="nil"/>
              <w:left w:val="nil"/>
              <w:bottom w:val="nil"/>
              <w:right w:val="nil"/>
            </w:tcBorders>
            <w:shd w:val="clear" w:color="auto" w:fill="auto"/>
            <w:vAlign w:val="center"/>
            <w:hideMark/>
          </w:tcPr>
          <w:p w14:paraId="6FC2E66C" w14:textId="77777777" w:rsidR="001946F9" w:rsidRPr="00B42BE7" w:rsidRDefault="001946F9" w:rsidP="001946F9">
            <w:pPr>
              <w:widowControl/>
              <w:suppressAutoHyphens w:val="0"/>
              <w:autoSpaceDN/>
              <w:rPr>
                <w:rFonts w:eastAsia="Times New Roman" w:cs="Times New Roman"/>
                <w:i/>
                <w:iCs/>
                <w:color w:val="000000" w:themeColor="text1"/>
                <w:kern w:val="0"/>
                <w:sz w:val="18"/>
                <w:szCs w:val="18"/>
                <w:lang w:eastAsia="pt-BR" w:bidi="ar-SA"/>
              </w:rPr>
            </w:pPr>
            <w:r w:rsidRPr="00B42BE7">
              <w:rPr>
                <w:rFonts w:eastAsia="Times New Roman" w:cs="Times New Roman"/>
                <w:i/>
                <w:iCs/>
                <w:color w:val="000000" w:themeColor="text1"/>
                <w:kern w:val="0"/>
                <w:sz w:val="18"/>
                <w:szCs w:val="18"/>
                <w:lang w:eastAsia="pt-BR" w:bidi="ar-SA"/>
              </w:rPr>
              <w:t>Investimentos</w:t>
            </w:r>
          </w:p>
        </w:tc>
        <w:tc>
          <w:tcPr>
            <w:tcW w:w="1500" w:type="dxa"/>
            <w:tcBorders>
              <w:top w:val="nil"/>
              <w:left w:val="nil"/>
              <w:bottom w:val="nil"/>
              <w:right w:val="nil"/>
            </w:tcBorders>
            <w:shd w:val="clear" w:color="auto" w:fill="auto"/>
            <w:vAlign w:val="center"/>
            <w:hideMark/>
          </w:tcPr>
          <w:p w14:paraId="230EB0A0"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B42BE7">
              <w:rPr>
                <w:rFonts w:eastAsia="Times New Roman" w:cs="Times New Roman"/>
                <w:color w:val="000000" w:themeColor="text1"/>
                <w:kern w:val="0"/>
                <w:sz w:val="16"/>
                <w:szCs w:val="16"/>
                <w:lang w:eastAsia="pt-BR" w:bidi="ar-SA"/>
              </w:rPr>
              <w:t xml:space="preserve">  </w:t>
            </w:r>
            <w:r w:rsidRPr="00A166F3">
              <w:rPr>
                <w:rFonts w:eastAsia="Times New Roman" w:cs="Times New Roman"/>
                <w:color w:val="000000" w:themeColor="text1"/>
                <w:kern w:val="0"/>
                <w:sz w:val="16"/>
                <w:szCs w:val="16"/>
                <w:lang w:eastAsia="pt-BR" w:bidi="ar-SA"/>
              </w:rPr>
              <w:t>11</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886</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431</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604</w:t>
            </w:r>
            <w:r>
              <w:rPr>
                <w:rFonts w:eastAsia="Times New Roman" w:cs="Times New Roman"/>
                <w:color w:val="000000" w:themeColor="text1"/>
                <w:kern w:val="0"/>
                <w:sz w:val="16"/>
                <w:szCs w:val="16"/>
                <w:lang w:eastAsia="pt-BR" w:bidi="ar-SA"/>
              </w:rPr>
              <w:t>,00</w:t>
            </w:r>
          </w:p>
        </w:tc>
        <w:tc>
          <w:tcPr>
            <w:tcW w:w="1460" w:type="dxa"/>
            <w:tcBorders>
              <w:top w:val="nil"/>
              <w:left w:val="nil"/>
              <w:bottom w:val="nil"/>
              <w:right w:val="nil"/>
            </w:tcBorders>
            <w:shd w:val="clear" w:color="auto" w:fill="auto"/>
            <w:vAlign w:val="center"/>
            <w:hideMark/>
          </w:tcPr>
          <w:p w14:paraId="059AB97A"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A166F3">
              <w:rPr>
                <w:rFonts w:eastAsia="Times New Roman" w:cs="Times New Roman"/>
                <w:color w:val="000000" w:themeColor="text1"/>
                <w:kern w:val="0"/>
                <w:sz w:val="16"/>
                <w:szCs w:val="16"/>
                <w:lang w:eastAsia="pt-BR" w:bidi="ar-SA"/>
              </w:rPr>
              <w:t>11</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196</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516</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413,39</w:t>
            </w:r>
          </w:p>
        </w:tc>
        <w:tc>
          <w:tcPr>
            <w:tcW w:w="2080" w:type="dxa"/>
            <w:tcBorders>
              <w:top w:val="nil"/>
              <w:left w:val="nil"/>
              <w:bottom w:val="nil"/>
              <w:right w:val="nil"/>
            </w:tcBorders>
            <w:shd w:val="clear" w:color="auto" w:fill="auto"/>
            <w:vAlign w:val="center"/>
            <w:hideMark/>
          </w:tcPr>
          <w:p w14:paraId="1BCA3E83" w14:textId="77777777" w:rsidR="001946F9" w:rsidRPr="00B42BE7" w:rsidRDefault="001946F9" w:rsidP="001946F9">
            <w:pPr>
              <w:widowControl/>
              <w:suppressAutoHyphens w:val="0"/>
              <w:autoSpaceDN/>
              <w:rPr>
                <w:rFonts w:eastAsia="Times New Roman" w:cs="Arial"/>
                <w:color w:val="000000" w:themeColor="text1"/>
                <w:kern w:val="0"/>
                <w:sz w:val="16"/>
                <w:szCs w:val="16"/>
                <w:lang w:eastAsia="pt-BR" w:bidi="ar-SA"/>
              </w:rPr>
            </w:pPr>
            <w:r>
              <w:rPr>
                <w:rFonts w:eastAsia="Times New Roman" w:cs="Arial"/>
                <w:color w:val="000000" w:themeColor="text1"/>
                <w:kern w:val="0"/>
                <w:sz w:val="16"/>
                <w:szCs w:val="16"/>
                <w:lang w:eastAsia="pt-BR" w:bidi="ar-SA"/>
              </w:rPr>
              <w:t xml:space="preserve">                  94,20</w:t>
            </w:r>
            <w:r w:rsidRPr="00B42BE7">
              <w:rPr>
                <w:rFonts w:eastAsia="Times New Roman" w:cs="Arial"/>
                <w:color w:val="000000" w:themeColor="text1"/>
                <w:kern w:val="0"/>
                <w:sz w:val="16"/>
                <w:szCs w:val="16"/>
                <w:lang w:eastAsia="pt-BR" w:bidi="ar-SA"/>
              </w:rPr>
              <w:t>%</w:t>
            </w:r>
          </w:p>
        </w:tc>
      </w:tr>
      <w:tr w:rsidR="001946F9" w:rsidRPr="00B42BE7" w14:paraId="100EA82D" w14:textId="77777777" w:rsidTr="001946F9">
        <w:trPr>
          <w:trHeight w:val="270"/>
        </w:trPr>
        <w:tc>
          <w:tcPr>
            <w:tcW w:w="3880" w:type="dxa"/>
            <w:tcBorders>
              <w:top w:val="nil"/>
              <w:left w:val="nil"/>
              <w:bottom w:val="nil"/>
              <w:right w:val="nil"/>
            </w:tcBorders>
            <w:shd w:val="clear" w:color="auto" w:fill="auto"/>
            <w:vAlign w:val="center"/>
            <w:hideMark/>
          </w:tcPr>
          <w:p w14:paraId="26252B0A" w14:textId="77777777" w:rsidR="001946F9" w:rsidRPr="00B42BE7" w:rsidRDefault="001946F9" w:rsidP="001946F9">
            <w:pPr>
              <w:widowControl/>
              <w:suppressAutoHyphens w:val="0"/>
              <w:autoSpaceDN/>
              <w:rPr>
                <w:rFonts w:eastAsia="Times New Roman" w:cs="Times New Roman"/>
                <w:i/>
                <w:iCs/>
                <w:color w:val="000000" w:themeColor="text1"/>
                <w:kern w:val="0"/>
                <w:sz w:val="18"/>
                <w:szCs w:val="18"/>
                <w:lang w:eastAsia="pt-BR" w:bidi="ar-SA"/>
              </w:rPr>
            </w:pPr>
            <w:r w:rsidRPr="00B42BE7">
              <w:rPr>
                <w:rFonts w:eastAsia="Times New Roman" w:cs="Times New Roman"/>
                <w:i/>
                <w:iCs/>
                <w:color w:val="000000" w:themeColor="text1"/>
                <w:kern w:val="0"/>
                <w:sz w:val="18"/>
                <w:szCs w:val="18"/>
                <w:lang w:eastAsia="pt-BR" w:bidi="ar-SA"/>
              </w:rPr>
              <w:t>Inversões Financeiras</w:t>
            </w:r>
          </w:p>
        </w:tc>
        <w:tc>
          <w:tcPr>
            <w:tcW w:w="1500" w:type="dxa"/>
            <w:tcBorders>
              <w:top w:val="nil"/>
              <w:left w:val="nil"/>
              <w:bottom w:val="nil"/>
              <w:right w:val="nil"/>
            </w:tcBorders>
            <w:shd w:val="clear" w:color="auto" w:fill="auto"/>
            <w:vAlign w:val="center"/>
            <w:hideMark/>
          </w:tcPr>
          <w:p w14:paraId="7AF0E4B0"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Pr>
                <w:rFonts w:eastAsia="Times New Roman" w:cs="Times New Roman"/>
                <w:color w:val="000000" w:themeColor="text1"/>
                <w:kern w:val="0"/>
                <w:sz w:val="16"/>
                <w:szCs w:val="16"/>
                <w:lang w:eastAsia="pt-BR" w:bidi="ar-SA"/>
              </w:rPr>
              <w:t xml:space="preserve">  </w:t>
            </w:r>
            <w:r w:rsidRPr="00A166F3">
              <w:rPr>
                <w:rFonts w:eastAsia="Times New Roman" w:cs="Times New Roman"/>
                <w:color w:val="000000" w:themeColor="text1"/>
                <w:kern w:val="0"/>
                <w:sz w:val="16"/>
                <w:szCs w:val="16"/>
                <w:lang w:eastAsia="pt-BR" w:bidi="ar-SA"/>
              </w:rPr>
              <w:t>19</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373</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894</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424</w:t>
            </w:r>
            <w:r>
              <w:rPr>
                <w:rFonts w:eastAsia="Times New Roman" w:cs="Times New Roman"/>
                <w:color w:val="000000" w:themeColor="text1"/>
                <w:kern w:val="0"/>
                <w:sz w:val="16"/>
                <w:szCs w:val="16"/>
                <w:lang w:eastAsia="pt-BR" w:bidi="ar-SA"/>
              </w:rPr>
              <w:t>,00</w:t>
            </w:r>
          </w:p>
        </w:tc>
        <w:tc>
          <w:tcPr>
            <w:tcW w:w="1460" w:type="dxa"/>
            <w:tcBorders>
              <w:top w:val="nil"/>
              <w:left w:val="nil"/>
              <w:bottom w:val="nil"/>
              <w:right w:val="nil"/>
            </w:tcBorders>
            <w:shd w:val="clear" w:color="auto" w:fill="auto"/>
            <w:vAlign w:val="center"/>
            <w:hideMark/>
          </w:tcPr>
          <w:p w14:paraId="06822DC6"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sidRPr="00A166F3">
              <w:rPr>
                <w:rFonts w:eastAsia="Times New Roman" w:cs="Times New Roman"/>
                <w:color w:val="000000" w:themeColor="text1"/>
                <w:kern w:val="0"/>
                <w:sz w:val="16"/>
                <w:szCs w:val="16"/>
                <w:lang w:eastAsia="pt-BR" w:bidi="ar-SA"/>
              </w:rPr>
              <w:t>17</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117</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405</w:t>
            </w:r>
            <w:r>
              <w:rPr>
                <w:rFonts w:eastAsia="Times New Roman" w:cs="Times New Roman"/>
                <w:color w:val="000000" w:themeColor="text1"/>
                <w:kern w:val="0"/>
                <w:sz w:val="16"/>
                <w:szCs w:val="16"/>
                <w:lang w:eastAsia="pt-BR" w:bidi="ar-SA"/>
              </w:rPr>
              <w:t>.</w:t>
            </w:r>
            <w:r w:rsidRPr="00A166F3">
              <w:rPr>
                <w:rFonts w:eastAsia="Times New Roman" w:cs="Times New Roman"/>
                <w:color w:val="000000" w:themeColor="text1"/>
                <w:kern w:val="0"/>
                <w:sz w:val="16"/>
                <w:szCs w:val="16"/>
                <w:lang w:eastAsia="pt-BR" w:bidi="ar-SA"/>
              </w:rPr>
              <w:t>507,95</w:t>
            </w:r>
          </w:p>
        </w:tc>
        <w:tc>
          <w:tcPr>
            <w:tcW w:w="2080" w:type="dxa"/>
            <w:tcBorders>
              <w:top w:val="nil"/>
              <w:left w:val="nil"/>
              <w:bottom w:val="nil"/>
              <w:right w:val="nil"/>
            </w:tcBorders>
            <w:shd w:val="clear" w:color="auto" w:fill="auto"/>
            <w:vAlign w:val="center"/>
            <w:hideMark/>
          </w:tcPr>
          <w:p w14:paraId="4B22C5E4" w14:textId="77777777" w:rsidR="001946F9" w:rsidRPr="00B42BE7" w:rsidRDefault="001946F9" w:rsidP="001946F9">
            <w:pPr>
              <w:widowControl/>
              <w:suppressAutoHyphens w:val="0"/>
              <w:autoSpaceDN/>
              <w:jc w:val="center"/>
              <w:rPr>
                <w:rFonts w:eastAsia="Times New Roman" w:cs="Times New Roman"/>
                <w:color w:val="000000" w:themeColor="text1"/>
                <w:kern w:val="0"/>
                <w:sz w:val="16"/>
                <w:szCs w:val="16"/>
                <w:lang w:eastAsia="pt-BR" w:bidi="ar-SA"/>
              </w:rPr>
            </w:pPr>
            <w:r>
              <w:rPr>
                <w:rFonts w:eastAsia="Times New Roman" w:cs="Times New Roman"/>
                <w:color w:val="000000" w:themeColor="text1"/>
                <w:kern w:val="0"/>
                <w:sz w:val="16"/>
                <w:szCs w:val="16"/>
                <w:lang w:eastAsia="pt-BR" w:bidi="ar-SA"/>
              </w:rPr>
              <w:t>88,35</w:t>
            </w:r>
            <w:r w:rsidRPr="00B42BE7">
              <w:rPr>
                <w:rFonts w:eastAsia="Times New Roman" w:cs="Times New Roman"/>
                <w:color w:val="000000" w:themeColor="text1"/>
                <w:kern w:val="0"/>
                <w:sz w:val="16"/>
                <w:szCs w:val="16"/>
                <w:lang w:eastAsia="pt-BR" w:bidi="ar-SA"/>
              </w:rPr>
              <w:t>%</w:t>
            </w:r>
          </w:p>
        </w:tc>
      </w:tr>
      <w:tr w:rsidR="001946F9" w:rsidRPr="00B42BE7" w14:paraId="70AAA634" w14:textId="77777777" w:rsidTr="001946F9">
        <w:trPr>
          <w:trHeight w:val="270"/>
        </w:trPr>
        <w:tc>
          <w:tcPr>
            <w:tcW w:w="3880" w:type="dxa"/>
            <w:tcBorders>
              <w:top w:val="single" w:sz="8" w:space="0" w:color="000000"/>
              <w:left w:val="nil"/>
              <w:bottom w:val="single" w:sz="8" w:space="0" w:color="000000"/>
              <w:right w:val="nil"/>
            </w:tcBorders>
            <w:shd w:val="clear" w:color="000000" w:fill="D9D9D9"/>
            <w:vAlign w:val="center"/>
            <w:hideMark/>
          </w:tcPr>
          <w:p w14:paraId="1D5692DA"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Total</w:t>
            </w:r>
          </w:p>
        </w:tc>
        <w:tc>
          <w:tcPr>
            <w:tcW w:w="1500" w:type="dxa"/>
            <w:tcBorders>
              <w:top w:val="single" w:sz="8" w:space="0" w:color="000000"/>
              <w:left w:val="nil"/>
              <w:bottom w:val="single" w:sz="8" w:space="0" w:color="000000"/>
              <w:right w:val="nil"/>
            </w:tcBorders>
            <w:shd w:val="clear" w:color="000000" w:fill="D9D9D9"/>
            <w:vAlign w:val="center"/>
            <w:hideMark/>
          </w:tcPr>
          <w:p w14:paraId="1D4C7A22"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Pr>
                <w:rFonts w:eastAsia="Times New Roman" w:cs="Arial"/>
                <w:b/>
                <w:bCs/>
                <w:color w:val="000000" w:themeColor="text1"/>
                <w:kern w:val="0"/>
                <w:sz w:val="16"/>
                <w:szCs w:val="16"/>
                <w:lang w:eastAsia="pt-BR" w:bidi="ar-SA"/>
              </w:rPr>
              <w:t xml:space="preserve">  31.260.326.028,00</w:t>
            </w:r>
          </w:p>
        </w:tc>
        <w:tc>
          <w:tcPr>
            <w:tcW w:w="1460" w:type="dxa"/>
            <w:tcBorders>
              <w:top w:val="single" w:sz="8" w:space="0" w:color="000000"/>
              <w:left w:val="nil"/>
              <w:bottom w:val="single" w:sz="8" w:space="0" w:color="000000"/>
              <w:right w:val="nil"/>
            </w:tcBorders>
            <w:shd w:val="clear" w:color="000000" w:fill="D9D9D9"/>
            <w:vAlign w:val="center"/>
            <w:hideMark/>
          </w:tcPr>
          <w:p w14:paraId="19F62207" w14:textId="77777777" w:rsidR="001946F9" w:rsidRPr="00B42BE7" w:rsidRDefault="001946F9" w:rsidP="001946F9">
            <w:pPr>
              <w:widowControl/>
              <w:suppressAutoHyphens w:val="0"/>
              <w:autoSpaceDN/>
              <w:jc w:val="center"/>
              <w:rPr>
                <w:rFonts w:eastAsia="Times New Roman" w:cs="Times New Roman"/>
                <w:b/>
                <w:bCs/>
                <w:color w:val="000000" w:themeColor="text1"/>
                <w:kern w:val="0"/>
                <w:sz w:val="16"/>
                <w:szCs w:val="16"/>
                <w:lang w:eastAsia="pt-BR" w:bidi="ar-SA"/>
              </w:rPr>
            </w:pPr>
            <w:r>
              <w:rPr>
                <w:rFonts w:eastAsia="Times New Roman" w:cs="Arial"/>
                <w:b/>
                <w:bCs/>
                <w:color w:val="000000" w:themeColor="text1"/>
                <w:kern w:val="0"/>
                <w:sz w:val="16"/>
                <w:szCs w:val="16"/>
                <w:lang w:eastAsia="pt-BR" w:bidi="ar-SA"/>
              </w:rPr>
              <w:t>28.313.921.921,34</w:t>
            </w:r>
          </w:p>
        </w:tc>
        <w:tc>
          <w:tcPr>
            <w:tcW w:w="2080" w:type="dxa"/>
            <w:tcBorders>
              <w:top w:val="single" w:sz="8" w:space="0" w:color="000000"/>
              <w:left w:val="nil"/>
              <w:bottom w:val="single" w:sz="8" w:space="0" w:color="000000"/>
              <w:right w:val="nil"/>
            </w:tcBorders>
            <w:shd w:val="clear" w:color="000000" w:fill="D9D9D9"/>
            <w:vAlign w:val="center"/>
            <w:hideMark/>
          </w:tcPr>
          <w:p w14:paraId="12841873" w14:textId="77777777" w:rsidR="001946F9" w:rsidRPr="00B42BE7" w:rsidRDefault="001946F9" w:rsidP="001946F9">
            <w:pPr>
              <w:widowControl/>
              <w:suppressAutoHyphens w:val="0"/>
              <w:autoSpaceDN/>
              <w:rPr>
                <w:rFonts w:eastAsia="Times New Roman" w:cs="Times New Roman"/>
                <w:b/>
                <w:bCs/>
                <w:color w:val="000000" w:themeColor="text1"/>
                <w:kern w:val="0"/>
                <w:sz w:val="16"/>
                <w:szCs w:val="16"/>
                <w:lang w:eastAsia="pt-BR" w:bidi="ar-SA"/>
              </w:rPr>
            </w:pPr>
            <w:r w:rsidRPr="00B42BE7">
              <w:rPr>
                <w:rFonts w:eastAsia="Times New Roman" w:cs="Arial"/>
                <w:b/>
                <w:bCs/>
                <w:color w:val="000000" w:themeColor="text1"/>
                <w:kern w:val="0"/>
                <w:sz w:val="16"/>
                <w:szCs w:val="16"/>
                <w:lang w:eastAsia="pt-BR" w:bidi="ar-SA"/>
              </w:rPr>
              <w:t> </w:t>
            </w:r>
          </w:p>
        </w:tc>
      </w:tr>
    </w:tbl>
    <w:p w14:paraId="5DB6FC18" w14:textId="77777777" w:rsidR="001946F9" w:rsidRPr="00B42BE7" w:rsidRDefault="001946F9" w:rsidP="001946F9">
      <w:pPr>
        <w:jc w:val="both"/>
        <w:rPr>
          <w:color w:val="000000" w:themeColor="text1"/>
          <w:lang w:eastAsia="en-US" w:bidi="ar-SA"/>
        </w:rPr>
      </w:pPr>
    </w:p>
    <w:p w14:paraId="4FF21170" w14:textId="77777777" w:rsidR="001946F9" w:rsidRPr="00B42BE7" w:rsidRDefault="001946F9" w:rsidP="001946F9">
      <w:pPr>
        <w:jc w:val="both"/>
        <w:rPr>
          <w:color w:val="000000" w:themeColor="text1"/>
          <w:lang w:eastAsia="en-US" w:bidi="ar-SA"/>
        </w:rPr>
      </w:pPr>
    </w:p>
    <w:p w14:paraId="1493E509" w14:textId="77777777" w:rsidR="001946F9" w:rsidRPr="00B42BE7" w:rsidRDefault="001946F9" w:rsidP="001946F9">
      <w:pPr>
        <w:jc w:val="both"/>
        <w:rPr>
          <w:color w:val="000000" w:themeColor="text1"/>
          <w:lang w:eastAsia="en-US" w:bidi="ar-SA"/>
        </w:rPr>
      </w:pPr>
      <w:r w:rsidRPr="00B42BE7">
        <w:rPr>
          <w:color w:val="000000" w:themeColor="text1"/>
          <w:lang w:eastAsia="en-US" w:bidi="ar-SA"/>
        </w:rPr>
        <w:t xml:space="preserve">As despesas realizadas com </w:t>
      </w:r>
      <w:r w:rsidRPr="00B42BE7">
        <w:rPr>
          <w:rFonts w:cs="Times New Roman"/>
          <w:b/>
          <w:i/>
          <w:color w:val="000000" w:themeColor="text1"/>
        </w:rPr>
        <w:t>Investimentos</w:t>
      </w:r>
      <w:r>
        <w:rPr>
          <w:rFonts w:cs="Times New Roman"/>
          <w:color w:val="000000" w:themeColor="text1"/>
        </w:rPr>
        <w:t xml:space="preserve"> atingiram o montante de R$ 11,8 bilhões, correspondendo a 94,20</w:t>
      </w:r>
      <w:r w:rsidRPr="00B42BE7">
        <w:rPr>
          <w:rFonts w:cs="Times New Roman"/>
          <w:color w:val="000000" w:themeColor="text1"/>
        </w:rPr>
        <w:t xml:space="preserve">% da </w:t>
      </w:r>
      <w:r w:rsidRPr="00B42BE7">
        <w:rPr>
          <w:rFonts w:cs="Times New Roman"/>
          <w:b/>
          <w:i/>
          <w:color w:val="000000" w:themeColor="text1"/>
        </w:rPr>
        <w:t>Dotação Atualizada</w:t>
      </w:r>
      <w:r w:rsidRPr="00B42BE7">
        <w:rPr>
          <w:rFonts w:cs="Times New Roman"/>
          <w:color w:val="000000" w:themeColor="text1"/>
        </w:rPr>
        <w:t xml:space="preserve"> na rubrica. Desse montante, grande parte das referidas despesas foram identificadas de forma decrescente de valores, em percentual sobre a despesa empenha total, nos seguintes Órgãos: </w:t>
      </w:r>
      <w:r w:rsidRPr="00B42BE7">
        <w:rPr>
          <w:color w:val="000000" w:themeColor="text1"/>
          <w:lang w:eastAsia="en-US" w:bidi="ar-SA"/>
        </w:rPr>
        <w:t>Ministério do Desenvolvimento Regional</w:t>
      </w:r>
      <w:r w:rsidRPr="00B42BE7">
        <w:rPr>
          <w:rFonts w:cs="Times New Roman"/>
          <w:color w:val="000000" w:themeColor="text1"/>
        </w:rPr>
        <w:t xml:space="preserve"> e na </w:t>
      </w:r>
      <w:r w:rsidRPr="00B42BE7">
        <w:rPr>
          <w:color w:val="000000" w:themeColor="text1"/>
          <w:lang w:eastAsia="en-US" w:bidi="ar-SA"/>
        </w:rPr>
        <w:t xml:space="preserve">Companhia de Desenvolvimento dos Vales do São Francisco. </w:t>
      </w:r>
      <w:r w:rsidRPr="00B42BE7">
        <w:rPr>
          <w:rFonts w:cs="Times New Roman"/>
          <w:color w:val="000000" w:themeColor="text1"/>
        </w:rPr>
        <w:t xml:space="preserve"> Destaque para execução da despesa no MDR, tendo em vista relevância nos investimentos realizados pela Secretaria Nacional de Segurança Hídrica, Secretaria Nacional de Defesa Civil e Secretaria Nacional de Desenvolvimento Regional e Urbano. </w:t>
      </w:r>
    </w:p>
    <w:p w14:paraId="08C63A9A" w14:textId="77777777" w:rsidR="001946F9" w:rsidRPr="00B42BE7" w:rsidRDefault="001946F9" w:rsidP="001946F9">
      <w:pPr>
        <w:jc w:val="both"/>
        <w:rPr>
          <w:color w:val="000000" w:themeColor="text1"/>
          <w:lang w:eastAsia="en-US" w:bidi="ar-SA"/>
        </w:rPr>
      </w:pPr>
    </w:p>
    <w:p w14:paraId="37C2DF7E" w14:textId="43567F29" w:rsidR="001946F9" w:rsidRPr="00B42BE7" w:rsidRDefault="001946F9" w:rsidP="001946F9">
      <w:pPr>
        <w:jc w:val="both"/>
        <w:rPr>
          <w:rFonts w:cs="Times New Roman"/>
          <w:color w:val="000000" w:themeColor="text1"/>
        </w:rPr>
      </w:pPr>
      <w:r w:rsidRPr="00B42BE7">
        <w:rPr>
          <w:color w:val="000000" w:themeColor="text1"/>
          <w:lang w:eastAsia="en-US" w:bidi="ar-SA"/>
        </w:rPr>
        <w:t xml:space="preserve">As despesas com </w:t>
      </w:r>
      <w:r w:rsidRPr="00B42BE7">
        <w:rPr>
          <w:rFonts w:cs="Times New Roman"/>
          <w:b/>
          <w:i/>
          <w:color w:val="000000" w:themeColor="text1"/>
        </w:rPr>
        <w:t>Inversões financeiras</w:t>
      </w:r>
      <w:r w:rsidRPr="00B42BE7">
        <w:rPr>
          <w:rFonts w:cs="Times New Roman"/>
          <w:color w:val="000000" w:themeColor="text1"/>
        </w:rPr>
        <w:t xml:space="preserve"> lideraram as </w:t>
      </w:r>
      <w:r w:rsidRPr="00B42BE7">
        <w:rPr>
          <w:rFonts w:cs="Times New Roman"/>
          <w:b/>
          <w:i/>
          <w:color w:val="000000" w:themeColor="text1"/>
        </w:rPr>
        <w:t>Despesas de Capital empenhadas</w:t>
      </w:r>
      <w:r w:rsidRPr="00B42BE7">
        <w:rPr>
          <w:rFonts w:cs="Times New Roman"/>
          <w:color w:val="000000" w:themeColor="text1"/>
        </w:rPr>
        <w:t xml:space="preserve">, alcançaram o montante de R$ </w:t>
      </w:r>
      <w:r>
        <w:rPr>
          <w:rFonts w:cs="Times New Roman"/>
          <w:color w:val="000000" w:themeColor="text1"/>
        </w:rPr>
        <w:t>19 bilhões, o equivalente a 88,35</w:t>
      </w:r>
      <w:r w:rsidRPr="00B42BE7">
        <w:rPr>
          <w:rFonts w:cs="Times New Roman"/>
          <w:color w:val="000000" w:themeColor="text1"/>
        </w:rPr>
        <w:t xml:space="preserve">% da </w:t>
      </w:r>
      <w:r w:rsidRPr="00B42BE7">
        <w:rPr>
          <w:rFonts w:cs="Times New Roman"/>
          <w:b/>
          <w:i/>
          <w:color w:val="000000" w:themeColor="text1"/>
        </w:rPr>
        <w:t>Dotação Atualizada</w:t>
      </w:r>
      <w:r w:rsidRPr="00B42BE7">
        <w:rPr>
          <w:rFonts w:cs="Times New Roman"/>
          <w:color w:val="000000" w:themeColor="text1"/>
        </w:rPr>
        <w:t xml:space="preserve">. Essas despesas foram identificadas, a valores decrescentes de realização, basicamente, nos seguintes Órgãos: Fundo Constitucional de Financiamento do Nordeste; Fundo Constitucional de Financiamento do Norte e Fundo Constitucional de Financiamento do Centro-Oeste. </w:t>
      </w:r>
    </w:p>
    <w:p w14:paraId="4A04AB6E" w14:textId="77777777" w:rsidR="001946F9" w:rsidRPr="00B42BE7" w:rsidRDefault="001946F9" w:rsidP="001946F9">
      <w:pPr>
        <w:jc w:val="both"/>
        <w:rPr>
          <w:rFonts w:cs="Times New Roman"/>
          <w:color w:val="000000" w:themeColor="text1"/>
        </w:rPr>
      </w:pPr>
    </w:p>
    <w:p w14:paraId="30317FD1" w14:textId="77777777" w:rsidR="001946F9" w:rsidRPr="00B42BE7" w:rsidRDefault="001946F9" w:rsidP="001946F9">
      <w:pPr>
        <w:jc w:val="both"/>
        <w:rPr>
          <w:rFonts w:cs="Times New Roman"/>
          <w:color w:val="000000" w:themeColor="text1"/>
        </w:rPr>
      </w:pPr>
      <w:r w:rsidRPr="00B42BE7">
        <w:rPr>
          <w:rFonts w:cs="Times New Roman"/>
          <w:color w:val="000000" w:themeColor="text1"/>
        </w:rPr>
        <w:t xml:space="preserve">Os registros contábeis das despesas empenhadas a título de </w:t>
      </w:r>
      <w:r w:rsidRPr="00B42BE7">
        <w:rPr>
          <w:rFonts w:cs="Times New Roman"/>
          <w:b/>
          <w:i/>
          <w:color w:val="000000" w:themeColor="text1"/>
        </w:rPr>
        <w:t>Inversões Financeiras</w:t>
      </w:r>
      <w:r w:rsidRPr="00B42BE7">
        <w:rPr>
          <w:rFonts w:cs="Times New Roman"/>
          <w:color w:val="000000" w:themeColor="text1"/>
        </w:rPr>
        <w:t xml:space="preserve"> realizados nos Fundos Constitucionais apontaram para grande volume de recebimento de recursos os quais foram executados e repassados aos seus respectivos agentes financeiros (bancos), visando a realização de financiamentos concedidos, objeto das atividades fins dos citados Fundos. </w:t>
      </w:r>
    </w:p>
    <w:p w14:paraId="76013B21" w14:textId="77777777" w:rsidR="001946F9" w:rsidRPr="00B42BE7" w:rsidRDefault="001946F9" w:rsidP="001946F9">
      <w:pPr>
        <w:jc w:val="right"/>
        <w:rPr>
          <w:color w:val="000000" w:themeColor="text1"/>
        </w:rPr>
      </w:pPr>
    </w:p>
    <w:p w14:paraId="284668C3" w14:textId="77777777" w:rsidR="001946F9" w:rsidRPr="00B42BE7" w:rsidRDefault="001946F9" w:rsidP="001946F9">
      <w:pPr>
        <w:rPr>
          <w:color w:val="000000" w:themeColor="text1"/>
        </w:rPr>
      </w:pPr>
    </w:p>
    <w:p w14:paraId="302DB969" w14:textId="77777777" w:rsidR="001946F9" w:rsidRPr="00D32EBF" w:rsidRDefault="001946F9" w:rsidP="001946F9">
      <w:pPr>
        <w:rPr>
          <w:b/>
          <w:color w:val="000000" w:themeColor="text1"/>
        </w:rPr>
      </w:pPr>
      <w:r w:rsidRPr="00D32EBF">
        <w:rPr>
          <w:b/>
          <w:color w:val="000000" w:themeColor="text1"/>
        </w:rPr>
        <w:t xml:space="preserve">Nota </w:t>
      </w:r>
      <w:r>
        <w:rPr>
          <w:b/>
          <w:color w:val="000000" w:themeColor="text1"/>
        </w:rPr>
        <w:t>15</w:t>
      </w:r>
      <w:r w:rsidRPr="00D32EBF">
        <w:rPr>
          <w:b/>
          <w:color w:val="000000" w:themeColor="text1"/>
        </w:rPr>
        <w:t xml:space="preserve"> - Reserva de Contingência </w:t>
      </w:r>
    </w:p>
    <w:p w14:paraId="652ED04D" w14:textId="77777777" w:rsidR="001946F9" w:rsidRPr="00D32EBF" w:rsidRDefault="001946F9" w:rsidP="001946F9">
      <w:pPr>
        <w:rPr>
          <w:b/>
          <w:color w:val="000000" w:themeColor="text1"/>
        </w:rPr>
      </w:pPr>
    </w:p>
    <w:p w14:paraId="4FFA0E09" w14:textId="77777777" w:rsidR="001946F9" w:rsidRPr="00D32EBF" w:rsidRDefault="001946F9" w:rsidP="001946F9">
      <w:pPr>
        <w:jc w:val="both"/>
        <w:rPr>
          <w:color w:val="000000" w:themeColor="text1"/>
        </w:rPr>
      </w:pPr>
      <w:r w:rsidRPr="00D32EBF">
        <w:rPr>
          <w:color w:val="000000" w:themeColor="text1"/>
        </w:rPr>
        <w:t>Constituída dotação de Reserva de Contingência nas Setoriais Financeiras do Ministério do Desenvolvimento Regional, no Fundo Nacional de Habitação de Interesse Social e na Superintendência do Desenvolvimento do Nordeste. Não houve exec</w:t>
      </w:r>
      <w:r w:rsidR="003B53B2">
        <w:rPr>
          <w:color w:val="000000" w:themeColor="text1"/>
        </w:rPr>
        <w:t>ução desse orçamento no quarto</w:t>
      </w:r>
      <w:r w:rsidRPr="00D32EBF">
        <w:rPr>
          <w:color w:val="000000" w:themeColor="text1"/>
        </w:rPr>
        <w:t xml:space="preserve"> trimestre.</w:t>
      </w:r>
    </w:p>
    <w:p w14:paraId="46F956F8" w14:textId="77777777" w:rsidR="001946F9" w:rsidRPr="00667AF2" w:rsidRDefault="001946F9" w:rsidP="001946F9">
      <w:pPr>
        <w:jc w:val="both"/>
        <w:rPr>
          <w:color w:val="000000" w:themeColor="text1"/>
        </w:rPr>
      </w:pPr>
    </w:p>
    <w:p w14:paraId="668A50EB" w14:textId="77777777" w:rsidR="001946F9" w:rsidRPr="00667AF2" w:rsidRDefault="001946F9" w:rsidP="001946F9">
      <w:pPr>
        <w:jc w:val="both"/>
        <w:rPr>
          <w:color w:val="000000" w:themeColor="text1"/>
        </w:rPr>
      </w:pPr>
    </w:p>
    <w:p w14:paraId="634F25A1" w14:textId="77777777" w:rsidR="001946F9" w:rsidRPr="00667AF2" w:rsidRDefault="001946F9" w:rsidP="001946F9">
      <w:pPr>
        <w:rPr>
          <w:b/>
          <w:color w:val="000000" w:themeColor="text1"/>
        </w:rPr>
      </w:pPr>
      <w:r w:rsidRPr="00667AF2">
        <w:rPr>
          <w:b/>
          <w:color w:val="000000" w:themeColor="text1"/>
        </w:rPr>
        <w:t>Nota 16 e Nota 17 – Despesas de Restos a Pagar Processados e não Processados Liquidados</w:t>
      </w:r>
    </w:p>
    <w:p w14:paraId="6E637EA8" w14:textId="77777777" w:rsidR="001946F9" w:rsidRPr="00667AF2" w:rsidRDefault="001946F9" w:rsidP="001946F9">
      <w:pPr>
        <w:jc w:val="both"/>
        <w:rPr>
          <w:color w:val="000000" w:themeColor="text1"/>
        </w:rPr>
      </w:pPr>
    </w:p>
    <w:p w14:paraId="79FEE5D1" w14:textId="77777777" w:rsidR="001946F9" w:rsidRPr="00667AF2" w:rsidRDefault="001946F9" w:rsidP="001946F9">
      <w:pPr>
        <w:jc w:val="both"/>
        <w:rPr>
          <w:color w:val="000000" w:themeColor="text1"/>
        </w:rPr>
      </w:pPr>
      <w:r w:rsidRPr="00667AF2">
        <w:rPr>
          <w:color w:val="000000" w:themeColor="text1"/>
        </w:rPr>
        <w:t xml:space="preserve">O pagamento de </w:t>
      </w:r>
      <w:r w:rsidRPr="00667AF2">
        <w:rPr>
          <w:b/>
          <w:i/>
          <w:color w:val="000000" w:themeColor="text1"/>
        </w:rPr>
        <w:t xml:space="preserve">Restos a Pagar Processados e não Processados, </w:t>
      </w:r>
      <w:r w:rsidRPr="00667AF2">
        <w:rPr>
          <w:color w:val="000000" w:themeColor="text1"/>
        </w:rPr>
        <w:t xml:space="preserve">atingiu o montante de R$ 4,8 </w:t>
      </w:r>
      <w:r w:rsidRPr="00667AF2">
        <w:rPr>
          <w:color w:val="000000" w:themeColor="text1"/>
        </w:rPr>
        <w:lastRenderedPageBreak/>
        <w:t xml:space="preserve">bilhões. O total acumulado de inscrições de restos a pagar está na ordem de 14,7 bilhões. Do total dos cancelamentos executados, 11,19% foram de Despesas Correntes e 88,80% de Despesas de Capital. </w:t>
      </w:r>
    </w:p>
    <w:p w14:paraId="65C2E794" w14:textId="77777777" w:rsidR="005760FC" w:rsidRDefault="005760FC" w:rsidP="001946F9">
      <w:pPr>
        <w:jc w:val="both"/>
      </w:pPr>
    </w:p>
    <w:p w14:paraId="013B11A1" w14:textId="77777777" w:rsidR="005760FC" w:rsidRPr="004A28CF" w:rsidRDefault="005760FC" w:rsidP="001946F9">
      <w:pPr>
        <w:jc w:val="both"/>
      </w:pPr>
    </w:p>
    <w:p w14:paraId="6249A759" w14:textId="77777777" w:rsidR="004A28CF" w:rsidRPr="004A28CF" w:rsidRDefault="004A28CF" w:rsidP="004A28CF">
      <w:pPr>
        <w:pStyle w:val="Standard"/>
        <w:jc w:val="both"/>
        <w:rPr>
          <w:rFonts w:cs="Times New Roman"/>
          <w:b/>
          <w:bCs/>
        </w:rPr>
      </w:pPr>
      <w:r w:rsidRPr="004A28CF">
        <w:rPr>
          <w:rFonts w:cs="Times New Roman"/>
          <w:b/>
          <w:bCs/>
        </w:rPr>
        <w:t>BALANÇO FINANCEIRO</w:t>
      </w:r>
    </w:p>
    <w:p w14:paraId="3EA5D986" w14:textId="77777777" w:rsidR="004A28CF" w:rsidRPr="004A28CF" w:rsidRDefault="004A28CF" w:rsidP="004A28CF">
      <w:pPr>
        <w:pStyle w:val="Standard"/>
        <w:jc w:val="both"/>
        <w:rPr>
          <w:rFonts w:cs="Times New Roman"/>
          <w:b/>
          <w:bCs/>
        </w:rPr>
      </w:pPr>
    </w:p>
    <w:p w14:paraId="7B96BB80" w14:textId="77777777" w:rsidR="004A28CF" w:rsidRPr="004A28CF" w:rsidRDefault="004A28CF" w:rsidP="004A28CF">
      <w:pPr>
        <w:pStyle w:val="Standard"/>
        <w:jc w:val="both"/>
        <w:rPr>
          <w:rFonts w:cs="Times New Roman"/>
          <w:b/>
          <w:bCs/>
        </w:rPr>
      </w:pPr>
      <w:r w:rsidRPr="004A28CF">
        <w:rPr>
          <w:rFonts w:eastAsia="Times New Roman" w:cs="Times New Roman"/>
          <w:b/>
          <w:kern w:val="0"/>
          <w:lang w:eastAsia="en-US" w:bidi="ar-SA"/>
        </w:rPr>
        <w:t>Nota 18</w:t>
      </w:r>
      <w:r w:rsidRPr="004A28CF">
        <w:rPr>
          <w:rFonts w:cs="Times New Roman"/>
          <w:b/>
          <w:bCs/>
        </w:rPr>
        <w:t xml:space="preserve"> – Resultado Financeiro do Exercício</w:t>
      </w:r>
    </w:p>
    <w:p w14:paraId="60A404D3" w14:textId="77777777" w:rsidR="004A28CF" w:rsidRDefault="004A28CF" w:rsidP="004A28CF">
      <w:pPr>
        <w:pStyle w:val="Standard"/>
        <w:jc w:val="both"/>
        <w:rPr>
          <w:rFonts w:cs="Times New Roman"/>
          <w:b/>
          <w:bCs/>
        </w:rPr>
      </w:pPr>
    </w:p>
    <w:p w14:paraId="0F59FF14" w14:textId="77777777" w:rsidR="001946F9" w:rsidRPr="007C4D42" w:rsidRDefault="004A28CF" w:rsidP="00321095">
      <w:pPr>
        <w:pStyle w:val="Standard"/>
        <w:jc w:val="both"/>
        <w:rPr>
          <w:color w:val="FF0000"/>
        </w:rPr>
      </w:pPr>
      <w:r w:rsidRPr="00F74803">
        <w:rPr>
          <w:noProof/>
          <w:lang w:eastAsia="pt-BR" w:bidi="ar-SA"/>
        </w:rPr>
        <w:drawing>
          <wp:inline distT="0" distB="0" distL="0" distR="0" wp14:anchorId="69F5C1B4" wp14:editId="5973608C">
            <wp:extent cx="5552236" cy="2830983"/>
            <wp:effectExtent l="0" t="0" r="0" b="762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7843" cy="2864435"/>
                    </a:xfrm>
                    <a:prstGeom prst="rect">
                      <a:avLst/>
                    </a:prstGeom>
                    <a:noFill/>
                    <a:ln>
                      <a:noFill/>
                    </a:ln>
                  </pic:spPr>
                </pic:pic>
              </a:graphicData>
            </a:graphic>
          </wp:inline>
        </w:drawing>
      </w:r>
    </w:p>
    <w:p w14:paraId="0A9B4F60" w14:textId="77777777" w:rsidR="00321095" w:rsidRPr="007C4D42" w:rsidRDefault="00321095" w:rsidP="00321095">
      <w:pPr>
        <w:pStyle w:val="Standard"/>
        <w:jc w:val="both"/>
        <w:rPr>
          <w:color w:val="FF0000"/>
        </w:rPr>
      </w:pPr>
    </w:p>
    <w:p w14:paraId="0340D6B1" w14:textId="77777777" w:rsidR="00397A9E" w:rsidRDefault="00397A9E">
      <w:pPr>
        <w:pStyle w:val="Standard"/>
        <w:jc w:val="both"/>
        <w:rPr>
          <w:rFonts w:cs="Times New Roman"/>
          <w:color w:val="000000"/>
        </w:rPr>
      </w:pPr>
    </w:p>
    <w:p w14:paraId="6978FC58" w14:textId="77777777" w:rsidR="004A28CF" w:rsidRPr="00090F0B" w:rsidRDefault="004A28CF" w:rsidP="004A28CF">
      <w:pPr>
        <w:widowControl/>
        <w:suppressAutoHyphens w:val="0"/>
        <w:autoSpaceDN/>
        <w:jc w:val="both"/>
        <w:textAlignment w:val="auto"/>
        <w:rPr>
          <w:rFonts w:eastAsia="Times New Roman" w:cs="Times New Roman"/>
          <w:bCs/>
          <w:kern w:val="0"/>
          <w:lang w:eastAsia="pt-BR" w:bidi="ar-SA"/>
        </w:rPr>
      </w:pPr>
      <w:r w:rsidRPr="00090F0B">
        <w:rPr>
          <w:rFonts w:eastAsia="Times New Roman" w:cs="Times New Roman"/>
          <w:bCs/>
          <w:kern w:val="0"/>
          <w:lang w:eastAsia="pt-BR" w:bidi="ar-SA"/>
        </w:rPr>
        <w:t>Comparando os trimestres, o resultado financeiro do exercício do quarto trimestre de 2020 se apr</w:t>
      </w:r>
      <w:r w:rsidRPr="00090F0B">
        <w:rPr>
          <w:rFonts w:eastAsia="Times New Roman" w:cs="Times New Roman"/>
          <w:bCs/>
          <w:kern w:val="0"/>
          <w:lang w:eastAsia="pt-BR" w:bidi="ar-SA"/>
        </w:rPr>
        <w:t>e</w:t>
      </w:r>
      <w:r w:rsidRPr="00090F0B">
        <w:rPr>
          <w:rFonts w:eastAsia="Times New Roman" w:cs="Times New Roman"/>
          <w:bCs/>
          <w:kern w:val="0"/>
          <w:lang w:eastAsia="pt-BR" w:bidi="ar-SA"/>
        </w:rPr>
        <w:t xml:space="preserve">sentou negativo no montante de R$ 8,96 bilhões, tendo uma variação negativa em percentual de -1.664,88%, em relação ao quarto trimestre de 2019, que apurou um resultado financeiro positivo de R$ 573 milhões. </w:t>
      </w:r>
    </w:p>
    <w:p w14:paraId="6175B714" w14:textId="77777777" w:rsidR="004A28CF" w:rsidRPr="00090F0B" w:rsidRDefault="004A28CF" w:rsidP="004A28CF">
      <w:pPr>
        <w:widowControl/>
        <w:suppressAutoHyphens w:val="0"/>
        <w:autoSpaceDN/>
        <w:jc w:val="both"/>
        <w:textAlignment w:val="auto"/>
        <w:rPr>
          <w:rFonts w:eastAsia="Times New Roman" w:cs="Times New Roman"/>
          <w:kern w:val="0"/>
          <w:lang w:eastAsia="pt-BR" w:bidi="ar-SA"/>
        </w:rPr>
      </w:pPr>
      <w:r w:rsidRPr="00090F0B">
        <w:rPr>
          <w:rFonts w:eastAsia="Times New Roman" w:cs="Times New Roman"/>
          <w:bCs/>
          <w:kern w:val="0"/>
          <w:lang w:eastAsia="pt-BR" w:bidi="ar-SA"/>
        </w:rPr>
        <w:t>Essa redução se justifica pelo resultado orçamentário negativo e pelo resultado da movimentação extraorçamentária negativa, no quarto trimestre/20</w:t>
      </w:r>
      <w:r w:rsidRPr="00090F0B">
        <w:rPr>
          <w:rFonts w:eastAsia="Times New Roman" w:cs="Times New Roman"/>
          <w:i/>
          <w:iCs/>
          <w:kern w:val="0"/>
          <w:lang w:eastAsia="pt-BR" w:bidi="ar-SA"/>
        </w:rPr>
        <w:t>. O Resultado Financeiro do Exercício corre</w:t>
      </w:r>
      <w:r w:rsidRPr="00090F0B">
        <w:rPr>
          <w:rFonts w:eastAsia="Times New Roman" w:cs="Times New Roman"/>
          <w:i/>
          <w:iCs/>
          <w:kern w:val="0"/>
          <w:lang w:eastAsia="pt-BR" w:bidi="ar-SA"/>
        </w:rPr>
        <w:t>s</w:t>
      </w:r>
      <w:r w:rsidRPr="00090F0B">
        <w:rPr>
          <w:rFonts w:eastAsia="Times New Roman" w:cs="Times New Roman"/>
          <w:i/>
          <w:iCs/>
          <w:kern w:val="0"/>
          <w:lang w:eastAsia="pt-BR" w:bidi="ar-SA"/>
        </w:rPr>
        <w:t xml:space="preserve">ponde à </w:t>
      </w:r>
      <w:r w:rsidRPr="00090F0B">
        <w:rPr>
          <w:rFonts w:eastAsia="Times New Roman" w:cs="Times New Roman"/>
          <w:kern w:val="0"/>
          <w:lang w:eastAsia="pt-BR" w:bidi="ar-SA"/>
        </w:rPr>
        <w:t>Geração Líquida de Caixa e Equivalente de Caixa, conforme a Nota 24.</w:t>
      </w:r>
    </w:p>
    <w:p w14:paraId="7BFD5573" w14:textId="77777777" w:rsidR="004A28CF" w:rsidRDefault="004A28CF" w:rsidP="004A28CF">
      <w:pPr>
        <w:pStyle w:val="Standard"/>
        <w:jc w:val="both"/>
        <w:rPr>
          <w:rFonts w:cs="Times New Roman"/>
          <w:bCs/>
        </w:rPr>
      </w:pPr>
    </w:p>
    <w:p w14:paraId="40C41F27" w14:textId="77777777" w:rsidR="004A28CF" w:rsidRDefault="004A28CF" w:rsidP="004A28CF">
      <w:pPr>
        <w:pStyle w:val="Standard"/>
        <w:jc w:val="both"/>
        <w:rPr>
          <w:rFonts w:cs="Times New Roman"/>
          <w:bCs/>
        </w:rPr>
      </w:pPr>
    </w:p>
    <w:p w14:paraId="644D1800" w14:textId="77777777" w:rsidR="00C24A65" w:rsidRPr="00090F0B" w:rsidRDefault="00C24A65" w:rsidP="004A28CF">
      <w:pPr>
        <w:pStyle w:val="Standard"/>
        <w:jc w:val="both"/>
        <w:rPr>
          <w:rFonts w:cs="Times New Roman"/>
          <w:bCs/>
        </w:rPr>
      </w:pPr>
    </w:p>
    <w:p w14:paraId="3EEBF71B" w14:textId="77777777" w:rsidR="004A28CF" w:rsidRPr="00B06EE0" w:rsidRDefault="004A28CF" w:rsidP="004A28CF">
      <w:pPr>
        <w:pStyle w:val="Standard"/>
        <w:jc w:val="both"/>
        <w:rPr>
          <w:rFonts w:cs="Times New Roman"/>
          <w:b/>
        </w:rPr>
      </w:pPr>
      <w:r w:rsidRPr="00B06EE0">
        <w:rPr>
          <w:rFonts w:cs="Times New Roman"/>
          <w:b/>
        </w:rPr>
        <w:t xml:space="preserve">Nota </w:t>
      </w:r>
      <w:r>
        <w:rPr>
          <w:rFonts w:cs="Times New Roman"/>
          <w:b/>
        </w:rPr>
        <w:t>19</w:t>
      </w:r>
      <w:r w:rsidRPr="00B06EE0">
        <w:rPr>
          <w:rFonts w:cs="Times New Roman"/>
          <w:b/>
        </w:rPr>
        <w:t xml:space="preserve"> – Resultado Orçamentário</w:t>
      </w:r>
    </w:p>
    <w:p w14:paraId="7D739BC6" w14:textId="77777777" w:rsidR="004A28CF" w:rsidRPr="00B42BE7" w:rsidRDefault="004A28CF" w:rsidP="004A28CF">
      <w:pPr>
        <w:pStyle w:val="Standard"/>
        <w:jc w:val="both"/>
        <w:rPr>
          <w:rFonts w:cs="Times New Roman"/>
          <w:bCs/>
          <w:color w:val="000000" w:themeColor="text1"/>
        </w:rPr>
      </w:pPr>
    </w:p>
    <w:p w14:paraId="572BFA62" w14:textId="77777777" w:rsidR="004A28CF" w:rsidRPr="00090F0B" w:rsidRDefault="004A28CF" w:rsidP="004A28CF">
      <w:pPr>
        <w:pStyle w:val="Standard"/>
        <w:jc w:val="both"/>
        <w:rPr>
          <w:rFonts w:cs="Times New Roman"/>
        </w:rPr>
      </w:pPr>
      <w:r w:rsidRPr="00090F0B">
        <w:rPr>
          <w:rFonts w:cs="Times New Roman"/>
          <w:bCs/>
        </w:rPr>
        <w:t>O Resultado Orçamentário apresentou uma variação negativa de -2,27%.</w:t>
      </w:r>
    </w:p>
    <w:p w14:paraId="4D315A64" w14:textId="77777777" w:rsidR="004A28CF" w:rsidRPr="00090F0B" w:rsidRDefault="004A28CF" w:rsidP="004A28CF">
      <w:pPr>
        <w:pStyle w:val="Standard"/>
        <w:jc w:val="both"/>
        <w:rPr>
          <w:rFonts w:cs="Times New Roman"/>
        </w:rPr>
      </w:pPr>
      <w:r w:rsidRPr="00090F0B">
        <w:rPr>
          <w:rFonts w:cs="Times New Roman"/>
        </w:rPr>
        <w:t xml:space="preserve">Nas Receitas Orçamentárias, houve uma variação positiva no percentual de 54,34%, em relação ao quarto trimestre de 2019. </w:t>
      </w:r>
    </w:p>
    <w:p w14:paraId="79659188" w14:textId="77777777" w:rsidR="004A28CF" w:rsidRPr="00090F0B" w:rsidRDefault="004A28CF" w:rsidP="004A28CF">
      <w:pPr>
        <w:pStyle w:val="Standard"/>
        <w:jc w:val="both"/>
        <w:rPr>
          <w:rFonts w:cs="Times New Roman"/>
        </w:rPr>
      </w:pPr>
      <w:r w:rsidRPr="00090F0B">
        <w:rPr>
          <w:rFonts w:cs="Times New Roman"/>
        </w:rPr>
        <w:t>Os maiores registros das Receitas Orçamentarias ocorreram principalmente nas variações aumentativas em maior proporção nos órgãos dos Fundos - 53207-Sudeco, no órgão do FDCO-Fundo de Desenvolvimento do Centro-oeste (órgão 74919), depois no órgão 53203-SUDENE, no órgão do FDNE- Fundo de Desenvolvimento do Nordeste (74918) e no órgão 53202-SUDAM, no órgão do FDA-Fundo de Desenvolvimento da Amazônia (órgão 74917), provenientes da receita com amortização de financiamentos do principal, juros e encargos, e registros de rendimentos de aplicações financeiras da CTU.</w:t>
      </w:r>
    </w:p>
    <w:p w14:paraId="488CFB21" w14:textId="77777777" w:rsidR="004A28CF" w:rsidRDefault="004A28CF" w:rsidP="004A28CF">
      <w:pPr>
        <w:pStyle w:val="Standard"/>
        <w:jc w:val="both"/>
        <w:rPr>
          <w:rFonts w:cs="Times New Roman"/>
          <w:b/>
        </w:rPr>
      </w:pPr>
    </w:p>
    <w:p w14:paraId="638AEA0B" w14:textId="77777777" w:rsidR="004A28CF" w:rsidRPr="00090F0B" w:rsidRDefault="004A28CF" w:rsidP="004A28CF">
      <w:pPr>
        <w:pStyle w:val="Standard"/>
        <w:jc w:val="both"/>
        <w:rPr>
          <w:rFonts w:cs="Times New Roman"/>
          <w:b/>
        </w:rPr>
      </w:pPr>
    </w:p>
    <w:p w14:paraId="634185A8" w14:textId="77777777" w:rsidR="004A28CF" w:rsidRPr="00090F0B" w:rsidRDefault="004A28CF" w:rsidP="004A28CF">
      <w:pPr>
        <w:pStyle w:val="Standard"/>
        <w:jc w:val="both"/>
        <w:rPr>
          <w:rFonts w:cs="Times New Roman"/>
          <w:b/>
        </w:rPr>
      </w:pPr>
      <w:r w:rsidRPr="00090F0B">
        <w:rPr>
          <w:rFonts w:cs="Times New Roman"/>
          <w:b/>
        </w:rPr>
        <w:t xml:space="preserve">Nota </w:t>
      </w:r>
      <w:r>
        <w:rPr>
          <w:rFonts w:cs="Times New Roman"/>
          <w:b/>
        </w:rPr>
        <w:t>20</w:t>
      </w:r>
      <w:r w:rsidRPr="00090F0B">
        <w:rPr>
          <w:rFonts w:cs="Times New Roman"/>
          <w:b/>
        </w:rPr>
        <w:t xml:space="preserve"> – Resultado das Transferências Financeiras</w:t>
      </w:r>
    </w:p>
    <w:p w14:paraId="63B159D1" w14:textId="77777777" w:rsidR="004A28CF" w:rsidRPr="00090F0B" w:rsidRDefault="004A28CF" w:rsidP="004A28CF">
      <w:pPr>
        <w:pStyle w:val="Standard"/>
        <w:jc w:val="both"/>
        <w:rPr>
          <w:rFonts w:cs="Times New Roman"/>
        </w:rPr>
      </w:pPr>
    </w:p>
    <w:p w14:paraId="25CF9453" w14:textId="61BBFA19" w:rsidR="004A28CF" w:rsidRPr="00090F0B" w:rsidRDefault="004A28CF" w:rsidP="004A28CF">
      <w:pPr>
        <w:pStyle w:val="Standard"/>
        <w:jc w:val="both"/>
        <w:rPr>
          <w:rFonts w:cs="Times New Roman"/>
        </w:rPr>
      </w:pPr>
      <w:r w:rsidRPr="00090F0B">
        <w:rPr>
          <w:rFonts w:cs="Times New Roman"/>
        </w:rPr>
        <w:t>O Resultado das Transferências Financeiras teve uma redução em relação ao quarto trimestre de 2019, onde se verifica um decréscimo em percentual de -4,89%</w:t>
      </w:r>
      <w:proofErr w:type="gramStart"/>
      <w:r w:rsidRPr="00090F0B">
        <w:rPr>
          <w:rFonts w:cs="Times New Roman"/>
        </w:rPr>
        <w:t xml:space="preserve"> </w:t>
      </w:r>
      <w:r w:rsidR="005760FC">
        <w:rPr>
          <w:rFonts w:cs="Times New Roman"/>
        </w:rPr>
        <w:t>.</w:t>
      </w:r>
      <w:proofErr w:type="gramEnd"/>
    </w:p>
    <w:p w14:paraId="2779EF1F" w14:textId="77777777" w:rsidR="004A28CF" w:rsidRDefault="004A28CF" w:rsidP="004A28CF">
      <w:pPr>
        <w:widowControl/>
        <w:suppressAutoHyphens w:val="0"/>
        <w:jc w:val="both"/>
        <w:textAlignment w:val="auto"/>
        <w:rPr>
          <w:rFonts w:cs="Times New Roman"/>
          <w:b/>
          <w:color w:val="000000" w:themeColor="text1"/>
        </w:rPr>
      </w:pPr>
    </w:p>
    <w:p w14:paraId="0BD7503B" w14:textId="77777777" w:rsidR="004A28CF" w:rsidRPr="00090F0B" w:rsidRDefault="004A28CF" w:rsidP="004A28CF">
      <w:pPr>
        <w:widowControl/>
        <w:suppressAutoHyphens w:val="0"/>
        <w:jc w:val="both"/>
        <w:textAlignment w:val="auto"/>
        <w:rPr>
          <w:rFonts w:cs="Times New Roman"/>
          <w:b/>
          <w:color w:val="000000" w:themeColor="text1"/>
        </w:rPr>
      </w:pPr>
    </w:p>
    <w:p w14:paraId="5E2DA459" w14:textId="77777777" w:rsidR="004A28CF" w:rsidRPr="00090F0B" w:rsidRDefault="004A28CF" w:rsidP="004A28CF">
      <w:pPr>
        <w:widowControl/>
        <w:suppressAutoHyphens w:val="0"/>
        <w:jc w:val="both"/>
        <w:textAlignment w:val="auto"/>
        <w:rPr>
          <w:b/>
        </w:rPr>
      </w:pPr>
      <w:r w:rsidRPr="00090F0B">
        <w:rPr>
          <w:b/>
        </w:rPr>
        <w:t>Nota 2</w:t>
      </w:r>
      <w:r>
        <w:rPr>
          <w:b/>
        </w:rPr>
        <w:t>1</w:t>
      </w:r>
      <w:r w:rsidRPr="00090F0B">
        <w:rPr>
          <w:b/>
        </w:rPr>
        <w:t xml:space="preserve"> – Resultado da Movimentação Extraorçamentária</w:t>
      </w:r>
    </w:p>
    <w:p w14:paraId="1806DE06" w14:textId="77777777" w:rsidR="004A28CF" w:rsidRPr="00090F0B" w:rsidRDefault="004A28CF" w:rsidP="004A28CF">
      <w:pPr>
        <w:widowControl/>
        <w:suppressAutoHyphens w:val="0"/>
        <w:jc w:val="both"/>
        <w:textAlignment w:val="auto"/>
        <w:rPr>
          <w:rFonts w:cs="Times New Roman"/>
          <w:b/>
          <w:color w:val="2E74B5" w:themeColor="accent5" w:themeShade="BF"/>
        </w:rPr>
      </w:pPr>
    </w:p>
    <w:p w14:paraId="5A80510A" w14:textId="6F05FAFA" w:rsidR="004A28CF" w:rsidRPr="00090F0B" w:rsidRDefault="004A28CF" w:rsidP="004A28CF">
      <w:pPr>
        <w:widowControl/>
        <w:suppressAutoHyphens w:val="0"/>
        <w:jc w:val="both"/>
        <w:textAlignment w:val="auto"/>
        <w:rPr>
          <w:rFonts w:cs="Times New Roman"/>
        </w:rPr>
      </w:pPr>
      <w:r w:rsidRPr="00090F0B">
        <w:rPr>
          <w:rFonts w:cs="Times New Roman"/>
        </w:rPr>
        <w:t>O Resultado da Movimentação Extraorçamentária apresentou variação negativa de -369,52</w:t>
      </w:r>
      <w:r w:rsidR="005760FC">
        <w:rPr>
          <w:rFonts w:cs="Times New Roman"/>
        </w:rPr>
        <w:t>%, no quarto trimestre de 2020.</w:t>
      </w:r>
    </w:p>
    <w:p w14:paraId="07B1C3B4" w14:textId="77777777" w:rsidR="004A28CF" w:rsidRPr="00090F0B" w:rsidRDefault="004A28CF" w:rsidP="004A28CF">
      <w:pPr>
        <w:widowControl/>
        <w:suppressAutoHyphens w:val="0"/>
        <w:jc w:val="both"/>
        <w:textAlignment w:val="auto"/>
        <w:rPr>
          <w:rFonts w:cs="Times New Roman"/>
        </w:rPr>
      </w:pPr>
      <w:r w:rsidRPr="00090F0B">
        <w:rPr>
          <w:rFonts w:cs="Times New Roman"/>
        </w:rPr>
        <w:t xml:space="preserve"> Os Recebimentos Extraorçamentários tiveram uma variação positiva de 17,61% em relação ao quarto trimestre de 2019.</w:t>
      </w:r>
    </w:p>
    <w:p w14:paraId="49AD866A" w14:textId="77777777" w:rsidR="004A28CF" w:rsidRPr="00090F0B" w:rsidRDefault="004A28CF" w:rsidP="004A28CF">
      <w:pPr>
        <w:widowControl/>
        <w:suppressAutoHyphens w:val="0"/>
        <w:jc w:val="both"/>
        <w:textAlignment w:val="auto"/>
        <w:rPr>
          <w:rFonts w:cs="Times New Roman"/>
          <w:color w:val="000000" w:themeColor="text1"/>
        </w:rPr>
      </w:pPr>
      <w:r w:rsidRPr="00090F0B">
        <w:rPr>
          <w:rFonts w:cs="Times New Roman"/>
          <w:color w:val="000000" w:themeColor="text1"/>
        </w:rPr>
        <w:t xml:space="preserve">Os Pagamentos Extraorçamentários tiveram aumento no percentual de 81,48%, comparado com o mesmo trimestre do ano anterior. </w:t>
      </w:r>
    </w:p>
    <w:p w14:paraId="210A68ED" w14:textId="77777777" w:rsidR="004A28CF" w:rsidRPr="00090F0B" w:rsidRDefault="004A28CF" w:rsidP="004A28CF">
      <w:pPr>
        <w:widowControl/>
        <w:suppressAutoHyphens w:val="0"/>
        <w:autoSpaceDN/>
        <w:jc w:val="both"/>
        <w:textAlignment w:val="auto"/>
        <w:rPr>
          <w:rFonts w:eastAsia="Times New Roman" w:cs="Times New Roman"/>
          <w:bCs/>
          <w:kern w:val="0"/>
          <w:lang w:eastAsia="pt-BR" w:bidi="ar-SA"/>
        </w:rPr>
      </w:pPr>
      <w:r w:rsidRPr="00090F0B">
        <w:rPr>
          <w:rFonts w:cs="Times New Roman"/>
        </w:rPr>
        <w:t>O acréscimo se deu principalmente em função do aumento de Outros Pagamentos Extraorçament</w:t>
      </w:r>
      <w:r w:rsidRPr="00090F0B">
        <w:rPr>
          <w:rFonts w:cs="Times New Roman"/>
        </w:rPr>
        <w:t>á</w:t>
      </w:r>
      <w:r w:rsidRPr="00090F0B">
        <w:rPr>
          <w:rFonts w:cs="Times New Roman"/>
        </w:rPr>
        <w:t>rios, que neste trimestre acumulou o montante de R$11.254.185.369,09 (onze bilhões, duzentos e cinquenta e quatro milhões, cento e oitenta e cinco mil, trezentos e sessenta e nove reais e nove ce</w:t>
      </w:r>
      <w:r w:rsidRPr="00090F0B">
        <w:rPr>
          <w:rFonts w:cs="Times New Roman"/>
        </w:rPr>
        <w:t>n</w:t>
      </w:r>
      <w:r w:rsidRPr="00090F0B">
        <w:rPr>
          <w:rFonts w:cs="Times New Roman"/>
        </w:rPr>
        <w:t>tavos), com um aumento em percentual de 1.190,13%,</w:t>
      </w:r>
      <w:r w:rsidRPr="00090F0B">
        <w:rPr>
          <w:rFonts w:eastAsia="Times New Roman" w:cs="Times New Roman"/>
          <w:bCs/>
          <w:kern w:val="0"/>
          <w:lang w:eastAsia="pt-BR" w:bidi="ar-SA"/>
        </w:rPr>
        <w:t xml:space="preserve"> em relação ao quarto trimestre de 2019, que apurou um montante de 871.154.329,87 (oitocentos e setenta e um milhões, cento e cinquenta  e quatro mil, trezentos e vinte e nove reais e oitenta e sete centavos). </w:t>
      </w:r>
    </w:p>
    <w:p w14:paraId="27680C76" w14:textId="77777777" w:rsidR="004A28CF" w:rsidRPr="00090F0B" w:rsidRDefault="004A28CF" w:rsidP="004A28CF">
      <w:pPr>
        <w:widowControl/>
        <w:suppressAutoHyphens w:val="0"/>
        <w:jc w:val="both"/>
        <w:textAlignment w:val="auto"/>
        <w:rPr>
          <w:rFonts w:cs="Times New Roman"/>
        </w:rPr>
      </w:pPr>
      <w:r w:rsidRPr="00090F0B">
        <w:rPr>
          <w:rFonts w:cs="Times New Roman"/>
        </w:rPr>
        <w:t>Também teve aumento nos Pagamentos de Restos a Pagar Processados, com uma variação positiva de 440,78% no trimestre.</w:t>
      </w:r>
    </w:p>
    <w:p w14:paraId="5DB2E5D4" w14:textId="77777777" w:rsidR="00321095" w:rsidRDefault="00321095">
      <w:pPr>
        <w:pStyle w:val="Standard"/>
        <w:jc w:val="both"/>
        <w:rPr>
          <w:rFonts w:cs="Times New Roman"/>
          <w:color w:val="000000"/>
        </w:rPr>
      </w:pPr>
    </w:p>
    <w:p w14:paraId="49B36797" w14:textId="77777777" w:rsidR="00C24A65" w:rsidRPr="00C72830" w:rsidRDefault="00C24A65">
      <w:pPr>
        <w:pStyle w:val="Standard"/>
        <w:jc w:val="both"/>
        <w:rPr>
          <w:rFonts w:cs="Times New Roman"/>
        </w:rPr>
      </w:pPr>
    </w:p>
    <w:p w14:paraId="1C4EF459" w14:textId="77777777" w:rsidR="00C72830" w:rsidRPr="00C72830" w:rsidRDefault="00C72830" w:rsidP="00C72830">
      <w:pPr>
        <w:jc w:val="both"/>
        <w:rPr>
          <w:rFonts w:eastAsia="Times New Roman" w:cs="Times New Roman"/>
          <w:b/>
          <w:kern w:val="0"/>
          <w:lang w:eastAsia="en-US" w:bidi="ar-SA"/>
        </w:rPr>
      </w:pPr>
      <w:r w:rsidRPr="00C72830">
        <w:rPr>
          <w:rFonts w:eastAsia="Times New Roman" w:cs="Times New Roman"/>
          <w:b/>
          <w:kern w:val="0"/>
          <w:lang w:eastAsia="en-US" w:bidi="ar-SA"/>
        </w:rPr>
        <w:t>DEMONSTRAÇÃO DO FLUXO DE CAIXA</w:t>
      </w:r>
    </w:p>
    <w:p w14:paraId="1C00CE2E" w14:textId="77777777" w:rsidR="00C72830" w:rsidRPr="00B42BE7" w:rsidRDefault="00C72830" w:rsidP="00C72830">
      <w:pPr>
        <w:jc w:val="both"/>
        <w:rPr>
          <w:rFonts w:eastAsia="Times New Roman" w:cs="Times New Roman"/>
          <w:b/>
          <w:color w:val="000000" w:themeColor="text1"/>
          <w:kern w:val="0"/>
          <w:lang w:eastAsia="en-US" w:bidi="ar-SA"/>
        </w:rPr>
      </w:pPr>
    </w:p>
    <w:p w14:paraId="65F27800" w14:textId="77777777" w:rsidR="00C72830" w:rsidRPr="00B42BE7" w:rsidRDefault="00C72830" w:rsidP="00C72830">
      <w:pPr>
        <w:jc w:val="both"/>
        <w:rPr>
          <w:rFonts w:eastAsia="Times New Roman" w:cs="Times New Roman"/>
          <w:b/>
          <w:color w:val="000000" w:themeColor="text1"/>
          <w:kern w:val="0"/>
          <w:lang w:eastAsia="en-US" w:bidi="ar-SA"/>
        </w:rPr>
      </w:pPr>
      <w:r w:rsidRPr="00B42BE7">
        <w:rPr>
          <w:rFonts w:eastAsia="Times New Roman" w:cs="Times New Roman"/>
          <w:b/>
          <w:color w:val="000000" w:themeColor="text1"/>
          <w:kern w:val="0"/>
          <w:lang w:eastAsia="en-US" w:bidi="ar-SA"/>
        </w:rPr>
        <w:t>Nota 2</w:t>
      </w:r>
      <w:r>
        <w:rPr>
          <w:rFonts w:eastAsia="Times New Roman" w:cs="Times New Roman"/>
          <w:b/>
          <w:color w:val="000000" w:themeColor="text1"/>
          <w:kern w:val="0"/>
          <w:lang w:eastAsia="en-US" w:bidi="ar-SA"/>
        </w:rPr>
        <w:t>2</w:t>
      </w:r>
      <w:r w:rsidRPr="00B42BE7">
        <w:rPr>
          <w:rFonts w:eastAsia="Times New Roman" w:cs="Times New Roman"/>
          <w:b/>
          <w:color w:val="000000" w:themeColor="text1"/>
          <w:kern w:val="0"/>
          <w:lang w:eastAsia="en-US" w:bidi="ar-SA"/>
        </w:rPr>
        <w:t xml:space="preserve"> – Geração Líquida de Caixa e Equivalente de Caixa</w:t>
      </w:r>
    </w:p>
    <w:p w14:paraId="21F2882B" w14:textId="77777777" w:rsidR="00C72830" w:rsidRPr="00B42BE7" w:rsidRDefault="00C72830" w:rsidP="00C72830">
      <w:pPr>
        <w:jc w:val="both"/>
        <w:rPr>
          <w:rFonts w:eastAsia="Times New Roman" w:cs="Times New Roman"/>
          <w:b/>
          <w:color w:val="000000" w:themeColor="text1"/>
          <w:kern w:val="0"/>
          <w:lang w:eastAsia="en-US" w:bidi="ar-SA"/>
        </w:rPr>
      </w:pPr>
    </w:p>
    <w:p w14:paraId="705EB03C" w14:textId="77777777" w:rsidR="00C72830" w:rsidRDefault="00C72830" w:rsidP="00C72830">
      <w:pPr>
        <w:pStyle w:val="Tabela2"/>
        <w:numPr>
          <w:ilvl w:val="0"/>
          <w:numId w:val="0"/>
        </w:numPr>
        <w:tabs>
          <w:tab w:val="clear" w:pos="-31680"/>
          <w:tab w:val="left" w:pos="-24066"/>
          <w:tab w:val="left" w:pos="-9306"/>
          <w:tab w:val="left" w:pos="1134"/>
        </w:tabs>
        <w:rPr>
          <w:color w:val="000000" w:themeColor="text1"/>
          <w:szCs w:val="20"/>
        </w:rPr>
      </w:pPr>
      <w:r w:rsidRPr="00B42BE7">
        <w:rPr>
          <w:color w:val="000000" w:themeColor="text1"/>
          <w:szCs w:val="20"/>
        </w:rPr>
        <w:t>Geração Líquida de Caixa e Equivalentes de Caixa – Formação</w:t>
      </w:r>
    </w:p>
    <w:p w14:paraId="7B9BED19" w14:textId="77777777" w:rsidR="00C72830" w:rsidRDefault="00C72830" w:rsidP="00C72830">
      <w:pPr>
        <w:pStyle w:val="Tabela2"/>
        <w:numPr>
          <w:ilvl w:val="0"/>
          <w:numId w:val="0"/>
        </w:numPr>
        <w:tabs>
          <w:tab w:val="clear" w:pos="-31680"/>
          <w:tab w:val="left" w:pos="-24066"/>
          <w:tab w:val="left" w:pos="-9306"/>
          <w:tab w:val="left" w:pos="1134"/>
        </w:tabs>
        <w:rPr>
          <w:noProof/>
          <w:color w:val="000000" w:themeColor="text1"/>
        </w:rPr>
      </w:pPr>
    </w:p>
    <w:p w14:paraId="27E3C94D" w14:textId="77777777" w:rsidR="00321095" w:rsidRDefault="00C72830">
      <w:pPr>
        <w:pStyle w:val="Standard"/>
        <w:jc w:val="both"/>
        <w:rPr>
          <w:rFonts w:cs="Times New Roman"/>
          <w:color w:val="000000"/>
        </w:rPr>
      </w:pPr>
      <w:r w:rsidRPr="009A5DD3">
        <w:rPr>
          <w:noProof/>
          <w:lang w:eastAsia="pt-BR" w:bidi="ar-SA"/>
        </w:rPr>
        <w:drawing>
          <wp:inline distT="0" distB="0" distL="0" distR="0" wp14:anchorId="07F0F851" wp14:editId="4272F56C">
            <wp:extent cx="5874106" cy="164592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8325" cy="1652706"/>
                    </a:xfrm>
                    <a:prstGeom prst="rect">
                      <a:avLst/>
                    </a:prstGeom>
                    <a:noFill/>
                    <a:ln>
                      <a:noFill/>
                    </a:ln>
                  </pic:spPr>
                </pic:pic>
              </a:graphicData>
            </a:graphic>
          </wp:inline>
        </w:drawing>
      </w:r>
    </w:p>
    <w:p w14:paraId="68AE5421" w14:textId="77777777" w:rsidR="00C72830" w:rsidRDefault="00C72830">
      <w:pPr>
        <w:pStyle w:val="Standard"/>
        <w:jc w:val="both"/>
        <w:rPr>
          <w:rFonts w:cs="Times New Roman"/>
          <w:color w:val="000000"/>
        </w:rPr>
      </w:pPr>
    </w:p>
    <w:p w14:paraId="02DE68EF" w14:textId="77777777" w:rsidR="00C72830" w:rsidRPr="00B42BE7" w:rsidRDefault="00C72830" w:rsidP="00C72830">
      <w:pPr>
        <w:pStyle w:val="Tabela2"/>
        <w:numPr>
          <w:ilvl w:val="0"/>
          <w:numId w:val="0"/>
        </w:numPr>
        <w:tabs>
          <w:tab w:val="clear" w:pos="-31680"/>
          <w:tab w:val="left" w:pos="-24066"/>
          <w:tab w:val="left" w:pos="-9306"/>
          <w:tab w:val="left" w:pos="1134"/>
        </w:tabs>
        <w:rPr>
          <w:color w:val="000000" w:themeColor="text1"/>
          <w:szCs w:val="20"/>
        </w:rPr>
      </w:pPr>
    </w:p>
    <w:p w14:paraId="296C3E5D" w14:textId="77777777" w:rsidR="00C72830" w:rsidRPr="00090F0B" w:rsidRDefault="00C72830" w:rsidP="00C72830">
      <w:pPr>
        <w:jc w:val="both"/>
        <w:rPr>
          <w:rFonts w:cs="Times New Roman"/>
        </w:rPr>
      </w:pPr>
      <w:r w:rsidRPr="00090F0B">
        <w:rPr>
          <w:rFonts w:cs="Times New Roman"/>
        </w:rPr>
        <w:t xml:space="preserve">Considerado os saldos iniciais e finais dos Ingressos das </w:t>
      </w:r>
      <w:r w:rsidRPr="00090F0B">
        <w:rPr>
          <w:rFonts w:cs="Times New Roman"/>
          <w:i/>
        </w:rPr>
        <w:t>Atividades Operacionais</w:t>
      </w:r>
      <w:r w:rsidRPr="00090F0B">
        <w:rPr>
          <w:rFonts w:cs="Times New Roman"/>
        </w:rPr>
        <w:t xml:space="preserve">, de Investimentos e de Financiamentos, comparado com os saldos dos </w:t>
      </w:r>
      <w:r w:rsidRPr="00090F0B">
        <w:rPr>
          <w:rFonts w:cs="Times New Roman"/>
          <w:i/>
        </w:rPr>
        <w:t>Desembolsos Operacionais</w:t>
      </w:r>
      <w:r w:rsidRPr="00090F0B">
        <w:rPr>
          <w:rFonts w:cs="Times New Roman"/>
        </w:rPr>
        <w:t xml:space="preserve">, de </w:t>
      </w:r>
      <w:r w:rsidRPr="00090F0B">
        <w:rPr>
          <w:rFonts w:cs="Times New Roman"/>
          <w:i/>
        </w:rPr>
        <w:t>Investimentos</w:t>
      </w:r>
      <w:r w:rsidRPr="00090F0B">
        <w:rPr>
          <w:rFonts w:cs="Times New Roman"/>
        </w:rPr>
        <w:t xml:space="preserve"> e </w:t>
      </w:r>
      <w:r w:rsidRPr="00090F0B">
        <w:rPr>
          <w:rFonts w:cs="Times New Roman"/>
          <w:i/>
        </w:rPr>
        <w:t>Financiamentos</w:t>
      </w:r>
      <w:r w:rsidRPr="00090F0B">
        <w:rPr>
          <w:rFonts w:cs="Times New Roman"/>
        </w:rPr>
        <w:t>, apurou-se um resultado negativo de R$ 8,96 bilhões de geração líquida de caixa e equivalentes de caixa no quarto trimestre de 2020. Essa redução está justificada por um resultado negativo dos Fluxos de Caixa das Atividades de Investimento no valor de -15.197.988.501,98, em comparação com um resultado positivo dos Fluxos de Caixa das Atividades Operacionais, de apenas R$6.230.049.505,53.</w:t>
      </w:r>
    </w:p>
    <w:p w14:paraId="38A14FB4" w14:textId="77777777" w:rsidR="00C72830" w:rsidRPr="00090F0B" w:rsidRDefault="00C72830" w:rsidP="00C72830">
      <w:pPr>
        <w:jc w:val="both"/>
        <w:rPr>
          <w:rFonts w:cs="Times New Roman"/>
          <w:color w:val="0070C0"/>
        </w:rPr>
      </w:pPr>
    </w:p>
    <w:p w14:paraId="1F7B75AC" w14:textId="77777777" w:rsidR="00C72830" w:rsidRPr="00B42BE7" w:rsidRDefault="00C72830" w:rsidP="00C72830">
      <w:pPr>
        <w:jc w:val="both"/>
        <w:rPr>
          <w:rFonts w:cs="Times New Roman"/>
          <w:b/>
          <w:color w:val="000000" w:themeColor="text1"/>
        </w:rPr>
      </w:pPr>
    </w:p>
    <w:p w14:paraId="5E5E13AF" w14:textId="77777777" w:rsidR="00C72830" w:rsidRPr="00B42BE7" w:rsidRDefault="00C72830" w:rsidP="00C72830">
      <w:pPr>
        <w:jc w:val="both"/>
        <w:rPr>
          <w:rFonts w:cs="Times New Roman"/>
          <w:b/>
          <w:color w:val="000000" w:themeColor="text1"/>
        </w:rPr>
      </w:pPr>
      <w:r w:rsidRPr="00B42BE7">
        <w:rPr>
          <w:rFonts w:cs="Times New Roman"/>
          <w:b/>
          <w:color w:val="000000" w:themeColor="text1"/>
        </w:rPr>
        <w:t>Nota 2</w:t>
      </w:r>
      <w:r>
        <w:rPr>
          <w:rFonts w:cs="Times New Roman"/>
          <w:b/>
          <w:color w:val="000000" w:themeColor="text1"/>
        </w:rPr>
        <w:t>3</w:t>
      </w:r>
      <w:r w:rsidRPr="00B42BE7">
        <w:rPr>
          <w:rFonts w:cs="Times New Roman"/>
          <w:b/>
          <w:color w:val="000000" w:themeColor="text1"/>
        </w:rPr>
        <w:t xml:space="preserve"> – Atividades Operacionais</w:t>
      </w:r>
    </w:p>
    <w:p w14:paraId="5A26165C" w14:textId="77777777" w:rsidR="00C72830" w:rsidRPr="00481872" w:rsidRDefault="00C72830" w:rsidP="00C72830">
      <w:pPr>
        <w:jc w:val="both"/>
        <w:rPr>
          <w:rFonts w:cs="Times New Roman"/>
          <w:color w:val="7030A0"/>
        </w:rPr>
      </w:pPr>
    </w:p>
    <w:p w14:paraId="0234B5F2" w14:textId="77777777" w:rsidR="00C72830" w:rsidRPr="00090F0B" w:rsidRDefault="00C72830" w:rsidP="00C72830">
      <w:pPr>
        <w:jc w:val="both"/>
        <w:rPr>
          <w:rFonts w:cs="Times New Roman"/>
        </w:rPr>
      </w:pPr>
      <w:r w:rsidRPr="00090F0B">
        <w:rPr>
          <w:rFonts w:cs="Times New Roman"/>
        </w:rPr>
        <w:t>As Atividades Operacionais</w:t>
      </w:r>
      <w:r w:rsidRPr="00090F0B">
        <w:rPr>
          <w:rFonts w:cs="Times New Roman"/>
          <w:i/>
        </w:rPr>
        <w:t xml:space="preserve"> </w:t>
      </w:r>
      <w:r w:rsidRPr="00090F0B">
        <w:rPr>
          <w:rFonts w:cs="Times New Roman"/>
        </w:rPr>
        <w:t xml:space="preserve">apresentaram variação negativa de -67,19%, neste quarto trimestre de 2020, com decréscimos nos Ingressos, contabilizados no grupo </w:t>
      </w:r>
      <w:r w:rsidRPr="00090F0B">
        <w:rPr>
          <w:rFonts w:cs="Times New Roman"/>
          <w:i/>
        </w:rPr>
        <w:t>Outros Ingressos Operacionais</w:t>
      </w:r>
      <w:r w:rsidRPr="00090F0B">
        <w:rPr>
          <w:rFonts w:cs="Times New Roman"/>
        </w:rPr>
        <w:t xml:space="preserve"> – </w:t>
      </w:r>
      <w:r w:rsidRPr="00090F0B">
        <w:rPr>
          <w:rFonts w:cs="Times New Roman"/>
          <w:i/>
        </w:rPr>
        <w:t xml:space="preserve">Transferências Financeiras Recebidas, que apurou um recuo no </w:t>
      </w:r>
      <w:r w:rsidRPr="00090F0B">
        <w:rPr>
          <w:rFonts w:cs="Times New Roman"/>
        </w:rPr>
        <w:t xml:space="preserve">valor de </w:t>
      </w:r>
      <w:r w:rsidRPr="00090F0B">
        <w:rPr>
          <w:rFonts w:cs="Times New Roman"/>
          <w:color w:val="000000" w:themeColor="text1"/>
        </w:rPr>
        <w:t xml:space="preserve">R$ 1.756.479.914,92, contabilizados </w:t>
      </w:r>
      <w:r w:rsidRPr="00090F0B">
        <w:rPr>
          <w:rFonts w:cs="Times New Roman"/>
        </w:rPr>
        <w:t>com maior redução no órgão 53000-MDR, no montante de R$1.651.125.257,71.</w:t>
      </w:r>
    </w:p>
    <w:p w14:paraId="3B34B552" w14:textId="77777777" w:rsidR="00C72830" w:rsidRPr="00B42BE7" w:rsidRDefault="00C72830" w:rsidP="00C72830">
      <w:pPr>
        <w:jc w:val="both"/>
        <w:rPr>
          <w:rFonts w:cs="Times New Roman"/>
          <w:color w:val="000000" w:themeColor="text1"/>
        </w:rPr>
      </w:pPr>
      <w:r w:rsidRPr="00090F0B">
        <w:rPr>
          <w:rFonts w:cs="Times New Roman"/>
          <w:color w:val="000000" w:themeColor="text1"/>
        </w:rPr>
        <w:t xml:space="preserve">Houve aumento nos </w:t>
      </w:r>
      <w:r w:rsidRPr="00090F0B">
        <w:rPr>
          <w:rFonts w:cs="Times New Roman"/>
          <w:i/>
          <w:color w:val="000000" w:themeColor="text1"/>
        </w:rPr>
        <w:t xml:space="preserve">Desembolsos, no Grupo Outros Desembolsos Operacionais – Demais Pagamentos, </w:t>
      </w:r>
      <w:r w:rsidRPr="00090F0B">
        <w:rPr>
          <w:rFonts w:cs="Times New Roman"/>
          <w:color w:val="000000" w:themeColor="text1"/>
        </w:rPr>
        <w:t>no valor de R$ 10.382.996.897,71</w:t>
      </w:r>
      <w:r w:rsidRPr="00090F0B">
        <w:rPr>
          <w:rFonts w:cs="Times New Roman"/>
        </w:rPr>
        <w:t>, com maior acréscimo no órgão 53903-Fundo Constitucional de Financiamento do Nordeste, seguido pelo 53901-Fundo Constitucional de Financiamento do Norte, em contrapartida com o trimestre anterior</w:t>
      </w:r>
      <w:r>
        <w:rPr>
          <w:rFonts w:cs="Times New Roman"/>
        </w:rPr>
        <w:t>.</w:t>
      </w:r>
    </w:p>
    <w:p w14:paraId="701CCB4D" w14:textId="77777777" w:rsidR="00C72830" w:rsidRDefault="00C72830" w:rsidP="00C72830">
      <w:pPr>
        <w:jc w:val="both"/>
        <w:rPr>
          <w:rFonts w:cs="Times New Roman"/>
          <w:color w:val="000000" w:themeColor="text1"/>
        </w:rPr>
      </w:pPr>
    </w:p>
    <w:p w14:paraId="1BB048E1" w14:textId="77777777" w:rsidR="00C72830" w:rsidRPr="00B42BE7" w:rsidRDefault="00C72830" w:rsidP="00C72830">
      <w:pPr>
        <w:jc w:val="both"/>
        <w:rPr>
          <w:rFonts w:cs="Times New Roman"/>
          <w:color w:val="000000" w:themeColor="text1"/>
        </w:rPr>
      </w:pPr>
    </w:p>
    <w:p w14:paraId="54E8959C" w14:textId="77777777" w:rsidR="00C72830" w:rsidRPr="00B42BE7" w:rsidRDefault="00C72830" w:rsidP="00C72830">
      <w:pPr>
        <w:jc w:val="both"/>
        <w:rPr>
          <w:rFonts w:cs="Times New Roman"/>
          <w:b/>
          <w:color w:val="000000" w:themeColor="text1"/>
        </w:rPr>
      </w:pPr>
      <w:r w:rsidRPr="00B42BE7">
        <w:rPr>
          <w:rFonts w:cs="Times New Roman"/>
          <w:b/>
          <w:color w:val="000000" w:themeColor="text1"/>
        </w:rPr>
        <w:t>Nota 2</w:t>
      </w:r>
      <w:r>
        <w:rPr>
          <w:rFonts w:cs="Times New Roman"/>
          <w:b/>
          <w:color w:val="000000" w:themeColor="text1"/>
        </w:rPr>
        <w:t>4</w:t>
      </w:r>
      <w:r w:rsidRPr="00B42BE7">
        <w:rPr>
          <w:rFonts w:cs="Times New Roman"/>
          <w:b/>
          <w:color w:val="000000" w:themeColor="text1"/>
        </w:rPr>
        <w:t xml:space="preserve"> – Atividades de Investimento</w:t>
      </w:r>
    </w:p>
    <w:p w14:paraId="79C07283" w14:textId="77777777" w:rsidR="00C72830" w:rsidRPr="00B42BE7" w:rsidRDefault="00C72830" w:rsidP="00C72830">
      <w:pPr>
        <w:jc w:val="both"/>
        <w:rPr>
          <w:rFonts w:cs="Times New Roman"/>
          <w:b/>
          <w:color w:val="000000" w:themeColor="text1"/>
        </w:rPr>
      </w:pPr>
    </w:p>
    <w:p w14:paraId="66F5FA8E" w14:textId="73762706" w:rsidR="00C72830" w:rsidRPr="00090F0B" w:rsidRDefault="00C72830" w:rsidP="00C72830">
      <w:pPr>
        <w:jc w:val="both"/>
        <w:rPr>
          <w:rFonts w:cs="Times New Roman"/>
        </w:rPr>
      </w:pPr>
      <w:r w:rsidRPr="00090F0B">
        <w:rPr>
          <w:rFonts w:cs="Times New Roman"/>
          <w:color w:val="000000" w:themeColor="text1"/>
        </w:rPr>
        <w:t xml:space="preserve">As </w:t>
      </w:r>
      <w:r w:rsidRPr="00090F0B">
        <w:rPr>
          <w:rFonts w:cs="Times New Roman"/>
          <w:i/>
          <w:color w:val="000000" w:themeColor="text1"/>
        </w:rPr>
        <w:t>Atividades de Investimento</w:t>
      </w:r>
      <w:r w:rsidRPr="00090F0B">
        <w:rPr>
          <w:rFonts w:cs="Times New Roman"/>
          <w:color w:val="000000" w:themeColor="text1"/>
        </w:rPr>
        <w:t xml:space="preserve"> apresentaram uma variação negativa de -17,48%, contudo, teve aumento nos Ingressos, no grupo de Amortização de Empréstimos e Financiamentos, no percentual de 137,93%, por outro lado, houve uma redução nos Desembolsos, no Grupo Outros Desembolsos de Investimentos, no percentual de -48,52</w:t>
      </w:r>
      <w:r w:rsidRPr="00090F0B">
        <w:rPr>
          <w:rFonts w:cs="Times New Roman"/>
        </w:rPr>
        <w:t>%.  As maiores variações</w:t>
      </w:r>
      <w:r>
        <w:rPr>
          <w:rFonts w:cs="Times New Roman"/>
        </w:rPr>
        <w:t xml:space="preserve"> </w:t>
      </w:r>
      <w:r w:rsidRPr="00090F0B">
        <w:rPr>
          <w:rFonts w:cs="Times New Roman"/>
        </w:rPr>
        <w:t xml:space="preserve">que ocorreram em Outros Desembolsos de Investimentos, </w:t>
      </w:r>
      <w:r>
        <w:rPr>
          <w:rFonts w:cs="Times New Roman"/>
        </w:rPr>
        <w:t>se deu</w:t>
      </w:r>
      <w:r w:rsidRPr="00090F0B">
        <w:rPr>
          <w:rFonts w:cs="Times New Roman"/>
        </w:rPr>
        <w:t xml:space="preserve"> no órgão 53000-MDR, UG da Secretaria Nacional de Habitação, que teve recuo comparado com o trimestre anterior.</w:t>
      </w:r>
    </w:p>
    <w:p w14:paraId="059A1A3E" w14:textId="77777777" w:rsidR="00C72830" w:rsidRPr="00B42BE7" w:rsidRDefault="00C72830" w:rsidP="00C72830">
      <w:pPr>
        <w:jc w:val="both"/>
        <w:rPr>
          <w:rFonts w:cs="Times New Roman"/>
          <w:color w:val="000000" w:themeColor="text1"/>
        </w:rPr>
      </w:pPr>
    </w:p>
    <w:p w14:paraId="03ED6B48" w14:textId="77777777" w:rsidR="00C72830" w:rsidRPr="00B42BE7" w:rsidRDefault="00C72830" w:rsidP="00C72830">
      <w:pPr>
        <w:jc w:val="both"/>
        <w:rPr>
          <w:rFonts w:cs="Times New Roman"/>
          <w:color w:val="000000" w:themeColor="text1"/>
        </w:rPr>
      </w:pPr>
    </w:p>
    <w:p w14:paraId="463969D2" w14:textId="77777777" w:rsidR="00C72830" w:rsidRPr="00B42BE7" w:rsidRDefault="00C72830" w:rsidP="00C72830">
      <w:pPr>
        <w:jc w:val="both"/>
        <w:rPr>
          <w:rFonts w:cs="Times New Roman"/>
          <w:color w:val="000000" w:themeColor="text1"/>
        </w:rPr>
      </w:pPr>
      <w:r w:rsidRPr="00B42BE7">
        <w:rPr>
          <w:rFonts w:cs="Times New Roman"/>
          <w:b/>
          <w:color w:val="000000" w:themeColor="text1"/>
        </w:rPr>
        <w:t>Nota 2</w:t>
      </w:r>
      <w:r>
        <w:rPr>
          <w:rFonts w:cs="Times New Roman"/>
          <w:b/>
          <w:color w:val="000000" w:themeColor="text1"/>
        </w:rPr>
        <w:t>5</w:t>
      </w:r>
      <w:r w:rsidRPr="00B42BE7">
        <w:rPr>
          <w:rFonts w:cs="Times New Roman"/>
          <w:b/>
          <w:color w:val="000000" w:themeColor="text1"/>
        </w:rPr>
        <w:t xml:space="preserve"> – Atividades de Financiamento</w:t>
      </w:r>
    </w:p>
    <w:p w14:paraId="239D6DC4" w14:textId="77777777" w:rsidR="00C72830" w:rsidRPr="00B42BE7" w:rsidRDefault="00C72830" w:rsidP="00C72830">
      <w:pPr>
        <w:jc w:val="both"/>
        <w:rPr>
          <w:rFonts w:cs="Times New Roman"/>
          <w:b/>
          <w:color w:val="000000" w:themeColor="text1"/>
        </w:rPr>
      </w:pPr>
    </w:p>
    <w:p w14:paraId="6988AED3" w14:textId="77777777" w:rsidR="00C72830" w:rsidRPr="00090F0B" w:rsidRDefault="00C72830" w:rsidP="00C72830">
      <w:pPr>
        <w:jc w:val="both"/>
        <w:rPr>
          <w:rFonts w:cs="Times New Roman"/>
          <w:color w:val="000000" w:themeColor="text1"/>
        </w:rPr>
      </w:pPr>
      <w:r w:rsidRPr="00090F0B">
        <w:rPr>
          <w:rFonts w:cs="Times New Roman"/>
          <w:i/>
          <w:color w:val="000000" w:themeColor="text1"/>
        </w:rPr>
        <w:t>Atividades de Financiamento</w:t>
      </w:r>
      <w:r w:rsidRPr="00090F0B">
        <w:rPr>
          <w:rFonts w:cs="Times New Roman"/>
          <w:color w:val="000000" w:themeColor="text1"/>
        </w:rPr>
        <w:t xml:space="preserve"> não foram realizadas, conforme demonstrativo das Demonstraç</w:t>
      </w:r>
      <w:r>
        <w:rPr>
          <w:rFonts w:cs="Times New Roman"/>
          <w:color w:val="000000" w:themeColor="text1"/>
        </w:rPr>
        <w:t>ões dos Fluxos de Caixa</w:t>
      </w:r>
      <w:r w:rsidRPr="00090F0B">
        <w:rPr>
          <w:rFonts w:cs="Times New Roman"/>
          <w:color w:val="000000" w:themeColor="text1"/>
        </w:rPr>
        <w:t xml:space="preserve">. </w:t>
      </w:r>
    </w:p>
    <w:p w14:paraId="3BA7BE74" w14:textId="77777777" w:rsidR="00C72830" w:rsidRDefault="00C72830">
      <w:pPr>
        <w:pStyle w:val="Standard"/>
        <w:jc w:val="both"/>
        <w:rPr>
          <w:rFonts w:cs="Times New Roman"/>
          <w:color w:val="000000"/>
        </w:rPr>
      </w:pPr>
    </w:p>
    <w:p w14:paraId="6B8DB546" w14:textId="77777777" w:rsidR="00C24A65" w:rsidRDefault="00C24A65"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791ECF3F" w14:textId="77777777" w:rsidR="003475C9" w:rsidRDefault="003475C9" w:rsidP="003475C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rPr>
          <w:b/>
          <w:bCs/>
        </w:rPr>
        <w:t>DEMONSTRAÇÃO DAS MUTAÇÕES DO PATRIMÔNIO LÍQUIDO</w:t>
      </w:r>
    </w:p>
    <w:p w14:paraId="2E01A72A"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b/>
          <w:bCs/>
        </w:rPr>
      </w:pPr>
    </w:p>
    <w:p w14:paraId="1076B2BA" w14:textId="77777777" w:rsidR="003475C9" w:rsidRDefault="003475C9" w:rsidP="003475C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b/>
          <w:bCs/>
        </w:rPr>
      </w:pPr>
      <w:bookmarkStart w:id="8" w:name="_Hlk22908606"/>
      <w:r>
        <w:rPr>
          <w:b/>
          <w:bCs/>
        </w:rPr>
        <w:t>Nota 26 – Ajustes de Exercício Anterior</w:t>
      </w:r>
      <w:bookmarkEnd w:id="8"/>
    </w:p>
    <w:p w14:paraId="34B35373"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5E95405C"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t xml:space="preserve">O valor da conta dos ajustes de exercícios anteriores, do quarto trimestre de 2020, R$ </w:t>
      </w:r>
      <w:r>
        <w:rPr>
          <w:rStyle w:val="divdemonstracaocontabil"/>
        </w:rPr>
        <w:t xml:space="preserve">491.001, </w:t>
      </w:r>
      <w:r>
        <w:rPr>
          <w:lang w:val="pt-BR"/>
        </w:rPr>
        <w:t xml:space="preserve">milhões </w:t>
      </w:r>
      <w:r>
        <w:t xml:space="preserve">superou o do ano de 2019 R$ (8.152.351) bilhões. </w:t>
      </w:r>
    </w:p>
    <w:p w14:paraId="1ED3049B"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20647977"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t xml:space="preserve">Nos ajustes de Exercícios Anteriores, cerca de R$ </w:t>
      </w:r>
      <w:r>
        <w:rPr>
          <w:lang w:val="pt-BR"/>
        </w:rPr>
        <w:t xml:space="preserve"> 336,1.milhões</w:t>
      </w:r>
      <w:r>
        <w:t xml:space="preserve">, foram evidenciados na conta de </w:t>
      </w:r>
      <w:r>
        <w:rPr>
          <w:lang w:val="pt-BR"/>
        </w:rPr>
        <w:t>"</w:t>
      </w:r>
      <w:r>
        <w:t>Adiantamento para Futuro Aumento de Capital</w:t>
      </w:r>
      <w:r>
        <w:rPr>
          <w:lang w:val="pt-BR"/>
        </w:rPr>
        <w:t>”</w:t>
      </w:r>
      <w:r>
        <w:t xml:space="preserve">, </w:t>
      </w:r>
      <w:r>
        <w:rPr>
          <w:lang w:val="pt-BR"/>
        </w:rPr>
        <w:t>os registros foram</w:t>
      </w:r>
      <w:r>
        <w:t xml:space="preserve"> nas empresas CODEVASF, CBTU</w:t>
      </w:r>
      <w:r>
        <w:rPr>
          <w:lang w:val="pt-BR"/>
        </w:rPr>
        <w:t xml:space="preserve"> e</w:t>
      </w:r>
      <w:r>
        <w:t xml:space="preserve"> </w:t>
      </w:r>
      <w:r>
        <w:rPr>
          <w:lang w:val="pt-BR"/>
        </w:rPr>
        <w:t xml:space="preserve">TRENSURB </w:t>
      </w:r>
      <w:r>
        <w:t xml:space="preserve">nos percentuais de </w:t>
      </w:r>
      <w:r>
        <w:rPr>
          <w:lang w:val="pt-BR"/>
        </w:rPr>
        <w:t>93</w:t>
      </w:r>
      <w:r>
        <w:t xml:space="preserve">%; 5,39%  e </w:t>
      </w:r>
      <w:r>
        <w:rPr>
          <w:lang w:val="pt-BR"/>
        </w:rPr>
        <w:t xml:space="preserve">1,55%, </w:t>
      </w:r>
      <w:r>
        <w:t xml:space="preserve"> respectivamente.</w:t>
      </w:r>
    </w:p>
    <w:p w14:paraId="499484D3"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61B86E23" w14:textId="4EF38C75"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t xml:space="preserve">Os valores de R$ </w:t>
      </w:r>
      <w:r>
        <w:rPr>
          <w:rFonts w:eastAsia="Times New Roman"/>
          <w:bdr w:val="none" w:sz="0" w:space="0" w:color="auto" w:frame="1"/>
          <w:lang w:val="pt-BR"/>
        </w:rPr>
        <w:t xml:space="preserve">154.857, milhões </w:t>
      </w:r>
      <w:r>
        <w:t xml:space="preserve">evidenciados nos </w:t>
      </w:r>
      <w:r>
        <w:rPr>
          <w:lang w:val="pt-BR"/>
        </w:rPr>
        <w:t>"R</w:t>
      </w:r>
      <w:r>
        <w:t xml:space="preserve">esultados </w:t>
      </w:r>
      <w:r>
        <w:rPr>
          <w:lang w:val="pt-BR"/>
        </w:rPr>
        <w:t>A</w:t>
      </w:r>
      <w:r>
        <w:t>cumulados</w:t>
      </w:r>
      <w:r>
        <w:rPr>
          <w:lang w:val="pt-BR"/>
        </w:rPr>
        <w:t>"</w:t>
      </w:r>
      <w:r>
        <w:t xml:space="preserve"> do quarto trimestre de 2020 são referentes ao Superavit Financeiro</w:t>
      </w:r>
      <w:r>
        <w:rPr>
          <w:lang w:val="pt-BR"/>
        </w:rPr>
        <w:t xml:space="preserve"> (já deduzido dos prejuízos), do</w:t>
      </w:r>
      <w:r>
        <w:t xml:space="preserve"> Órgã</w:t>
      </w:r>
      <w:r>
        <w:rPr>
          <w:lang w:val="it-IT"/>
        </w:rPr>
        <w:t>o 53000 -</w:t>
      </w:r>
      <w:r>
        <w:rPr>
          <w:lang w:val="pt-BR"/>
        </w:rPr>
        <w:t xml:space="preserve"> </w:t>
      </w:r>
      <w:r w:rsidR="006A4AFD">
        <w:rPr>
          <w:lang w:val="pt-BR"/>
        </w:rPr>
        <w:t>Ministério</w:t>
      </w:r>
      <w:r>
        <w:rPr>
          <w:lang w:val="pt-BR"/>
        </w:rPr>
        <w:t xml:space="preserve"> do Desenvolvimento Regional. </w:t>
      </w:r>
    </w:p>
    <w:p w14:paraId="7B662C99"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6FF2AE98" w14:textId="3FC59C23" w:rsidR="003475C9" w:rsidRPr="00B73291"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lang w:val="pt-BR"/>
        </w:rPr>
      </w:pPr>
      <w:r>
        <w:rPr>
          <w:lang w:val="pt-BR"/>
        </w:rPr>
        <w:t>Devido a Pandemia da COVID-19 no Brasil, houve um grande volume de cancelamento de empenhos e restos a pagar referente a C</w:t>
      </w:r>
      <w:r w:rsidR="00F670CC">
        <w:rPr>
          <w:lang w:val="pt-BR"/>
        </w:rPr>
        <w:t>o</w:t>
      </w:r>
      <w:r>
        <w:rPr>
          <w:lang w:val="pt-BR"/>
        </w:rPr>
        <w:t xml:space="preserve">nvênios e </w:t>
      </w:r>
      <w:r w:rsidR="00F670CC">
        <w:rPr>
          <w:lang w:val="pt-BR"/>
        </w:rPr>
        <w:t>Congêneres</w:t>
      </w:r>
      <w:r>
        <w:rPr>
          <w:lang w:val="pt-BR"/>
        </w:rPr>
        <w:t xml:space="preserve"> </w:t>
      </w:r>
      <w:r>
        <w:t>da Secretaria Nacional de Desenvolvimento Regional e Urbano, da Caixa Econômica Federal - programas sociais, da Secretaria Nacional de Segurança Hí</w:t>
      </w:r>
      <w:r>
        <w:rPr>
          <w:lang w:val="it-IT"/>
        </w:rPr>
        <w:t>drica</w:t>
      </w:r>
      <w:r>
        <w:rPr>
          <w:lang w:val="pt-BR"/>
        </w:rPr>
        <w:t xml:space="preserve">. </w:t>
      </w:r>
      <w:proofErr w:type="gramStart"/>
      <w:r>
        <w:rPr>
          <w:lang w:val="pt-BR"/>
        </w:rPr>
        <w:t>e</w:t>
      </w:r>
      <w:proofErr w:type="gramEnd"/>
      <w:r>
        <w:rPr>
          <w:lang w:val="pt-BR"/>
        </w:rPr>
        <w:t xml:space="preserve"> da Secretaria Nacional de Defesa Civil. </w:t>
      </w:r>
    </w:p>
    <w:p w14:paraId="6B8C93E4" w14:textId="2BFD7910" w:rsidR="003475C9" w:rsidRPr="0019168C"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rPr>
          <w:lang w:val="pt-BR"/>
        </w:rPr>
        <w:t xml:space="preserve">Os registros estão evidenciados na conta contábil: </w:t>
      </w:r>
      <w:r>
        <w:t>21891.05.00</w:t>
      </w:r>
      <w:r>
        <w:rPr>
          <w:lang w:val="pt-BR"/>
        </w:rPr>
        <w:t xml:space="preserve"> </w:t>
      </w:r>
      <w:r>
        <w:rPr>
          <w:lang w:val="de-DE"/>
        </w:rPr>
        <w:t>“</w:t>
      </w:r>
      <w:r>
        <w:t>Obrigações de Conv</w:t>
      </w:r>
      <w:r>
        <w:rPr>
          <w:lang w:val="fr-FR"/>
        </w:rPr>
        <w:t>ê</w:t>
      </w:r>
      <w:r>
        <w:t>nios e Cong</w:t>
      </w:r>
      <w:r>
        <w:rPr>
          <w:lang w:val="fr-FR"/>
        </w:rPr>
        <w:t>ê</w:t>
      </w:r>
      <w:r>
        <w:t xml:space="preserve">neres a Pagar”.  </w:t>
      </w:r>
    </w:p>
    <w:p w14:paraId="0B127D34" w14:textId="77777777" w:rsidR="003475C9" w:rsidRDefault="003475C9" w:rsidP="003475C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b/>
          <w:bCs/>
        </w:rPr>
      </w:pPr>
      <w:r>
        <w:rPr>
          <w:b/>
          <w:bCs/>
        </w:rPr>
        <w:lastRenderedPageBreak/>
        <w:t>Nota 27 – Aumento/Redução de Capital</w:t>
      </w:r>
    </w:p>
    <w:p w14:paraId="5F59F29B" w14:textId="77777777" w:rsidR="003475C9" w:rsidRDefault="003475C9" w:rsidP="003475C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259FA748" w14:textId="361A2A2A" w:rsidR="003475C9" w:rsidRPr="0019168C"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rPr>
          <w:lang w:val="pt-BR"/>
        </w:rPr>
        <w:t xml:space="preserve">No quarto trimestre não houve </w:t>
      </w:r>
      <w:r>
        <w:t>aumento de capital</w:t>
      </w:r>
      <w:r>
        <w:rPr>
          <w:lang w:val="pt-BR"/>
        </w:rPr>
        <w:t>. A</w:t>
      </w:r>
      <w:r>
        <w:t xml:space="preserve"> conta de </w:t>
      </w:r>
      <w:r>
        <w:rPr>
          <w:b/>
          <w:bCs/>
          <w:i/>
          <w:iCs/>
        </w:rPr>
        <w:t>Adiantamento para Futuro Aumento de Capital-AFAC</w:t>
      </w:r>
      <w:r>
        <w:t>, no montante de R$ 64.010,97, evidencia o percentual de 0.0037221% em relação ao exercício de 2019. Lançamento realizado no</w:t>
      </w:r>
      <w:r>
        <w:rPr>
          <w:lang w:val="pt-BR"/>
        </w:rPr>
        <w:t xml:space="preserve"> primeiro trimestre do</w:t>
      </w:r>
      <w:r>
        <w:t xml:space="preserve"> Órgão CODEVASF, </w:t>
      </w:r>
      <w:r>
        <w:rPr>
          <w:lang w:val="pt-BR"/>
        </w:rPr>
        <w:t>devido ao</w:t>
      </w:r>
      <w:r>
        <w:t xml:space="preserve"> resultado dos recebimentos de financeiro da Setorial Financeira de Órgão Superior</w:t>
      </w:r>
      <w:r>
        <w:rPr>
          <w:lang w:val="de-DE"/>
        </w:rPr>
        <w:t xml:space="preserve">.  </w:t>
      </w:r>
    </w:p>
    <w:p w14:paraId="78E12ED9" w14:textId="5849BDBB"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lang w:val="pt-BR"/>
        </w:rPr>
      </w:pPr>
      <w:r>
        <w:rPr>
          <w:lang w:val="pt-BR"/>
        </w:rPr>
        <w:t>A realização de capital social ocorreu no segundo trimestre, conforme Assembleia Geral Ordinária de 15/4/2020 no valor de R$ 515.689.315,56, da União, acionista majoritária da CODEVASF, recebidos no exercício de 2019.</w:t>
      </w:r>
    </w:p>
    <w:p w14:paraId="354F6312"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b/>
          <w:bCs/>
        </w:rPr>
      </w:pPr>
    </w:p>
    <w:p w14:paraId="5D0D73CE" w14:textId="77777777" w:rsidR="0019168C" w:rsidRDefault="0019168C"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b/>
          <w:bCs/>
        </w:rPr>
      </w:pPr>
    </w:p>
    <w:p w14:paraId="4198778A"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b/>
          <w:bCs/>
        </w:rPr>
      </w:pPr>
      <w:r>
        <w:rPr>
          <w:b/>
          <w:bCs/>
        </w:rPr>
        <w:t xml:space="preserve">Nota 28 - Const./Realiz. da Reserva de Reavaliação de Ativos  </w:t>
      </w:r>
    </w:p>
    <w:p w14:paraId="112EC659"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4A7BF64F"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t xml:space="preserve">A Constituicao/Realização de Reserva do quarto trimestre de 2020 corresponde ao percentual de 328,61% em relação ao do  exercicio de 2019. </w:t>
      </w:r>
    </w:p>
    <w:p w14:paraId="10A51476" w14:textId="6CFA49CD"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lang w:val="pt-BR"/>
        </w:rPr>
      </w:pPr>
      <w:r>
        <w:rPr>
          <w:lang w:val="pt-BR"/>
        </w:rPr>
        <w:t>No quarto trimestre houve reversão de reserva do exercício da Empresa CBTU R$ 494.767,20 e da CODEVASF R$ 1.975,68, perfazendo um total de R$ 496.742,88.</w:t>
      </w:r>
    </w:p>
    <w:p w14:paraId="150D1451" w14:textId="0299E0AE" w:rsidR="003475C9" w:rsidRDefault="003475C9" w:rsidP="00C24A65">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lang w:val="pt-BR"/>
        </w:rPr>
      </w:pPr>
      <w:r>
        <w:rPr>
          <w:lang w:val="pt-BR"/>
        </w:rPr>
        <w:t xml:space="preserve">No segundo trimestre houve regularização dos “Resultados Acumulados" da empresa Trensurb.  </w:t>
      </w:r>
      <w:proofErr w:type="gramStart"/>
      <w:r>
        <w:rPr>
          <w:lang w:val="pt-BR"/>
        </w:rPr>
        <w:t>na</w:t>
      </w:r>
      <w:proofErr w:type="gramEnd"/>
      <w:r>
        <w:rPr>
          <w:lang w:val="pt-BR"/>
        </w:rPr>
        <w:t xml:space="preserve"> conta de "Obras em Andamento”.</w:t>
      </w:r>
    </w:p>
    <w:p w14:paraId="3AABDFD1" w14:textId="77777777" w:rsidR="0019168C" w:rsidRDefault="0019168C" w:rsidP="00C24A65">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lang w:val="pt-BR"/>
        </w:rPr>
      </w:pPr>
    </w:p>
    <w:p w14:paraId="68209BD9" w14:textId="77777777" w:rsidR="0019168C" w:rsidRPr="00C24A65" w:rsidRDefault="0019168C" w:rsidP="00C24A65">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lang w:val="pt-BR"/>
        </w:rPr>
      </w:pPr>
    </w:p>
    <w:p w14:paraId="723BAE37" w14:textId="77777777" w:rsidR="0019168C"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rPr>
          <w:b/>
        </w:rPr>
        <w:t>Nota 29 – Ajuste de Avaliação Patrimonial</w:t>
      </w:r>
      <w:r>
        <w:t xml:space="preserve"> </w:t>
      </w:r>
    </w:p>
    <w:p w14:paraId="31D12984" w14:textId="769778AD"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t xml:space="preserve"> </w:t>
      </w:r>
    </w:p>
    <w:p w14:paraId="4032685F"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t xml:space="preserve">O Ajuste de Avaliação Patrimonial do quarto trimestre de 2020 corresponde a (3,25%)  do exercício de 2019.  </w:t>
      </w:r>
    </w:p>
    <w:p w14:paraId="72C2433D" w14:textId="737BB2F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t xml:space="preserve">No quarto trimestre houve redução do Ativo da Empresa Trensurb na conta </w:t>
      </w:r>
      <w:proofErr w:type="gramStart"/>
      <w:r>
        <w:t xml:space="preserve">“ </w:t>
      </w:r>
      <w:proofErr w:type="gramEnd"/>
      <w:r>
        <w:t>Veiculos Ferroviarios” 12311.05.02  equivalente a R$ (2.199.063,46).</w:t>
      </w:r>
    </w:p>
    <w:p w14:paraId="08C3F9C3" w14:textId="77777777" w:rsidR="00C24A65" w:rsidRDefault="00C24A65"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4607B0E5" w14:textId="77777777" w:rsidR="0019168C" w:rsidRPr="00C24A65" w:rsidRDefault="0019168C"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219A779E" w14:textId="7FBCA125"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b/>
          <w:bCs/>
        </w:rPr>
      </w:pPr>
      <w:r>
        <w:rPr>
          <w:b/>
          <w:bCs/>
          <w:lang w:val="it-IT"/>
        </w:rPr>
        <w:t xml:space="preserve">Nota 30 </w:t>
      </w:r>
      <w:r>
        <w:rPr>
          <w:b/>
          <w:bCs/>
        </w:rPr>
        <w:t>– Resultado do Exercí</w:t>
      </w:r>
      <w:proofErr w:type="spellStart"/>
      <w:r w:rsidR="008E39A5">
        <w:rPr>
          <w:b/>
          <w:bCs/>
          <w:lang w:val="es-ES_tradnl"/>
        </w:rPr>
        <w:t>cio</w:t>
      </w:r>
      <w:proofErr w:type="spellEnd"/>
    </w:p>
    <w:p w14:paraId="3DEBB700" w14:textId="77777777" w:rsidR="003475C9" w:rsidRDefault="003475C9" w:rsidP="003475C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b/>
          <w:bCs/>
          <w:color w:val="FF0000"/>
        </w:rPr>
      </w:pPr>
    </w:p>
    <w:p w14:paraId="01980C2C" w14:textId="4878078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lang w:val="pt-BR"/>
        </w:rPr>
      </w:pPr>
      <w:r>
        <w:t>O resultado do exercício do quarto trimestre no montante de R$ 16,6 bilhões</w:t>
      </w:r>
      <w:proofErr w:type="gramStart"/>
      <w:r>
        <w:t>, deu-se</w:t>
      </w:r>
      <w:proofErr w:type="gramEnd"/>
      <w:r>
        <w:t xml:space="preserve"> em virtude da confrontação das Variações Patrimoniais Aumentativas e das Variações Patrimoniais Diminutivas, </w:t>
      </w:r>
      <w:r>
        <w:rPr>
          <w:lang w:val="pt-BR"/>
        </w:rPr>
        <w:t>e representa um au</w:t>
      </w:r>
      <w:r w:rsidR="00B73291">
        <w:rPr>
          <w:lang w:val="pt-BR"/>
        </w:rPr>
        <w:t>mento de 25% em relação a 2019.</w:t>
      </w:r>
    </w:p>
    <w:p w14:paraId="6B5EE17E" w14:textId="77777777" w:rsidR="00C24A65" w:rsidRDefault="00C24A65"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lang w:val="pt-BR"/>
        </w:rPr>
      </w:pPr>
    </w:p>
    <w:p w14:paraId="301A0B99" w14:textId="77777777" w:rsidR="0019168C" w:rsidRDefault="0019168C"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lang w:val="pt-BR"/>
        </w:rPr>
      </w:pPr>
    </w:p>
    <w:p w14:paraId="44D63C27"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b/>
        </w:rPr>
      </w:pPr>
      <w:r>
        <w:rPr>
          <w:b/>
        </w:rPr>
        <w:t xml:space="preserve">Nota 31 – Constituição/Reversão de Reservas </w:t>
      </w:r>
    </w:p>
    <w:p w14:paraId="69CE6AF9"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2EEAC540"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t xml:space="preserve">A Constituição/Reversão de Reservas do quarto trimestre de 2020 representa (0,17%)  de 2019. </w:t>
      </w:r>
    </w:p>
    <w:p w14:paraId="7F9DE636" w14:textId="77777777" w:rsidR="003475C9" w:rsidRDefault="003475C9" w:rsidP="003475C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t>No quarto trimestre a  Empresa CBTU utilizou da Reserva de Capital para absorver parte equivalente dos prejuizos acumulados, conforme deliberação na Reunião Ordinária n. 626 no valor de R$ 2,2 milhões.</w:t>
      </w:r>
    </w:p>
    <w:p w14:paraId="2199BF25" w14:textId="1F917AD5" w:rsidR="00397A9E" w:rsidRDefault="003475C9" w:rsidP="00B73291">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t>Os valores</w:t>
      </w:r>
      <w:proofErr w:type="gramStart"/>
      <w:r>
        <w:t xml:space="preserve">  </w:t>
      </w:r>
      <w:proofErr w:type="gramEnd"/>
      <w:r>
        <w:t xml:space="preserve">de R$ 17,3 milhões evidenciados nos “Resultados Acumulados” do quarto trimestre da Empresa CBTU deu se em virtude dos </w:t>
      </w:r>
      <w:r w:rsidRPr="003475C9">
        <w:t>ajustes dos Lucros e Prejuízos acumulados.</w:t>
      </w:r>
    </w:p>
    <w:p w14:paraId="1B03B93E" w14:textId="77777777" w:rsidR="00B73291" w:rsidRDefault="00B73291" w:rsidP="00B73291">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2B21F26E" w14:textId="77777777" w:rsidR="00B73291" w:rsidRDefault="00B73291" w:rsidP="00B73291">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p>
    <w:p w14:paraId="2246C0B7" w14:textId="77777777" w:rsidR="00762866" w:rsidRDefault="00762866" w:rsidP="00762866">
      <w:pPr>
        <w:pStyle w:val="Standard"/>
        <w:jc w:val="center"/>
        <w:rPr>
          <w:rFonts w:cs="Times New Roman"/>
          <w:bCs/>
        </w:rPr>
      </w:pPr>
      <w:r>
        <w:rPr>
          <w:rFonts w:cs="Times New Roman"/>
          <w:bCs/>
        </w:rPr>
        <w:t>Brasília-DF, 3</w:t>
      </w:r>
      <w:r w:rsidR="00C106D9">
        <w:rPr>
          <w:rFonts w:cs="Times New Roman"/>
          <w:bCs/>
        </w:rPr>
        <w:t>1</w:t>
      </w:r>
      <w:r w:rsidR="0073007B">
        <w:rPr>
          <w:rFonts w:cs="Times New Roman"/>
          <w:bCs/>
        </w:rPr>
        <w:t xml:space="preserve"> </w:t>
      </w:r>
      <w:r>
        <w:rPr>
          <w:rFonts w:cs="Times New Roman"/>
          <w:bCs/>
        </w:rPr>
        <w:t xml:space="preserve">de </w:t>
      </w:r>
      <w:r w:rsidR="00C106D9">
        <w:rPr>
          <w:rFonts w:cs="Times New Roman"/>
          <w:bCs/>
        </w:rPr>
        <w:t>dezembro</w:t>
      </w:r>
      <w:r>
        <w:rPr>
          <w:rFonts w:cs="Times New Roman"/>
          <w:bCs/>
        </w:rPr>
        <w:t xml:space="preserve"> de </w:t>
      </w:r>
      <w:proofErr w:type="gramStart"/>
      <w:r>
        <w:rPr>
          <w:rFonts w:cs="Times New Roman"/>
          <w:bCs/>
        </w:rPr>
        <w:t>20</w:t>
      </w:r>
      <w:r w:rsidR="0073007B">
        <w:rPr>
          <w:rFonts w:cs="Times New Roman"/>
          <w:bCs/>
        </w:rPr>
        <w:t>20</w:t>
      </w:r>
      <w:proofErr w:type="gramEnd"/>
    </w:p>
    <w:p w14:paraId="6EB62745" w14:textId="77777777" w:rsidR="0019168C" w:rsidRDefault="0019168C" w:rsidP="00762866">
      <w:pPr>
        <w:pStyle w:val="Standard"/>
        <w:jc w:val="center"/>
        <w:rPr>
          <w:rFonts w:cs="Times New Roman"/>
          <w:bCs/>
        </w:rPr>
      </w:pPr>
    </w:p>
    <w:p w14:paraId="0F5BF0E5" w14:textId="77777777" w:rsidR="00762866" w:rsidRDefault="00762866" w:rsidP="00762866">
      <w:pPr>
        <w:pStyle w:val="Standard"/>
        <w:jc w:val="center"/>
        <w:rPr>
          <w:rFonts w:cs="Times New Roman"/>
          <w:bCs/>
        </w:rPr>
      </w:pPr>
      <w:r>
        <w:rPr>
          <w:rFonts w:cs="Times New Roman"/>
          <w:bCs/>
        </w:rPr>
        <w:t>Rômulo de Sousa Monteiro – Contador Responsável</w:t>
      </w:r>
    </w:p>
    <w:p w14:paraId="1EB090C9" w14:textId="78E640C8" w:rsidR="00B021BF" w:rsidRPr="00B73291" w:rsidRDefault="00C24A65" w:rsidP="00B73291">
      <w:pPr>
        <w:pStyle w:val="Standard"/>
        <w:jc w:val="center"/>
        <w:rPr>
          <w:rFonts w:cs="Times New Roman"/>
          <w:bCs/>
        </w:rPr>
      </w:pPr>
      <w:r>
        <w:rPr>
          <w:rFonts w:cs="Times New Roman"/>
          <w:bCs/>
        </w:rPr>
        <w:t>CRC nº 016582</w:t>
      </w:r>
    </w:p>
    <w:sectPr w:rsidR="00B021BF" w:rsidRPr="00B73291">
      <w:pgSz w:w="11906" w:h="16838"/>
      <w:pgMar w:top="1418" w:right="567"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3ACEA" w14:textId="77777777" w:rsidR="00EE1D2B" w:rsidRDefault="00EE1D2B">
      <w:r>
        <w:separator/>
      </w:r>
    </w:p>
  </w:endnote>
  <w:endnote w:type="continuationSeparator" w:id="0">
    <w:p w14:paraId="5278402E" w14:textId="77777777" w:rsidR="00EE1D2B" w:rsidRDefault="00EE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ansSerif">
    <w:altName w:val="Cambria"/>
    <w:charset w:val="00"/>
    <w:family w:val="roman"/>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331F8" w14:textId="77777777" w:rsidR="00EE1D2B" w:rsidRDefault="00EE1D2B">
      <w:r>
        <w:rPr>
          <w:color w:val="000000"/>
        </w:rPr>
        <w:separator/>
      </w:r>
    </w:p>
  </w:footnote>
  <w:footnote w:type="continuationSeparator" w:id="0">
    <w:p w14:paraId="1A91C27B" w14:textId="77777777" w:rsidR="00EE1D2B" w:rsidRDefault="00EE1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2442"/>
    <w:multiLevelType w:val="hybridMultilevel"/>
    <w:tmpl w:val="ABC4E9FC"/>
    <w:lvl w:ilvl="0" w:tplc="14CE797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8F6F6C"/>
    <w:multiLevelType w:val="multilevel"/>
    <w:tmpl w:val="B678A8BA"/>
    <w:styleLink w:val="WW8Num21"/>
    <w:lvl w:ilvl="0">
      <w:numFmt w:val="bullet"/>
      <w:lvlText w:val=""/>
      <w:lvlJc w:val="left"/>
      <w:pPr>
        <w:ind w:left="1068" w:hanging="360"/>
      </w:pPr>
      <w:rPr>
        <w:rFonts w:ascii="Symbol" w:hAnsi="Symbol" w:cs="Symbol"/>
      </w:rPr>
    </w:lvl>
    <w:lvl w:ilvl="1">
      <w:start w:val="1"/>
      <w:numFmt w:val="lowerRoman"/>
      <w:lvlText w:val="%2."/>
      <w:lvlJc w:val="righ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28C36F36"/>
    <w:multiLevelType w:val="multilevel"/>
    <w:tmpl w:val="79A053F2"/>
    <w:styleLink w:val="WW8Num23"/>
    <w:lvl w:ilvl="0">
      <w:start w:val="1"/>
      <w:numFmt w:val="lowerLetter"/>
      <w:lvlText w:val="%1)"/>
      <w:lvlJc w:val="left"/>
      <w:pPr>
        <w:ind w:left="1287" w:hanging="360"/>
      </w:pPr>
      <w:rPr>
        <w:rFonts w:ascii="Arial" w:hAnsi="Arial" w:cs="Arial"/>
      </w:rPr>
    </w:lvl>
    <w:lvl w:ilvl="1">
      <w:numFmt w:val="bullet"/>
      <w:lvlText w:val=""/>
      <w:lvlJc w:val="left"/>
      <w:pPr>
        <w:ind w:left="2007" w:hanging="360"/>
      </w:pPr>
      <w:rPr>
        <w:rFonts w:ascii="Symbol" w:hAnsi="Symbol" w:cs="Symbol"/>
      </w:rPr>
    </w:lvl>
    <w:lvl w:ilvl="2">
      <w:start w:val="1"/>
      <w:numFmt w:val="upp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2AC2166A"/>
    <w:multiLevelType w:val="multilevel"/>
    <w:tmpl w:val="368E6A80"/>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4">
    <w:nsid w:val="3101294F"/>
    <w:multiLevelType w:val="multilevel"/>
    <w:tmpl w:val="FF94568C"/>
    <w:styleLink w:val="LFO7"/>
    <w:lvl w:ilvl="0">
      <w:start w:val="1"/>
      <w:numFmt w:val="decimal"/>
      <w:pStyle w:val="Figura"/>
      <w:suff w:val="nothing"/>
      <w:lvlText w:val="Figura %1 – "/>
      <w:lvlJc w:val="left"/>
      <w:pPr>
        <w:ind w:left="360" w:hanging="360"/>
      </w:pPr>
      <w:rPr>
        <w:b/>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B6A35D6"/>
    <w:multiLevelType w:val="multilevel"/>
    <w:tmpl w:val="0B644062"/>
    <w:styleLink w:val="LFO6"/>
    <w:lvl w:ilvl="0">
      <w:start w:val="1"/>
      <w:numFmt w:val="decimal"/>
      <w:pStyle w:val="Tabela2"/>
      <w:suff w:val="nothing"/>
      <w:lvlText w:val="Tabela %1 –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6063CFB"/>
    <w:multiLevelType w:val="multilevel"/>
    <w:tmpl w:val="73A87E16"/>
    <w:styleLink w:val="LFO5"/>
    <w:lvl w:ilvl="0">
      <w:start w:val="1"/>
      <w:numFmt w:val="decimal"/>
      <w:pStyle w:val="Quadro"/>
      <w:suff w:val="nothing"/>
      <w:lvlText w:val="Quadro %1 – "/>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9E"/>
    <w:rsid w:val="00000262"/>
    <w:rsid w:val="00004A90"/>
    <w:rsid w:val="00005E59"/>
    <w:rsid w:val="00015C16"/>
    <w:rsid w:val="00023117"/>
    <w:rsid w:val="0002412D"/>
    <w:rsid w:val="000401A3"/>
    <w:rsid w:val="000464B7"/>
    <w:rsid w:val="00056204"/>
    <w:rsid w:val="00066679"/>
    <w:rsid w:val="0006756A"/>
    <w:rsid w:val="000739BD"/>
    <w:rsid w:val="0007600A"/>
    <w:rsid w:val="00076306"/>
    <w:rsid w:val="000763A1"/>
    <w:rsid w:val="00076BD7"/>
    <w:rsid w:val="00083220"/>
    <w:rsid w:val="000B0FAD"/>
    <w:rsid w:val="000C355B"/>
    <w:rsid w:val="000D286E"/>
    <w:rsid w:val="000E4892"/>
    <w:rsid w:val="000F049C"/>
    <w:rsid w:val="000F7789"/>
    <w:rsid w:val="000F78D2"/>
    <w:rsid w:val="001007E3"/>
    <w:rsid w:val="0010131C"/>
    <w:rsid w:val="00103164"/>
    <w:rsid w:val="00103CC2"/>
    <w:rsid w:val="001115E8"/>
    <w:rsid w:val="00135B05"/>
    <w:rsid w:val="00154AC1"/>
    <w:rsid w:val="001615F2"/>
    <w:rsid w:val="001675EF"/>
    <w:rsid w:val="00175FB7"/>
    <w:rsid w:val="001835B5"/>
    <w:rsid w:val="0019050B"/>
    <w:rsid w:val="0019168C"/>
    <w:rsid w:val="001946F9"/>
    <w:rsid w:val="001B2081"/>
    <w:rsid w:val="001B3286"/>
    <w:rsid w:val="001B6E7F"/>
    <w:rsid w:val="001C6CD1"/>
    <w:rsid w:val="001D72C9"/>
    <w:rsid w:val="001E316D"/>
    <w:rsid w:val="001E4A54"/>
    <w:rsid w:val="001E52F6"/>
    <w:rsid w:val="001F2DE2"/>
    <w:rsid w:val="001F52CF"/>
    <w:rsid w:val="001F5575"/>
    <w:rsid w:val="002044DC"/>
    <w:rsid w:val="002050A5"/>
    <w:rsid w:val="0021370D"/>
    <w:rsid w:val="00237762"/>
    <w:rsid w:val="00251BD1"/>
    <w:rsid w:val="002638C0"/>
    <w:rsid w:val="00265D57"/>
    <w:rsid w:val="00274AB3"/>
    <w:rsid w:val="00281DBE"/>
    <w:rsid w:val="00281FCF"/>
    <w:rsid w:val="00292016"/>
    <w:rsid w:val="002A58B2"/>
    <w:rsid w:val="002A74DA"/>
    <w:rsid w:val="002B151F"/>
    <w:rsid w:val="002B5CA8"/>
    <w:rsid w:val="002E0158"/>
    <w:rsid w:val="003028F4"/>
    <w:rsid w:val="00317860"/>
    <w:rsid w:val="003179B0"/>
    <w:rsid w:val="00321095"/>
    <w:rsid w:val="003210ED"/>
    <w:rsid w:val="00325329"/>
    <w:rsid w:val="00330E88"/>
    <w:rsid w:val="00337BC4"/>
    <w:rsid w:val="00337C6C"/>
    <w:rsid w:val="003475C9"/>
    <w:rsid w:val="00350016"/>
    <w:rsid w:val="00363300"/>
    <w:rsid w:val="00370858"/>
    <w:rsid w:val="00377AB6"/>
    <w:rsid w:val="00396BC1"/>
    <w:rsid w:val="00397A9E"/>
    <w:rsid w:val="003A65A6"/>
    <w:rsid w:val="003B53B2"/>
    <w:rsid w:val="003C7606"/>
    <w:rsid w:val="003D279B"/>
    <w:rsid w:val="003D5582"/>
    <w:rsid w:val="003E22AE"/>
    <w:rsid w:val="003F6E79"/>
    <w:rsid w:val="00403610"/>
    <w:rsid w:val="00404B89"/>
    <w:rsid w:val="0041314F"/>
    <w:rsid w:val="0041458D"/>
    <w:rsid w:val="0042548D"/>
    <w:rsid w:val="0043362C"/>
    <w:rsid w:val="00447511"/>
    <w:rsid w:val="00454127"/>
    <w:rsid w:val="004660A5"/>
    <w:rsid w:val="00476C7D"/>
    <w:rsid w:val="00484A64"/>
    <w:rsid w:val="00485FAB"/>
    <w:rsid w:val="00491821"/>
    <w:rsid w:val="00493EF1"/>
    <w:rsid w:val="004A2617"/>
    <w:rsid w:val="004A28CF"/>
    <w:rsid w:val="004A31CB"/>
    <w:rsid w:val="004A3D1C"/>
    <w:rsid w:val="004A58AD"/>
    <w:rsid w:val="004A658C"/>
    <w:rsid w:val="004A6A3C"/>
    <w:rsid w:val="004B06DB"/>
    <w:rsid w:val="004D00A8"/>
    <w:rsid w:val="004D19E4"/>
    <w:rsid w:val="004D4AF3"/>
    <w:rsid w:val="004D5ED4"/>
    <w:rsid w:val="004D7365"/>
    <w:rsid w:val="004E0D7A"/>
    <w:rsid w:val="004F7279"/>
    <w:rsid w:val="00501C74"/>
    <w:rsid w:val="005215D8"/>
    <w:rsid w:val="005226CA"/>
    <w:rsid w:val="0052364C"/>
    <w:rsid w:val="00533280"/>
    <w:rsid w:val="005517E2"/>
    <w:rsid w:val="005548FA"/>
    <w:rsid w:val="00557C4B"/>
    <w:rsid w:val="00565FD1"/>
    <w:rsid w:val="005666FC"/>
    <w:rsid w:val="005717BB"/>
    <w:rsid w:val="005760FC"/>
    <w:rsid w:val="00592442"/>
    <w:rsid w:val="00596B76"/>
    <w:rsid w:val="005A4A88"/>
    <w:rsid w:val="005B701D"/>
    <w:rsid w:val="005C4D84"/>
    <w:rsid w:val="005C5B31"/>
    <w:rsid w:val="005C7D33"/>
    <w:rsid w:val="005D4679"/>
    <w:rsid w:val="005D490F"/>
    <w:rsid w:val="005E1A2A"/>
    <w:rsid w:val="005E1CE9"/>
    <w:rsid w:val="005E76B9"/>
    <w:rsid w:val="005F2F57"/>
    <w:rsid w:val="005F6721"/>
    <w:rsid w:val="006071E2"/>
    <w:rsid w:val="00614A07"/>
    <w:rsid w:val="006261C3"/>
    <w:rsid w:val="006401AB"/>
    <w:rsid w:val="00644EFB"/>
    <w:rsid w:val="006549DC"/>
    <w:rsid w:val="0066490A"/>
    <w:rsid w:val="00664924"/>
    <w:rsid w:val="00666663"/>
    <w:rsid w:val="00667AF2"/>
    <w:rsid w:val="00697AF6"/>
    <w:rsid w:val="006A20FE"/>
    <w:rsid w:val="006A4AFD"/>
    <w:rsid w:val="006A566D"/>
    <w:rsid w:val="006A70D7"/>
    <w:rsid w:val="006B50EE"/>
    <w:rsid w:val="006B55BE"/>
    <w:rsid w:val="006B5A72"/>
    <w:rsid w:val="006D16A0"/>
    <w:rsid w:val="006D3718"/>
    <w:rsid w:val="006D3D75"/>
    <w:rsid w:val="006E30F9"/>
    <w:rsid w:val="006E5440"/>
    <w:rsid w:val="006F1C45"/>
    <w:rsid w:val="006F3704"/>
    <w:rsid w:val="007009D9"/>
    <w:rsid w:val="007240DB"/>
    <w:rsid w:val="00727E83"/>
    <w:rsid w:val="0073007B"/>
    <w:rsid w:val="00732D36"/>
    <w:rsid w:val="007333AD"/>
    <w:rsid w:val="007406C8"/>
    <w:rsid w:val="0075648E"/>
    <w:rsid w:val="00762866"/>
    <w:rsid w:val="0077049D"/>
    <w:rsid w:val="007859D1"/>
    <w:rsid w:val="00792355"/>
    <w:rsid w:val="00796377"/>
    <w:rsid w:val="007B7431"/>
    <w:rsid w:val="007C2F22"/>
    <w:rsid w:val="007D2EF2"/>
    <w:rsid w:val="007F6F2B"/>
    <w:rsid w:val="00801C19"/>
    <w:rsid w:val="00807111"/>
    <w:rsid w:val="00821BC2"/>
    <w:rsid w:val="00835056"/>
    <w:rsid w:val="00837326"/>
    <w:rsid w:val="00851F57"/>
    <w:rsid w:val="00853B56"/>
    <w:rsid w:val="008573CE"/>
    <w:rsid w:val="00860662"/>
    <w:rsid w:val="00866A9B"/>
    <w:rsid w:val="008871BA"/>
    <w:rsid w:val="008A20E6"/>
    <w:rsid w:val="008A5DC3"/>
    <w:rsid w:val="008D2A6D"/>
    <w:rsid w:val="008E39A5"/>
    <w:rsid w:val="008F456E"/>
    <w:rsid w:val="008F5FCB"/>
    <w:rsid w:val="00905704"/>
    <w:rsid w:val="0092116D"/>
    <w:rsid w:val="00923ACD"/>
    <w:rsid w:val="00935918"/>
    <w:rsid w:val="0093631C"/>
    <w:rsid w:val="00936AEB"/>
    <w:rsid w:val="00945B5D"/>
    <w:rsid w:val="00957C68"/>
    <w:rsid w:val="009648B5"/>
    <w:rsid w:val="00976C66"/>
    <w:rsid w:val="00990A94"/>
    <w:rsid w:val="009B04EF"/>
    <w:rsid w:val="009B5459"/>
    <w:rsid w:val="009C4685"/>
    <w:rsid w:val="009D3DE1"/>
    <w:rsid w:val="00A125F7"/>
    <w:rsid w:val="00A159F1"/>
    <w:rsid w:val="00A166F3"/>
    <w:rsid w:val="00A35ECD"/>
    <w:rsid w:val="00A37400"/>
    <w:rsid w:val="00A407EB"/>
    <w:rsid w:val="00A6136E"/>
    <w:rsid w:val="00A65B7D"/>
    <w:rsid w:val="00A95A2D"/>
    <w:rsid w:val="00AC537D"/>
    <w:rsid w:val="00AC6CC6"/>
    <w:rsid w:val="00AD0AE5"/>
    <w:rsid w:val="00AD22B1"/>
    <w:rsid w:val="00AE1189"/>
    <w:rsid w:val="00AE323D"/>
    <w:rsid w:val="00AE71D8"/>
    <w:rsid w:val="00AE7F5C"/>
    <w:rsid w:val="00AF256E"/>
    <w:rsid w:val="00AF2E36"/>
    <w:rsid w:val="00B021BF"/>
    <w:rsid w:val="00B13916"/>
    <w:rsid w:val="00B22EF5"/>
    <w:rsid w:val="00B3108A"/>
    <w:rsid w:val="00B327A4"/>
    <w:rsid w:val="00B32AD5"/>
    <w:rsid w:val="00B37481"/>
    <w:rsid w:val="00B406D4"/>
    <w:rsid w:val="00B42317"/>
    <w:rsid w:val="00B42BE7"/>
    <w:rsid w:val="00B560A6"/>
    <w:rsid w:val="00B6417B"/>
    <w:rsid w:val="00B6765E"/>
    <w:rsid w:val="00B67D78"/>
    <w:rsid w:val="00B73291"/>
    <w:rsid w:val="00B814C8"/>
    <w:rsid w:val="00B843D6"/>
    <w:rsid w:val="00B845E8"/>
    <w:rsid w:val="00BA7133"/>
    <w:rsid w:val="00BB082F"/>
    <w:rsid w:val="00BC7DE6"/>
    <w:rsid w:val="00BD432E"/>
    <w:rsid w:val="00BD5377"/>
    <w:rsid w:val="00BD6B4B"/>
    <w:rsid w:val="00BE0C0F"/>
    <w:rsid w:val="00BF3905"/>
    <w:rsid w:val="00C043CE"/>
    <w:rsid w:val="00C106D9"/>
    <w:rsid w:val="00C24A65"/>
    <w:rsid w:val="00C44598"/>
    <w:rsid w:val="00C50515"/>
    <w:rsid w:val="00C72830"/>
    <w:rsid w:val="00C91962"/>
    <w:rsid w:val="00C97A65"/>
    <w:rsid w:val="00CB7350"/>
    <w:rsid w:val="00CC4932"/>
    <w:rsid w:val="00CC7FB8"/>
    <w:rsid w:val="00CD6E56"/>
    <w:rsid w:val="00CE2D5B"/>
    <w:rsid w:val="00CF718E"/>
    <w:rsid w:val="00D05DBE"/>
    <w:rsid w:val="00D068D4"/>
    <w:rsid w:val="00D17AEA"/>
    <w:rsid w:val="00D20F3A"/>
    <w:rsid w:val="00D233A8"/>
    <w:rsid w:val="00D23676"/>
    <w:rsid w:val="00D2712F"/>
    <w:rsid w:val="00D32EBF"/>
    <w:rsid w:val="00D33DF7"/>
    <w:rsid w:val="00D4392C"/>
    <w:rsid w:val="00D43BB2"/>
    <w:rsid w:val="00D4507A"/>
    <w:rsid w:val="00D46CA8"/>
    <w:rsid w:val="00D47003"/>
    <w:rsid w:val="00D53E74"/>
    <w:rsid w:val="00D63117"/>
    <w:rsid w:val="00D72239"/>
    <w:rsid w:val="00D72E5E"/>
    <w:rsid w:val="00D858F3"/>
    <w:rsid w:val="00D868AE"/>
    <w:rsid w:val="00DA15E5"/>
    <w:rsid w:val="00DA3C25"/>
    <w:rsid w:val="00DB5A96"/>
    <w:rsid w:val="00DB66D1"/>
    <w:rsid w:val="00DB768A"/>
    <w:rsid w:val="00DC46B0"/>
    <w:rsid w:val="00DD5E08"/>
    <w:rsid w:val="00DE5E93"/>
    <w:rsid w:val="00DF5861"/>
    <w:rsid w:val="00E02962"/>
    <w:rsid w:val="00E24494"/>
    <w:rsid w:val="00E449F4"/>
    <w:rsid w:val="00E576F0"/>
    <w:rsid w:val="00E60FDB"/>
    <w:rsid w:val="00E654AE"/>
    <w:rsid w:val="00E66836"/>
    <w:rsid w:val="00E70BD6"/>
    <w:rsid w:val="00E72B85"/>
    <w:rsid w:val="00E83EFB"/>
    <w:rsid w:val="00EA1202"/>
    <w:rsid w:val="00EB652F"/>
    <w:rsid w:val="00EB6CA7"/>
    <w:rsid w:val="00EC1C49"/>
    <w:rsid w:val="00EC70F7"/>
    <w:rsid w:val="00ED6AA6"/>
    <w:rsid w:val="00EE1D2B"/>
    <w:rsid w:val="00EF6600"/>
    <w:rsid w:val="00F33787"/>
    <w:rsid w:val="00F34622"/>
    <w:rsid w:val="00F375DE"/>
    <w:rsid w:val="00F42E93"/>
    <w:rsid w:val="00F6303C"/>
    <w:rsid w:val="00F65A71"/>
    <w:rsid w:val="00F670CC"/>
    <w:rsid w:val="00F67CB0"/>
    <w:rsid w:val="00F741C4"/>
    <w:rsid w:val="00F74765"/>
    <w:rsid w:val="00F74E9F"/>
    <w:rsid w:val="00F80C6D"/>
    <w:rsid w:val="00F82130"/>
    <w:rsid w:val="00F84F0E"/>
    <w:rsid w:val="00F978E0"/>
    <w:rsid w:val="00FB6FDF"/>
    <w:rsid w:val="00FD42B1"/>
    <w:rsid w:val="00FD5ECB"/>
    <w:rsid w:val="00FD662E"/>
    <w:rsid w:val="00FD672C"/>
    <w:rsid w:val="00FE0D0B"/>
    <w:rsid w:val="00FE53F6"/>
    <w:rsid w:val="00FE5965"/>
    <w:rsid w:val="00FE76AB"/>
    <w:rsid w:val="00FF141C"/>
    <w:rsid w:val="00FF70ED"/>
    <w:rsid w:val="00FF74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kern w:val="3"/>
        <w:sz w:val="24"/>
        <w:szCs w:val="24"/>
        <w:lang w:val="pt-B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tulo1">
    <w:name w:val="heading 1"/>
    <w:basedOn w:val="Normal"/>
    <w:next w:val="Normal"/>
    <w:uiPriority w:val="9"/>
    <w:qFormat/>
    <w:pPr>
      <w:keepNext/>
      <w:keepLines/>
      <w:widowControl/>
      <w:suppressAutoHyphens w:val="0"/>
      <w:jc w:val="both"/>
      <w:textAlignment w:val="auto"/>
      <w:outlineLvl w:val="0"/>
    </w:pPr>
    <w:rPr>
      <w:rFonts w:ascii="Arial" w:eastAsia="Times New Roman" w:hAnsi="Arial" w:cs="Times New Roman"/>
      <w:b/>
      <w:kern w:val="0"/>
      <w:szCs w:val="32"/>
      <w:lang w:eastAsia="en-US" w:bidi="ar-SA"/>
    </w:rPr>
  </w:style>
  <w:style w:type="paragraph" w:styleId="Ttulo2">
    <w:name w:val="heading 2"/>
    <w:basedOn w:val="Normal"/>
    <w:next w:val="Normal"/>
    <w:uiPriority w:val="9"/>
    <w:unhideWhenUsed/>
    <w:qFormat/>
    <w:pPr>
      <w:keepNext/>
      <w:keepLines/>
      <w:widowControl/>
      <w:suppressAutoHyphens w:val="0"/>
      <w:jc w:val="both"/>
      <w:textAlignment w:val="auto"/>
      <w:outlineLvl w:val="1"/>
    </w:pPr>
    <w:rPr>
      <w:rFonts w:ascii="Arial" w:eastAsia="Times New Roman" w:hAnsi="Arial" w:cs="Times New Roman"/>
      <w:b/>
      <w:kern w:val="0"/>
      <w:sz w:val="22"/>
      <w:szCs w:val="26"/>
      <w:lang w:eastAsia="en-US" w:bidi="ar-SA"/>
    </w:rPr>
  </w:style>
  <w:style w:type="paragraph" w:styleId="Ttulo3">
    <w:name w:val="heading 3"/>
    <w:basedOn w:val="Normal"/>
    <w:next w:val="Normal"/>
    <w:uiPriority w:val="9"/>
    <w:unhideWhenUsed/>
    <w:qFormat/>
    <w:pPr>
      <w:keepNext/>
      <w:keepLines/>
      <w:widowControl/>
      <w:suppressAutoHyphens w:val="0"/>
      <w:jc w:val="both"/>
      <w:textAlignment w:val="auto"/>
      <w:outlineLvl w:val="2"/>
    </w:pPr>
    <w:rPr>
      <w:rFonts w:ascii="Arial" w:eastAsia="Times New Roman" w:hAnsi="Arial" w:cs="Times New Roman"/>
      <w:b/>
      <w:kern w:val="0"/>
      <w:sz w:val="20"/>
      <w:lang w:eastAsia="en-US" w:bidi="ar-SA"/>
    </w:rPr>
  </w:style>
  <w:style w:type="paragraph" w:styleId="Ttulo4">
    <w:name w:val="heading 4"/>
    <w:basedOn w:val="Normal"/>
    <w:next w:val="Normal"/>
    <w:uiPriority w:val="9"/>
    <w:semiHidden/>
    <w:unhideWhenUsed/>
    <w:qFormat/>
    <w:pPr>
      <w:keepNext/>
      <w:keepLines/>
      <w:widowControl/>
      <w:suppressAutoHyphens w:val="0"/>
      <w:spacing w:before="40"/>
      <w:jc w:val="both"/>
      <w:textAlignment w:val="auto"/>
      <w:outlineLvl w:val="3"/>
    </w:pPr>
    <w:rPr>
      <w:rFonts w:ascii="Arial" w:eastAsia="Times New Roman" w:hAnsi="Arial" w:cs="Times New Roman"/>
      <w:b/>
      <w:iCs/>
      <w:color w:val="000000"/>
      <w:kern w:val="0"/>
      <w:sz w:val="20"/>
      <w:szCs w:val="22"/>
      <w:lang w:eastAsia="en-US" w:bidi="ar-SA"/>
    </w:rPr>
  </w:style>
  <w:style w:type="paragraph" w:styleId="Ttulo5">
    <w:name w:val="heading 5"/>
    <w:basedOn w:val="Normal"/>
    <w:next w:val="Normal"/>
    <w:uiPriority w:val="9"/>
    <w:semiHidden/>
    <w:unhideWhenUsed/>
    <w:qFormat/>
    <w:pPr>
      <w:keepNext/>
      <w:keepLines/>
      <w:widowControl/>
      <w:suppressAutoHyphens w:val="0"/>
      <w:spacing w:before="40"/>
      <w:jc w:val="both"/>
      <w:textAlignment w:val="auto"/>
      <w:outlineLvl w:val="4"/>
    </w:pPr>
    <w:rPr>
      <w:rFonts w:ascii="Calibri Light" w:eastAsia="Times New Roman" w:hAnsi="Calibri Light" w:cs="Times New Roman"/>
      <w:color w:val="2E74B5"/>
      <w:kern w:val="0"/>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styleId="Ttulo">
    <w:name w:val="Title"/>
    <w:basedOn w:val="Standard"/>
    <w:next w:val="Textbody"/>
    <w:uiPriority w:val="10"/>
    <w:qFormat/>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rmal3">
    <w:name w:val="Normal3"/>
    <w:basedOn w:val="Standard"/>
    <w:pPr>
      <w:ind w:firstLine="567"/>
      <w:jc w:val="both"/>
    </w:pPr>
    <w:rPr>
      <w:rFonts w:ascii="Cambria" w:eastAsia="Calibri" w:hAnsi="Cambria" w:cs="Calibri"/>
      <w:color w:val="000000"/>
      <w:sz w:val="22"/>
      <w:szCs w:val="22"/>
    </w:rPr>
  </w:style>
  <w:style w:type="character" w:customStyle="1" w:styleId="NumberingSymbols">
    <w:name w:val="Numbering Symbols"/>
  </w:style>
  <w:style w:type="character" w:customStyle="1" w:styleId="WW8Num21z0">
    <w:name w:val="WW8Num21z0"/>
    <w:rPr>
      <w:rFonts w:ascii="Symbol" w:hAnsi="Symbol" w:cs="Symbo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rPr>
      <w:rFonts w:ascii="Arial" w:hAnsi="Arial" w:cs="Arial"/>
    </w:rPr>
  </w:style>
  <w:style w:type="character" w:customStyle="1" w:styleId="WW8Num23z1">
    <w:name w:val="WW8Num23z1"/>
    <w:rPr>
      <w:rFonts w:ascii="Symbol" w:hAnsi="Symbol" w:cs="Symbol"/>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Ttulo1Char">
    <w:name w:val="Título 1 Char"/>
    <w:basedOn w:val="Fontepargpadro"/>
    <w:rPr>
      <w:rFonts w:ascii="Arial" w:eastAsia="Times New Roman" w:hAnsi="Arial" w:cs="Times New Roman"/>
      <w:b/>
      <w:kern w:val="0"/>
      <w:szCs w:val="32"/>
      <w:lang w:eastAsia="en-US" w:bidi="ar-SA"/>
    </w:rPr>
  </w:style>
  <w:style w:type="character" w:customStyle="1" w:styleId="Ttulo2Char">
    <w:name w:val="Título 2 Char"/>
    <w:basedOn w:val="Fontepargpadro"/>
    <w:rPr>
      <w:rFonts w:ascii="Arial" w:eastAsia="Times New Roman" w:hAnsi="Arial" w:cs="Times New Roman"/>
      <w:b/>
      <w:kern w:val="0"/>
      <w:sz w:val="22"/>
      <w:szCs w:val="26"/>
      <w:lang w:eastAsia="en-US" w:bidi="ar-SA"/>
    </w:rPr>
  </w:style>
  <w:style w:type="character" w:customStyle="1" w:styleId="Ttulo3Char">
    <w:name w:val="Título 3 Char"/>
    <w:basedOn w:val="Fontepargpadro"/>
    <w:uiPriority w:val="9"/>
    <w:rPr>
      <w:rFonts w:ascii="Arial" w:eastAsia="Times New Roman" w:hAnsi="Arial" w:cs="Times New Roman"/>
      <w:b/>
      <w:kern w:val="0"/>
      <w:sz w:val="20"/>
      <w:lang w:eastAsia="en-US" w:bidi="ar-SA"/>
    </w:rPr>
  </w:style>
  <w:style w:type="paragraph" w:styleId="PargrafodaLista">
    <w:name w:val="List Paragraph"/>
    <w:basedOn w:val="Normal"/>
    <w:uiPriority w:val="34"/>
    <w:qFormat/>
    <w:pPr>
      <w:ind w:left="720"/>
    </w:pPr>
    <w:rPr>
      <w:rFonts w:cs="Mangal"/>
      <w:szCs w:val="21"/>
    </w:rPr>
  </w:style>
  <w:style w:type="character" w:customStyle="1" w:styleId="Ttulo4Char">
    <w:name w:val="Título 4 Char"/>
    <w:basedOn w:val="Fontepargpadro"/>
    <w:rPr>
      <w:rFonts w:ascii="Arial" w:eastAsia="Times New Roman" w:hAnsi="Arial" w:cs="Times New Roman"/>
      <w:b/>
      <w:iCs/>
      <w:color w:val="000000"/>
      <w:kern w:val="0"/>
      <w:sz w:val="20"/>
      <w:szCs w:val="22"/>
      <w:lang w:eastAsia="en-US" w:bidi="ar-SA"/>
    </w:rPr>
  </w:style>
  <w:style w:type="character" w:customStyle="1" w:styleId="Ttulo5Char">
    <w:name w:val="Título 5 Char"/>
    <w:basedOn w:val="Fontepargpadro"/>
    <w:rPr>
      <w:rFonts w:ascii="Calibri Light" w:eastAsia="Times New Roman" w:hAnsi="Calibri Light" w:cs="Times New Roman"/>
      <w:color w:val="2E74B5"/>
      <w:kern w:val="0"/>
      <w:szCs w:val="22"/>
      <w:lang w:eastAsia="en-US" w:bidi="ar-SA"/>
    </w:rPr>
  </w:style>
  <w:style w:type="paragraph" w:styleId="Cabealho">
    <w:name w:val="header"/>
    <w:basedOn w:val="Normal"/>
    <w:uiPriority w:val="99"/>
    <w:pPr>
      <w:widowControl/>
      <w:tabs>
        <w:tab w:val="center" w:pos="4252"/>
        <w:tab w:val="right" w:pos="8504"/>
      </w:tabs>
      <w:suppressAutoHyphens w:val="0"/>
      <w:jc w:val="both"/>
      <w:textAlignment w:val="auto"/>
    </w:pPr>
    <w:rPr>
      <w:rFonts w:ascii="Arial" w:eastAsia="Calibri" w:hAnsi="Arial" w:cs="Times New Roman"/>
      <w:kern w:val="0"/>
      <w:sz w:val="20"/>
      <w:szCs w:val="22"/>
      <w:lang w:eastAsia="en-US" w:bidi="ar-SA"/>
    </w:rPr>
  </w:style>
  <w:style w:type="character" w:customStyle="1" w:styleId="CabealhoChar">
    <w:name w:val="Cabeçalho Char"/>
    <w:basedOn w:val="Fontepargpadro"/>
    <w:uiPriority w:val="99"/>
    <w:rPr>
      <w:rFonts w:ascii="Arial" w:eastAsia="Calibri" w:hAnsi="Arial" w:cs="Times New Roman"/>
      <w:kern w:val="0"/>
      <w:sz w:val="20"/>
      <w:szCs w:val="22"/>
      <w:lang w:eastAsia="en-US" w:bidi="ar-SA"/>
    </w:rPr>
  </w:style>
  <w:style w:type="paragraph" w:styleId="Rodap">
    <w:name w:val="footer"/>
    <w:basedOn w:val="Normal"/>
    <w:uiPriority w:val="99"/>
    <w:pPr>
      <w:widowControl/>
      <w:tabs>
        <w:tab w:val="center" w:pos="4252"/>
        <w:tab w:val="right" w:pos="8504"/>
      </w:tabs>
      <w:suppressAutoHyphens w:val="0"/>
      <w:jc w:val="both"/>
      <w:textAlignment w:val="auto"/>
    </w:pPr>
    <w:rPr>
      <w:rFonts w:ascii="Arial" w:eastAsia="Calibri" w:hAnsi="Arial" w:cs="Times New Roman"/>
      <w:kern w:val="0"/>
      <w:sz w:val="20"/>
      <w:szCs w:val="22"/>
      <w:lang w:eastAsia="en-US" w:bidi="ar-SA"/>
    </w:rPr>
  </w:style>
  <w:style w:type="character" w:customStyle="1" w:styleId="RodapChar">
    <w:name w:val="Rodapé Char"/>
    <w:basedOn w:val="Fontepargpadro"/>
    <w:uiPriority w:val="99"/>
    <w:rPr>
      <w:rFonts w:ascii="Arial" w:eastAsia="Calibri" w:hAnsi="Arial" w:cs="Times New Roman"/>
      <w:kern w:val="0"/>
      <w:sz w:val="20"/>
      <w:szCs w:val="22"/>
      <w:lang w:eastAsia="en-US" w:bidi="ar-SA"/>
    </w:rPr>
  </w:style>
  <w:style w:type="paragraph" w:styleId="CabealhodoSumrio">
    <w:name w:val="TOC Heading"/>
    <w:basedOn w:val="Ttulo1"/>
    <w:next w:val="Normal"/>
    <w:pPr>
      <w:spacing w:before="240"/>
      <w:jc w:val="left"/>
    </w:pPr>
    <w:rPr>
      <w:rFonts w:ascii="Calibri Light" w:hAnsi="Calibri Light"/>
      <w:b w:val="0"/>
      <w:color w:val="2E74B5"/>
      <w:sz w:val="32"/>
      <w:lang w:eastAsia="pt-BR"/>
    </w:rPr>
  </w:style>
  <w:style w:type="paragraph" w:styleId="Sumrio1">
    <w:name w:val="toc 1"/>
    <w:basedOn w:val="Normal"/>
    <w:next w:val="Normal"/>
    <w:autoRedefine/>
    <w:pPr>
      <w:widowControl/>
      <w:tabs>
        <w:tab w:val="right" w:leader="dot" w:pos="9060"/>
      </w:tabs>
      <w:suppressAutoHyphens w:val="0"/>
      <w:spacing w:after="100"/>
      <w:jc w:val="both"/>
      <w:textAlignment w:val="auto"/>
    </w:pPr>
    <w:rPr>
      <w:rFonts w:ascii="Arial" w:eastAsia="Calibri" w:hAnsi="Arial" w:cs="Arial"/>
      <w:kern w:val="0"/>
      <w:sz w:val="20"/>
      <w:szCs w:val="22"/>
      <w:lang w:eastAsia="en-US" w:bidi="ar-SA"/>
    </w:rPr>
  </w:style>
  <w:style w:type="character" w:styleId="Hyperlink">
    <w:name w:val="Hyperlink"/>
    <w:uiPriority w:val="99"/>
    <w:rPr>
      <w:color w:val="0563C1"/>
      <w:u w:val="single"/>
    </w:rPr>
  </w:style>
  <w:style w:type="paragraph" w:styleId="NormalWeb">
    <w:name w:val="Normal (Web)"/>
    <w:basedOn w:val="Normal"/>
    <w:pPr>
      <w:widowControl/>
      <w:suppressAutoHyphens w:val="0"/>
      <w:spacing w:before="100" w:after="100"/>
      <w:jc w:val="both"/>
      <w:textAlignment w:val="auto"/>
    </w:pPr>
    <w:rPr>
      <w:rFonts w:eastAsia="Times New Roman" w:cs="Times New Roman"/>
      <w:kern w:val="0"/>
      <w:lang w:eastAsia="pt-BR" w:bidi="ar-SA"/>
    </w:rPr>
  </w:style>
  <w:style w:type="paragraph" w:customStyle="1" w:styleId="Quadro">
    <w:name w:val="Quadro"/>
    <w:basedOn w:val="NormalWeb"/>
    <w:pPr>
      <w:numPr>
        <w:numId w:val="3"/>
      </w:numPr>
      <w:shd w:val="clear" w:color="auto" w:fill="FFFFFF"/>
      <w:tabs>
        <w:tab w:val="left" w:pos="-31680"/>
      </w:tabs>
      <w:spacing w:before="0" w:after="0"/>
    </w:pPr>
    <w:rPr>
      <w:rFonts w:ascii="Arial" w:hAnsi="Arial" w:cs="Arial"/>
      <w:b/>
      <w:sz w:val="20"/>
    </w:rPr>
  </w:style>
  <w:style w:type="character" w:customStyle="1" w:styleId="NormalWebChar">
    <w:name w:val="Normal (Web) Char"/>
    <w:rPr>
      <w:rFonts w:eastAsia="Times New Roman" w:cs="Times New Roman"/>
      <w:kern w:val="0"/>
      <w:lang w:eastAsia="pt-BR" w:bidi="ar-SA"/>
    </w:rPr>
  </w:style>
  <w:style w:type="character" w:customStyle="1" w:styleId="QuadroChar">
    <w:name w:val="Quadro Char"/>
    <w:rPr>
      <w:rFonts w:ascii="Arial" w:eastAsia="Times New Roman" w:hAnsi="Arial" w:cs="Arial"/>
      <w:b/>
      <w:kern w:val="0"/>
      <w:sz w:val="20"/>
      <w:shd w:val="clear" w:color="auto" w:fill="FFFFFF"/>
      <w:lang w:eastAsia="pt-BR" w:bidi="ar-SA"/>
    </w:rPr>
  </w:style>
  <w:style w:type="paragraph" w:styleId="Sumrio2">
    <w:name w:val="toc 2"/>
    <w:basedOn w:val="Normal"/>
    <w:next w:val="Normal"/>
    <w:autoRedefine/>
    <w:pPr>
      <w:widowControl/>
      <w:suppressAutoHyphens w:val="0"/>
      <w:spacing w:after="100"/>
      <w:ind w:left="220"/>
      <w:jc w:val="both"/>
      <w:textAlignment w:val="auto"/>
    </w:pPr>
    <w:rPr>
      <w:rFonts w:ascii="Arial" w:eastAsia="Calibri" w:hAnsi="Arial" w:cs="Times New Roman"/>
      <w:kern w:val="0"/>
      <w:sz w:val="20"/>
      <w:szCs w:val="22"/>
      <w:lang w:eastAsia="en-US" w:bidi="ar-SA"/>
    </w:rPr>
  </w:style>
  <w:style w:type="paragraph" w:customStyle="1" w:styleId="Tabela2">
    <w:name w:val="Tabela 2"/>
    <w:basedOn w:val="Quadro"/>
    <w:pPr>
      <w:numPr>
        <w:numId w:val="4"/>
      </w:numPr>
    </w:pPr>
  </w:style>
  <w:style w:type="paragraph" w:styleId="Sumrio3">
    <w:name w:val="toc 3"/>
    <w:basedOn w:val="Normal"/>
    <w:next w:val="Normal"/>
    <w:autoRedefine/>
    <w:pPr>
      <w:widowControl/>
      <w:suppressAutoHyphens w:val="0"/>
      <w:spacing w:after="100"/>
      <w:ind w:left="440"/>
      <w:jc w:val="both"/>
      <w:textAlignment w:val="auto"/>
    </w:pPr>
    <w:rPr>
      <w:rFonts w:ascii="Arial" w:eastAsia="Calibri" w:hAnsi="Arial" w:cs="Times New Roman"/>
      <w:kern w:val="0"/>
      <w:sz w:val="20"/>
      <w:szCs w:val="22"/>
      <w:lang w:eastAsia="en-US" w:bidi="ar-SA"/>
    </w:rPr>
  </w:style>
  <w:style w:type="paragraph" w:customStyle="1" w:styleId="Default">
    <w:name w:val="Default"/>
    <w:pPr>
      <w:widowControl/>
      <w:autoSpaceDE w:val="0"/>
      <w:textAlignment w:val="auto"/>
    </w:pPr>
    <w:rPr>
      <w:rFonts w:eastAsia="Calibri" w:cs="Times New Roman"/>
      <w:color w:val="000000"/>
      <w:kern w:val="0"/>
      <w:lang w:eastAsia="en-US" w:bidi="ar-SA"/>
    </w:rPr>
  </w:style>
  <w:style w:type="character" w:customStyle="1" w:styleId="TabelaChar">
    <w:name w:val="Tabela Char"/>
    <w:rPr>
      <w:rFonts w:ascii="Arial" w:eastAsia="Times New Roman" w:hAnsi="Arial" w:cs="Arial"/>
      <w:b/>
      <w:kern w:val="0"/>
      <w:sz w:val="20"/>
      <w:shd w:val="clear" w:color="auto" w:fill="FFFFFF"/>
      <w:lang w:eastAsia="pt-BR" w:bidi="ar-SA"/>
    </w:rPr>
  </w:style>
  <w:style w:type="paragraph" w:customStyle="1" w:styleId="Figura">
    <w:name w:val="Figura"/>
    <w:basedOn w:val="Normal"/>
    <w:pPr>
      <w:widowControl/>
      <w:numPr>
        <w:numId w:val="5"/>
      </w:numPr>
      <w:suppressAutoHyphens w:val="0"/>
      <w:jc w:val="center"/>
      <w:textAlignment w:val="auto"/>
    </w:pPr>
    <w:rPr>
      <w:rFonts w:ascii="Arial" w:eastAsia="Calibri" w:hAnsi="Arial" w:cs="Times New Roman"/>
      <w:b/>
      <w:kern w:val="0"/>
      <w:sz w:val="20"/>
      <w:lang w:eastAsia="en-US" w:bidi="ar-SA"/>
    </w:rPr>
  </w:style>
  <w:style w:type="paragraph" w:styleId="Corpodetexto3">
    <w:name w:val="Body Text 3"/>
    <w:basedOn w:val="Normal"/>
    <w:pPr>
      <w:widowControl/>
      <w:suppressAutoHyphens w:val="0"/>
      <w:spacing w:after="120" w:line="276" w:lineRule="auto"/>
      <w:jc w:val="both"/>
      <w:textAlignment w:val="auto"/>
    </w:pPr>
    <w:rPr>
      <w:rFonts w:ascii="Calibri" w:eastAsia="Calibri" w:hAnsi="Calibri" w:cs="Times New Roman"/>
      <w:kern w:val="0"/>
      <w:sz w:val="16"/>
      <w:szCs w:val="16"/>
      <w:lang w:eastAsia="en-US" w:bidi="ar-SA"/>
    </w:rPr>
  </w:style>
  <w:style w:type="character" w:customStyle="1" w:styleId="Corpodetexto3Char">
    <w:name w:val="Corpo de texto 3 Char"/>
    <w:basedOn w:val="Fontepargpadro"/>
    <w:rPr>
      <w:rFonts w:ascii="Calibri" w:eastAsia="Calibri" w:hAnsi="Calibri" w:cs="Times New Roman"/>
      <w:kern w:val="0"/>
      <w:sz w:val="16"/>
      <w:szCs w:val="16"/>
      <w:lang w:eastAsia="en-US" w:bidi="ar-SA"/>
    </w:rPr>
  </w:style>
  <w:style w:type="character" w:customStyle="1" w:styleId="PargrafodaListaChar">
    <w:name w:val="Parágrafo da Lista Char"/>
    <w:rPr>
      <w:rFonts w:cs="Mangal"/>
      <w:szCs w:val="21"/>
    </w:rPr>
  </w:style>
  <w:style w:type="character" w:styleId="Refdecomentrio">
    <w:name w:val="annotation reference"/>
    <w:rPr>
      <w:sz w:val="16"/>
      <w:szCs w:val="16"/>
    </w:rPr>
  </w:style>
  <w:style w:type="paragraph" w:styleId="Textodecomentrio">
    <w:name w:val="annotation text"/>
    <w:basedOn w:val="Normal"/>
    <w:pPr>
      <w:widowControl/>
      <w:suppressAutoHyphens w:val="0"/>
      <w:spacing w:after="200"/>
      <w:jc w:val="both"/>
      <w:textAlignment w:val="auto"/>
    </w:pPr>
    <w:rPr>
      <w:rFonts w:ascii="Calibri" w:eastAsia="Calibri" w:hAnsi="Calibri" w:cs="Times New Roman"/>
      <w:kern w:val="0"/>
      <w:sz w:val="20"/>
      <w:szCs w:val="20"/>
      <w:lang w:eastAsia="en-US" w:bidi="ar-SA"/>
    </w:rPr>
  </w:style>
  <w:style w:type="character" w:customStyle="1" w:styleId="TextodecomentrioChar">
    <w:name w:val="Texto de comentário Char"/>
    <w:basedOn w:val="Fontepargpadro"/>
    <w:rPr>
      <w:rFonts w:ascii="Calibri" w:eastAsia="Calibri" w:hAnsi="Calibri" w:cs="Times New Roman"/>
      <w:kern w:val="0"/>
      <w:sz w:val="20"/>
      <w:szCs w:val="20"/>
      <w:lang w:eastAsia="en-US" w:bidi="ar-SA"/>
    </w:rPr>
  </w:style>
  <w:style w:type="character" w:customStyle="1" w:styleId="st">
    <w:name w:val="st"/>
    <w:basedOn w:val="Fontepargpadro"/>
  </w:style>
  <w:style w:type="paragraph" w:styleId="Assuntodocomentrio">
    <w:name w:val="annotation subject"/>
    <w:basedOn w:val="Textodecomentrio"/>
    <w:next w:val="Textodecomentrio"/>
    <w:pPr>
      <w:spacing w:after="0"/>
    </w:pPr>
    <w:rPr>
      <w:rFonts w:ascii="Times New Roman" w:hAnsi="Times New Roman"/>
      <w:b/>
      <w:bCs/>
    </w:rPr>
  </w:style>
  <w:style w:type="character" w:customStyle="1" w:styleId="AssuntodocomentrioChar">
    <w:name w:val="Assunto do comentário Char"/>
    <w:basedOn w:val="TextodecomentrioChar"/>
    <w:rPr>
      <w:rFonts w:ascii="Calibri" w:eastAsia="Calibri" w:hAnsi="Calibri" w:cs="Times New Roman"/>
      <w:b/>
      <w:bCs/>
      <w:kern w:val="0"/>
      <w:sz w:val="20"/>
      <w:szCs w:val="20"/>
      <w:lang w:eastAsia="en-US" w:bidi="ar-SA"/>
    </w:rPr>
  </w:style>
  <w:style w:type="paragraph" w:styleId="Reviso">
    <w:name w:val="Revision"/>
    <w:pPr>
      <w:widowControl/>
      <w:textAlignment w:val="auto"/>
    </w:pPr>
    <w:rPr>
      <w:rFonts w:eastAsia="Calibri" w:cs="Times New Roman"/>
      <w:kern w:val="0"/>
      <w:szCs w:val="22"/>
      <w:lang w:eastAsia="en-US" w:bidi="ar-SA"/>
    </w:rPr>
  </w:style>
  <w:style w:type="paragraph" w:styleId="Textodebalo">
    <w:name w:val="Balloon Text"/>
    <w:basedOn w:val="Normal"/>
    <w:pPr>
      <w:widowControl/>
      <w:suppressAutoHyphens w:val="0"/>
      <w:jc w:val="both"/>
      <w:textAlignment w:val="auto"/>
    </w:pPr>
    <w:rPr>
      <w:rFonts w:ascii="Segoe UI" w:eastAsia="Calibri" w:hAnsi="Segoe UI" w:cs="Segoe UI"/>
      <w:kern w:val="0"/>
      <w:sz w:val="18"/>
      <w:szCs w:val="18"/>
      <w:lang w:eastAsia="en-US" w:bidi="ar-SA"/>
    </w:rPr>
  </w:style>
  <w:style w:type="character" w:customStyle="1" w:styleId="TextodebaloChar">
    <w:name w:val="Texto de balão Char"/>
    <w:basedOn w:val="Fontepargpadro"/>
    <w:rPr>
      <w:rFonts w:ascii="Segoe UI" w:eastAsia="Calibri" w:hAnsi="Segoe UI" w:cs="Segoe UI"/>
      <w:kern w:val="0"/>
      <w:sz w:val="18"/>
      <w:szCs w:val="18"/>
      <w:lang w:eastAsia="en-US" w:bidi="ar-SA"/>
    </w:rPr>
  </w:style>
  <w:style w:type="paragraph" w:styleId="Sumrio5">
    <w:name w:val="toc 5"/>
    <w:basedOn w:val="Normal"/>
    <w:next w:val="Normal"/>
    <w:autoRedefine/>
    <w:pPr>
      <w:widowControl/>
      <w:suppressAutoHyphens w:val="0"/>
      <w:spacing w:after="100"/>
      <w:ind w:left="800"/>
      <w:jc w:val="both"/>
      <w:textAlignment w:val="auto"/>
    </w:pPr>
    <w:rPr>
      <w:rFonts w:ascii="Arial" w:eastAsia="Calibri" w:hAnsi="Arial" w:cs="Times New Roman"/>
      <w:kern w:val="0"/>
      <w:sz w:val="20"/>
      <w:szCs w:val="22"/>
      <w:lang w:eastAsia="en-US" w:bidi="ar-SA"/>
    </w:rPr>
  </w:style>
  <w:style w:type="paragraph" w:styleId="Sumrio4">
    <w:name w:val="toc 4"/>
    <w:basedOn w:val="Normal"/>
    <w:next w:val="Normal"/>
    <w:autoRedefine/>
    <w:pPr>
      <w:widowControl/>
      <w:tabs>
        <w:tab w:val="right" w:leader="dot" w:pos="8494"/>
      </w:tabs>
      <w:suppressAutoHyphens w:val="0"/>
      <w:spacing w:after="100"/>
      <w:ind w:left="660"/>
      <w:jc w:val="both"/>
      <w:textAlignment w:val="auto"/>
    </w:pPr>
    <w:rPr>
      <w:rFonts w:ascii="Arial" w:eastAsia="Times New Roman" w:hAnsi="Arial" w:cs="Arial"/>
      <w:kern w:val="0"/>
      <w:sz w:val="20"/>
      <w:szCs w:val="22"/>
      <w:lang w:eastAsia="pt-BR" w:bidi="ar-SA"/>
    </w:rPr>
  </w:style>
  <w:style w:type="paragraph" w:styleId="Sumrio6">
    <w:name w:val="toc 6"/>
    <w:basedOn w:val="Normal"/>
    <w:next w:val="Normal"/>
    <w:autoRedefine/>
    <w:pPr>
      <w:widowControl/>
      <w:suppressAutoHyphens w:val="0"/>
      <w:spacing w:after="100"/>
      <w:ind w:left="1100"/>
      <w:jc w:val="both"/>
      <w:textAlignment w:val="auto"/>
    </w:pPr>
    <w:rPr>
      <w:rFonts w:ascii="Calibri" w:eastAsia="Times New Roman" w:hAnsi="Calibri" w:cs="Times New Roman"/>
      <w:kern w:val="0"/>
      <w:sz w:val="22"/>
      <w:szCs w:val="22"/>
      <w:lang w:eastAsia="pt-BR" w:bidi="ar-SA"/>
    </w:rPr>
  </w:style>
  <w:style w:type="paragraph" w:styleId="Sumrio7">
    <w:name w:val="toc 7"/>
    <w:basedOn w:val="Normal"/>
    <w:next w:val="Normal"/>
    <w:autoRedefine/>
    <w:pPr>
      <w:widowControl/>
      <w:suppressAutoHyphens w:val="0"/>
      <w:spacing w:after="100"/>
      <w:ind w:left="1320"/>
      <w:jc w:val="both"/>
      <w:textAlignment w:val="auto"/>
    </w:pPr>
    <w:rPr>
      <w:rFonts w:ascii="Calibri" w:eastAsia="Times New Roman" w:hAnsi="Calibri" w:cs="Times New Roman"/>
      <w:kern w:val="0"/>
      <w:sz w:val="22"/>
      <w:szCs w:val="22"/>
      <w:lang w:eastAsia="pt-BR" w:bidi="ar-SA"/>
    </w:rPr>
  </w:style>
  <w:style w:type="paragraph" w:styleId="Sumrio8">
    <w:name w:val="toc 8"/>
    <w:basedOn w:val="Normal"/>
    <w:next w:val="Normal"/>
    <w:autoRedefine/>
    <w:pPr>
      <w:widowControl/>
      <w:suppressAutoHyphens w:val="0"/>
      <w:spacing w:after="100"/>
      <w:ind w:left="1540"/>
      <w:jc w:val="both"/>
      <w:textAlignment w:val="auto"/>
    </w:pPr>
    <w:rPr>
      <w:rFonts w:ascii="Calibri" w:eastAsia="Times New Roman" w:hAnsi="Calibri" w:cs="Times New Roman"/>
      <w:kern w:val="0"/>
      <w:sz w:val="22"/>
      <w:szCs w:val="22"/>
      <w:lang w:eastAsia="pt-BR" w:bidi="ar-SA"/>
    </w:rPr>
  </w:style>
  <w:style w:type="paragraph" w:styleId="Sumrio9">
    <w:name w:val="toc 9"/>
    <w:basedOn w:val="Normal"/>
    <w:next w:val="Normal"/>
    <w:autoRedefine/>
    <w:pPr>
      <w:widowControl/>
      <w:suppressAutoHyphens w:val="0"/>
      <w:spacing w:after="100"/>
      <w:ind w:left="1760"/>
      <w:jc w:val="both"/>
      <w:textAlignment w:val="auto"/>
    </w:pPr>
    <w:rPr>
      <w:rFonts w:ascii="Calibri" w:eastAsia="Times New Roman" w:hAnsi="Calibri" w:cs="Times New Roman"/>
      <w:kern w:val="0"/>
      <w:sz w:val="22"/>
      <w:szCs w:val="22"/>
      <w:lang w:eastAsia="pt-BR" w:bidi="ar-SA"/>
    </w:rPr>
  </w:style>
  <w:style w:type="paragraph" w:styleId="ndicedeilustraes">
    <w:name w:val="table of figures"/>
    <w:basedOn w:val="Normal"/>
    <w:next w:val="Normal"/>
    <w:pPr>
      <w:widowControl/>
      <w:suppressAutoHyphens w:val="0"/>
      <w:jc w:val="both"/>
      <w:textAlignment w:val="auto"/>
    </w:pPr>
    <w:rPr>
      <w:rFonts w:ascii="Arial" w:eastAsia="Calibri" w:hAnsi="Arial" w:cs="Times New Roman"/>
      <w:kern w:val="0"/>
      <w:sz w:val="20"/>
      <w:szCs w:val="22"/>
      <w:lang w:eastAsia="en-US" w:bidi="ar-SA"/>
    </w:rPr>
  </w:style>
  <w:style w:type="paragraph" w:styleId="Remissivo1">
    <w:name w:val="index 1"/>
    <w:basedOn w:val="Normal"/>
    <w:next w:val="Normal"/>
    <w:autoRedefine/>
    <w:pPr>
      <w:widowControl/>
      <w:suppressAutoHyphens w:val="0"/>
      <w:ind w:left="200" w:hanging="200"/>
      <w:jc w:val="both"/>
      <w:textAlignment w:val="auto"/>
    </w:pPr>
    <w:rPr>
      <w:rFonts w:ascii="Arial" w:eastAsia="Calibri" w:hAnsi="Arial" w:cs="Times New Roman"/>
      <w:kern w:val="0"/>
      <w:sz w:val="20"/>
      <w:szCs w:val="22"/>
      <w:lang w:eastAsia="en-US" w:bidi="ar-SA"/>
    </w:rPr>
  </w:style>
  <w:style w:type="character" w:styleId="HiperlinkVisitado">
    <w:name w:val="FollowedHyperlink"/>
    <w:uiPriority w:val="99"/>
    <w:rPr>
      <w:color w:val="954F72"/>
      <w:u w:val="single"/>
    </w:rPr>
  </w:style>
  <w:style w:type="paragraph" w:styleId="Textodenotaderodap">
    <w:name w:val="footnote text"/>
    <w:basedOn w:val="Normal"/>
    <w:pPr>
      <w:widowControl/>
      <w:suppressAutoHyphens w:val="0"/>
      <w:jc w:val="both"/>
      <w:textAlignment w:val="auto"/>
    </w:pPr>
    <w:rPr>
      <w:rFonts w:ascii="Arial" w:eastAsia="Calibri" w:hAnsi="Arial" w:cs="Times New Roman"/>
      <w:kern w:val="0"/>
      <w:sz w:val="20"/>
      <w:szCs w:val="20"/>
      <w:lang w:eastAsia="en-US" w:bidi="ar-SA"/>
    </w:rPr>
  </w:style>
  <w:style w:type="character" w:customStyle="1" w:styleId="TextodenotaderodapChar">
    <w:name w:val="Texto de nota de rodapé Char"/>
    <w:basedOn w:val="Fontepargpadro"/>
    <w:rPr>
      <w:rFonts w:ascii="Arial" w:eastAsia="Calibri" w:hAnsi="Arial" w:cs="Times New Roman"/>
      <w:kern w:val="0"/>
      <w:sz w:val="20"/>
      <w:szCs w:val="20"/>
      <w:lang w:eastAsia="en-US" w:bidi="ar-SA"/>
    </w:rPr>
  </w:style>
  <w:style w:type="character" w:styleId="Refdenotaderodap">
    <w:name w:val="footnote reference"/>
    <w:basedOn w:val="Fontepargpadro"/>
    <w:rPr>
      <w:position w:val="0"/>
      <w:vertAlign w:val="superscript"/>
    </w:rPr>
  </w:style>
  <w:style w:type="paragraph" w:styleId="Corpodetexto">
    <w:name w:val="Body Text"/>
    <w:basedOn w:val="Normal"/>
    <w:pPr>
      <w:widowControl/>
      <w:suppressAutoHyphens w:val="0"/>
      <w:spacing w:after="120"/>
      <w:jc w:val="both"/>
      <w:textAlignment w:val="auto"/>
    </w:pPr>
    <w:rPr>
      <w:rFonts w:ascii="Arial" w:eastAsia="Calibri" w:hAnsi="Arial" w:cs="Times New Roman"/>
      <w:kern w:val="0"/>
      <w:sz w:val="20"/>
      <w:szCs w:val="22"/>
      <w:lang w:eastAsia="en-US" w:bidi="ar-SA"/>
    </w:rPr>
  </w:style>
  <w:style w:type="character" w:customStyle="1" w:styleId="CorpodetextoChar">
    <w:name w:val="Corpo de texto Char"/>
    <w:basedOn w:val="Fontepargpadro"/>
    <w:rPr>
      <w:rFonts w:ascii="Arial" w:eastAsia="Calibri" w:hAnsi="Arial" w:cs="Times New Roman"/>
      <w:kern w:val="0"/>
      <w:sz w:val="20"/>
      <w:szCs w:val="22"/>
      <w:lang w:eastAsia="en-US" w:bidi="ar-SA"/>
    </w:rPr>
  </w:style>
  <w:style w:type="paragraph" w:customStyle="1" w:styleId="xl65">
    <w:name w:val="xl65"/>
    <w:basedOn w:val="Normal"/>
    <w:pPr>
      <w:widowControl/>
      <w:shd w:val="clear" w:color="auto" w:fill="FFFFFF"/>
      <w:suppressAutoHyphens w:val="0"/>
      <w:spacing w:before="100" w:after="100"/>
      <w:textAlignment w:val="top"/>
    </w:pPr>
    <w:rPr>
      <w:rFonts w:ascii="SansSerif" w:eastAsia="Times New Roman" w:hAnsi="SansSerif" w:cs="Times New Roman"/>
      <w:color w:val="000000"/>
      <w:kern w:val="0"/>
      <w:sz w:val="18"/>
      <w:szCs w:val="18"/>
      <w:lang w:eastAsia="pt-BR" w:bidi="ar-SA"/>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69">
    <w:name w:val="xl69"/>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70">
    <w:name w:val="xl70"/>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71">
    <w:name w:val="xl71"/>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72">
    <w:name w:val="xl72"/>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73">
    <w:name w:val="xl73"/>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74">
    <w:name w:val="xl74"/>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75">
    <w:name w:val="xl7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76">
    <w:name w:val="xl7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77">
    <w:name w:val="xl77"/>
    <w:basedOn w:val="Normal"/>
    <w:pPr>
      <w:widowControl/>
      <w:shd w:val="clear" w:color="auto" w:fill="FFFFFF"/>
      <w:suppressAutoHyphens w:val="0"/>
      <w:spacing w:before="100" w:after="100"/>
      <w:textAlignment w:val="top"/>
    </w:pPr>
    <w:rPr>
      <w:rFonts w:ascii="SansSerif" w:eastAsia="Times New Roman" w:hAnsi="SansSerif" w:cs="Times New Roman"/>
      <w:b/>
      <w:bCs/>
      <w:color w:val="000000"/>
      <w:kern w:val="0"/>
      <w:sz w:val="14"/>
      <w:szCs w:val="14"/>
      <w:lang w:eastAsia="pt-BR" w:bidi="ar-SA"/>
    </w:rPr>
  </w:style>
  <w:style w:type="paragraph" w:customStyle="1" w:styleId="xl78">
    <w:name w:val="xl78"/>
    <w:basedOn w:val="Normal"/>
    <w:pPr>
      <w:widowControl/>
      <w:shd w:val="clear" w:color="auto" w:fill="FFFFFF"/>
      <w:suppressAutoHyphens w:val="0"/>
      <w:spacing w:before="100" w:after="100"/>
      <w:textAlignment w:val="top"/>
    </w:pPr>
    <w:rPr>
      <w:rFonts w:ascii="SansSerif" w:eastAsia="Times New Roman" w:hAnsi="SansSerif" w:cs="Times New Roman"/>
      <w:b/>
      <w:bCs/>
      <w:color w:val="000000"/>
      <w:kern w:val="0"/>
      <w:sz w:val="10"/>
      <w:szCs w:val="10"/>
      <w:lang w:eastAsia="pt-BR" w:bidi="ar-SA"/>
    </w:rPr>
  </w:style>
  <w:style w:type="paragraph" w:customStyle="1" w:styleId="xl79">
    <w:name w:val="xl79"/>
    <w:basedOn w:val="Normal"/>
    <w:pPr>
      <w:widowControl/>
      <w:shd w:val="clear" w:color="auto" w:fill="FFFFFF"/>
      <w:suppressAutoHyphens w:val="0"/>
      <w:spacing w:before="100" w:after="100"/>
      <w:textAlignment w:val="center"/>
    </w:pPr>
    <w:rPr>
      <w:rFonts w:ascii="SansSerif" w:eastAsia="Times New Roman" w:hAnsi="SansSerif" w:cs="Times New Roman"/>
      <w:color w:val="000000"/>
      <w:kern w:val="0"/>
      <w:sz w:val="10"/>
      <w:szCs w:val="10"/>
      <w:lang w:eastAsia="pt-BR" w:bidi="ar-SA"/>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ascii="SansSerif" w:eastAsia="Times New Roman" w:hAnsi="SansSerif" w:cs="Times New Roman"/>
      <w:color w:val="000000"/>
      <w:kern w:val="0"/>
      <w:sz w:val="18"/>
      <w:szCs w:val="18"/>
      <w:lang w:eastAsia="pt-BR" w:bidi="ar-SA"/>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Verdana" w:eastAsia="Times New Roman" w:hAnsi="Verdana" w:cs="Times New Roman"/>
      <w:color w:val="000000"/>
      <w:kern w:val="0"/>
      <w:sz w:val="10"/>
      <w:szCs w:val="10"/>
      <w:lang w:eastAsia="pt-BR" w:bidi="ar-SA"/>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Verdana" w:eastAsia="Times New Roman" w:hAnsi="Verdana" w:cs="Times New Roman"/>
      <w:color w:val="000000"/>
      <w:kern w:val="0"/>
      <w:sz w:val="10"/>
      <w:szCs w:val="10"/>
      <w:lang w:eastAsia="pt-BR" w:bidi="ar-SA"/>
    </w:rPr>
  </w:style>
  <w:style w:type="paragraph" w:customStyle="1" w:styleId="xl83">
    <w:name w:val="xl83"/>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Verdana" w:eastAsia="Times New Roman" w:hAnsi="Verdana" w:cs="Times New Roman"/>
      <w:color w:val="000000"/>
      <w:kern w:val="0"/>
      <w:sz w:val="10"/>
      <w:szCs w:val="10"/>
      <w:lang w:eastAsia="pt-BR" w:bidi="ar-SA"/>
    </w:rPr>
  </w:style>
  <w:style w:type="paragraph" w:customStyle="1" w:styleId="xl84">
    <w:name w:val="xl84"/>
    <w:basedOn w:val="Normal"/>
    <w:pPr>
      <w:widowControl/>
      <w:shd w:val="clear" w:color="auto" w:fill="FFFFFF"/>
      <w:suppressAutoHyphens w:val="0"/>
      <w:spacing w:before="100" w:after="100"/>
      <w:textAlignment w:val="top"/>
    </w:pPr>
    <w:rPr>
      <w:rFonts w:ascii="SansSerif" w:eastAsia="Times New Roman" w:hAnsi="SansSerif" w:cs="Times New Roman"/>
      <w:color w:val="000000"/>
      <w:kern w:val="0"/>
      <w:sz w:val="18"/>
      <w:szCs w:val="18"/>
      <w:lang w:eastAsia="pt-BR" w:bidi="ar-SA"/>
    </w:rPr>
  </w:style>
  <w:style w:type="paragraph" w:customStyle="1" w:styleId="xl85">
    <w:name w:val="xl8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86">
    <w:name w:val="xl8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87">
    <w:name w:val="xl87"/>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88">
    <w:name w:val="xl8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89">
    <w:name w:val="xl8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90">
    <w:name w:val="xl9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91">
    <w:name w:val="xl9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92">
    <w:name w:val="xl9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93">
    <w:name w:val="xl93"/>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94">
    <w:name w:val="xl9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95">
    <w:name w:val="xl9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96">
    <w:name w:val="xl9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97">
    <w:name w:val="xl97"/>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98">
    <w:name w:val="xl98"/>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99">
    <w:name w:val="xl99"/>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00">
    <w:name w:val="xl100"/>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01">
    <w:name w:val="xl101"/>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02">
    <w:name w:val="xl102"/>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03">
    <w:name w:val="xl103"/>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04">
    <w:name w:val="xl104"/>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05">
    <w:name w:val="xl10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06">
    <w:name w:val="xl10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07">
    <w:name w:val="xl107"/>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08">
    <w:name w:val="xl10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09">
    <w:name w:val="xl10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10">
    <w:name w:val="xl11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11">
    <w:name w:val="xl111"/>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12">
    <w:name w:val="xl112"/>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13">
    <w:name w:val="xl113"/>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14">
    <w:name w:val="xl114"/>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15">
    <w:name w:val="xl115"/>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16">
    <w:name w:val="xl116"/>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17">
    <w:name w:val="xl117"/>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18">
    <w:name w:val="xl118"/>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19">
    <w:name w:val="xl119"/>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20">
    <w:name w:val="xl120"/>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21">
    <w:name w:val="xl121"/>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22">
    <w:name w:val="xl122"/>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23">
    <w:name w:val="xl123"/>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24">
    <w:name w:val="xl124"/>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25">
    <w:name w:val="xl125"/>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26">
    <w:name w:val="xl126"/>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27">
    <w:name w:val="xl127"/>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28">
    <w:name w:val="xl128"/>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29">
    <w:name w:val="xl12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30">
    <w:name w:val="xl13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31">
    <w:name w:val="xl13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2">
    <w:name w:val="xl13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3">
    <w:name w:val="xl133"/>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4">
    <w:name w:val="xl134"/>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5">
    <w:name w:val="xl135"/>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6">
    <w:name w:val="xl136"/>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7">
    <w:name w:val="xl137"/>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38">
    <w:name w:val="xl13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9">
    <w:name w:val="xl139"/>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40">
    <w:name w:val="xl140"/>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41">
    <w:name w:val="xl14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42">
    <w:name w:val="xl14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43">
    <w:name w:val="xl143"/>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44">
    <w:name w:val="xl14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45">
    <w:name w:val="xl145"/>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46">
    <w:name w:val="xl146"/>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47">
    <w:name w:val="xl147"/>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48">
    <w:name w:val="xl14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49">
    <w:name w:val="xl149"/>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50">
    <w:name w:val="xl150"/>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51">
    <w:name w:val="xl151"/>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52">
    <w:name w:val="xl152"/>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53">
    <w:name w:val="xl153"/>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54">
    <w:name w:val="xl154"/>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55">
    <w:name w:val="xl15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56">
    <w:name w:val="xl15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57">
    <w:name w:val="xl157"/>
    <w:basedOn w:val="Normal"/>
    <w:pPr>
      <w:widowControl/>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58">
    <w:name w:val="xl158"/>
    <w:basedOn w:val="Normal"/>
    <w:pPr>
      <w:widowControl/>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59">
    <w:name w:val="xl15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60">
    <w:name w:val="xl160"/>
    <w:basedOn w:val="Normal"/>
    <w:pPr>
      <w:widowControl/>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61">
    <w:name w:val="xl161"/>
    <w:basedOn w:val="Normal"/>
    <w:pPr>
      <w:widowControl/>
      <w:shd w:val="clear" w:color="auto" w:fill="FFFFFF"/>
      <w:suppressAutoHyphens w:val="0"/>
      <w:spacing w:before="100" w:after="100"/>
      <w:textAlignment w:val="center"/>
    </w:pPr>
    <w:rPr>
      <w:rFonts w:ascii="Verdana" w:eastAsia="Times New Roman" w:hAnsi="Verdana" w:cs="Times New Roman"/>
      <w:color w:val="000000"/>
      <w:kern w:val="0"/>
      <w:sz w:val="10"/>
      <w:szCs w:val="10"/>
      <w:lang w:eastAsia="pt-BR" w:bidi="ar-SA"/>
    </w:rPr>
  </w:style>
  <w:style w:type="paragraph" w:customStyle="1" w:styleId="xl162">
    <w:name w:val="xl162"/>
    <w:basedOn w:val="Normal"/>
    <w:pPr>
      <w:widowControl/>
      <w:shd w:val="clear" w:color="auto" w:fill="FFFFFF"/>
      <w:suppressAutoHyphens w:val="0"/>
      <w:spacing w:before="100" w:after="100"/>
      <w:textAlignment w:val="center"/>
    </w:pPr>
    <w:rPr>
      <w:rFonts w:eastAsia="Times New Roman" w:cs="Times New Roman"/>
      <w:color w:val="000000"/>
      <w:kern w:val="0"/>
      <w:sz w:val="10"/>
      <w:szCs w:val="10"/>
      <w:lang w:eastAsia="pt-BR" w:bidi="ar-SA"/>
    </w:rPr>
  </w:style>
  <w:style w:type="paragraph" w:customStyle="1" w:styleId="xl163">
    <w:name w:val="xl163"/>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64">
    <w:name w:val="xl16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ascii="Arial" w:eastAsia="Times New Roman" w:hAnsi="Arial" w:cs="Arial"/>
      <w:b/>
      <w:bCs/>
      <w:color w:val="000000"/>
      <w:kern w:val="0"/>
      <w:sz w:val="10"/>
      <w:szCs w:val="10"/>
      <w:lang w:eastAsia="pt-BR" w:bidi="ar-SA"/>
    </w:rPr>
  </w:style>
  <w:style w:type="paragraph" w:customStyle="1" w:styleId="xl165">
    <w:name w:val="xl165"/>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s="Times New Roman"/>
      <w:kern w:val="0"/>
      <w:lang w:eastAsia="pt-BR" w:bidi="ar-SA"/>
    </w:rPr>
  </w:style>
  <w:style w:type="paragraph" w:customStyle="1" w:styleId="xl166">
    <w:name w:val="xl166"/>
    <w:basedOn w:val="Normal"/>
    <w:pPr>
      <w:widowControl/>
      <w:shd w:val="clear" w:color="auto" w:fill="FFFFFF"/>
      <w:suppressAutoHyphens w:val="0"/>
      <w:spacing w:before="100" w:after="100"/>
      <w:textAlignment w:val="top"/>
    </w:pPr>
    <w:rPr>
      <w:rFonts w:ascii="SansSerif" w:eastAsia="Times New Roman" w:hAnsi="SansSerif" w:cs="Times New Roman"/>
      <w:color w:val="000000"/>
      <w:kern w:val="0"/>
      <w:sz w:val="18"/>
      <w:szCs w:val="18"/>
      <w:lang w:eastAsia="pt-BR" w:bidi="ar-SA"/>
    </w:rPr>
  </w:style>
  <w:style w:type="paragraph" w:customStyle="1" w:styleId="xl167">
    <w:name w:val="xl167"/>
    <w:basedOn w:val="Normal"/>
    <w:pPr>
      <w:widowControl/>
      <w:suppressAutoHyphens w:val="0"/>
      <w:spacing w:before="100" w:after="100"/>
      <w:textAlignment w:val="auto"/>
    </w:pPr>
    <w:rPr>
      <w:rFonts w:eastAsia="Times New Roman" w:cs="Times New Roman"/>
      <w:kern w:val="0"/>
      <w:lang w:eastAsia="pt-BR" w:bidi="ar-SA"/>
    </w:rPr>
  </w:style>
  <w:style w:type="paragraph" w:customStyle="1" w:styleId="xl168">
    <w:name w:val="xl16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69">
    <w:name w:val="xl16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70">
    <w:name w:val="xl17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Verdana" w:eastAsia="Times New Roman" w:hAnsi="Verdana" w:cs="Times New Roman"/>
      <w:color w:val="000000"/>
      <w:kern w:val="0"/>
      <w:sz w:val="10"/>
      <w:szCs w:val="10"/>
      <w:lang w:eastAsia="pt-BR" w:bidi="ar-SA"/>
    </w:rPr>
  </w:style>
  <w:style w:type="paragraph" w:customStyle="1" w:styleId="xl171">
    <w:name w:val="xl17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top"/>
    </w:pPr>
    <w:rPr>
      <w:rFonts w:ascii="Arial" w:eastAsia="Times New Roman" w:hAnsi="Arial" w:cs="Arial"/>
      <w:b/>
      <w:bCs/>
      <w:color w:val="000000"/>
      <w:kern w:val="0"/>
      <w:sz w:val="10"/>
      <w:szCs w:val="10"/>
      <w:lang w:eastAsia="pt-BR" w:bidi="ar-SA"/>
    </w:rPr>
  </w:style>
  <w:style w:type="paragraph" w:customStyle="1" w:styleId="xl172">
    <w:name w:val="xl17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73">
    <w:name w:val="xl173"/>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rFonts w:eastAsia="Times New Roman" w:cs="Times New Roman"/>
      <w:kern w:val="0"/>
      <w:lang w:eastAsia="pt-BR" w:bidi="ar-SA"/>
    </w:rPr>
  </w:style>
  <w:style w:type="paragraph" w:customStyle="1" w:styleId="xl174">
    <w:name w:val="xl17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63">
    <w:name w:val="xl63"/>
    <w:basedOn w:val="Normal"/>
    <w:pPr>
      <w:widowControl/>
      <w:shd w:val="clear" w:color="auto" w:fill="FFFFFF"/>
      <w:suppressAutoHyphens w:val="0"/>
      <w:spacing w:before="100" w:after="100"/>
      <w:textAlignment w:val="top"/>
    </w:pPr>
    <w:rPr>
      <w:rFonts w:ascii="SansSerif" w:eastAsia="Times New Roman" w:hAnsi="SansSerif" w:cs="Times New Roman"/>
      <w:color w:val="000000"/>
      <w:kern w:val="0"/>
      <w:sz w:val="18"/>
      <w:szCs w:val="18"/>
      <w:lang w:eastAsia="pt-BR" w:bidi="ar-SA"/>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msonormal0">
    <w:name w:val="msonormal"/>
    <w:basedOn w:val="Normal"/>
    <w:pPr>
      <w:widowControl/>
      <w:suppressAutoHyphens w:val="0"/>
      <w:spacing w:before="100" w:after="100"/>
      <w:textAlignment w:val="auto"/>
    </w:pPr>
    <w:rPr>
      <w:rFonts w:eastAsia="Times New Roman" w:cs="Times New Roman"/>
      <w:kern w:val="0"/>
      <w:lang w:eastAsia="pt-BR" w:bidi="ar-SA"/>
    </w:rPr>
  </w:style>
  <w:style w:type="paragraph" w:customStyle="1" w:styleId="dou-paragraph">
    <w:name w:val="dou-paragraph"/>
    <w:basedOn w:val="Normal"/>
    <w:pPr>
      <w:widowControl/>
      <w:suppressAutoHyphens w:val="0"/>
      <w:spacing w:before="100" w:after="100"/>
      <w:textAlignment w:val="auto"/>
    </w:pPr>
    <w:rPr>
      <w:rFonts w:eastAsia="Times New Roman" w:cs="Times New Roman"/>
      <w:kern w:val="0"/>
      <w:lang w:eastAsia="pt-BR" w:bidi="ar-SA"/>
    </w:rPr>
  </w:style>
  <w:style w:type="character" w:styleId="nfase">
    <w:name w:val="Emphasis"/>
    <w:basedOn w:val="Fontepargpadro"/>
    <w:rPr>
      <w:i/>
      <w:iCs/>
    </w:rPr>
  </w:style>
  <w:style w:type="character" w:styleId="Forte">
    <w:name w:val="Strong"/>
    <w:basedOn w:val="Fontepargpadro"/>
    <w:rPr>
      <w:b/>
      <w:bCs/>
    </w:rPr>
  </w:style>
  <w:style w:type="numbering" w:customStyle="1" w:styleId="WW8Num21">
    <w:name w:val="WW8Num21"/>
    <w:basedOn w:val="Semlista"/>
    <w:pPr>
      <w:numPr>
        <w:numId w:val="1"/>
      </w:numPr>
    </w:pPr>
  </w:style>
  <w:style w:type="numbering" w:customStyle="1" w:styleId="WW8Num23">
    <w:name w:val="WW8Num23"/>
    <w:basedOn w:val="Semlista"/>
    <w:pPr>
      <w:numPr>
        <w:numId w:val="2"/>
      </w:numPr>
    </w:pPr>
  </w:style>
  <w:style w:type="numbering" w:customStyle="1" w:styleId="LFO5">
    <w:name w:val="LFO5"/>
    <w:basedOn w:val="Semlista"/>
    <w:pPr>
      <w:numPr>
        <w:numId w:val="3"/>
      </w:numPr>
    </w:pPr>
  </w:style>
  <w:style w:type="numbering" w:customStyle="1" w:styleId="LFO6">
    <w:name w:val="LFO6"/>
    <w:basedOn w:val="Semlista"/>
    <w:pPr>
      <w:numPr>
        <w:numId w:val="4"/>
      </w:numPr>
    </w:pPr>
  </w:style>
  <w:style w:type="numbering" w:customStyle="1" w:styleId="LFO7">
    <w:name w:val="LFO7"/>
    <w:basedOn w:val="Semlista"/>
    <w:pPr>
      <w:numPr>
        <w:numId w:val="5"/>
      </w:numPr>
    </w:pPr>
  </w:style>
  <w:style w:type="character" w:customStyle="1" w:styleId="divdemonstracaocontabil">
    <w:name w:val="divdemonstracaocontabil"/>
    <w:basedOn w:val="Fontepargpadro"/>
    <w:rsid w:val="005548FA"/>
  </w:style>
  <w:style w:type="paragraph" w:customStyle="1" w:styleId="p1">
    <w:name w:val="p1"/>
    <w:basedOn w:val="Normal"/>
    <w:rsid w:val="00990A94"/>
    <w:pPr>
      <w:widowControl/>
      <w:suppressAutoHyphens w:val="0"/>
      <w:autoSpaceDN/>
      <w:textAlignment w:val="auto"/>
    </w:pPr>
    <w:rPr>
      <w:rFonts w:ascii="Calibri" w:eastAsiaTheme="minorHAnsi" w:hAnsi="Calibri" w:cs="Calibri"/>
      <w:kern w:val="0"/>
      <w:sz w:val="22"/>
      <w:szCs w:val="22"/>
      <w:lang w:eastAsia="pt-BR" w:bidi="ar-SA"/>
    </w:rPr>
  </w:style>
  <w:style w:type="paragraph" w:customStyle="1" w:styleId="p2">
    <w:name w:val="p2"/>
    <w:basedOn w:val="Normal"/>
    <w:rsid w:val="00990A94"/>
    <w:pPr>
      <w:widowControl/>
      <w:suppressAutoHyphens w:val="0"/>
      <w:autoSpaceDN/>
      <w:textAlignment w:val="auto"/>
    </w:pPr>
    <w:rPr>
      <w:rFonts w:ascii="Calibri" w:eastAsiaTheme="minorHAnsi" w:hAnsi="Calibri" w:cs="Calibri"/>
      <w:kern w:val="0"/>
      <w:sz w:val="22"/>
      <w:szCs w:val="22"/>
      <w:lang w:eastAsia="pt-BR" w:bidi="ar-SA"/>
    </w:rPr>
  </w:style>
  <w:style w:type="character" w:customStyle="1" w:styleId="s1">
    <w:name w:val="s1"/>
    <w:basedOn w:val="Fontepargpadro"/>
    <w:rsid w:val="00990A94"/>
  </w:style>
  <w:style w:type="character" w:customStyle="1" w:styleId="apple-converted-space">
    <w:name w:val="apple-converted-space"/>
    <w:basedOn w:val="Fontepargpadro"/>
    <w:rsid w:val="00990A94"/>
  </w:style>
  <w:style w:type="paragraph" w:customStyle="1" w:styleId="CorpoA">
    <w:name w:val="Corpo A"/>
    <w:rsid w:val="00990A94"/>
    <w:pPr>
      <w:suppressAutoHyphens/>
      <w:autoSpaceDN/>
      <w:textAlignment w:val="auto"/>
    </w:pPr>
    <w:rPr>
      <w:rFonts w:eastAsia="Arial Unicode MS" w:cs="Arial Unicode MS"/>
      <w:color w:val="000000"/>
      <w:u w:color="000000"/>
      <w:lang w:val="pt-PT"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pt-B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tulo1">
    <w:name w:val="heading 1"/>
    <w:basedOn w:val="Normal"/>
    <w:next w:val="Normal"/>
    <w:uiPriority w:val="9"/>
    <w:qFormat/>
    <w:pPr>
      <w:keepNext/>
      <w:keepLines/>
      <w:widowControl/>
      <w:suppressAutoHyphens w:val="0"/>
      <w:jc w:val="both"/>
      <w:textAlignment w:val="auto"/>
      <w:outlineLvl w:val="0"/>
    </w:pPr>
    <w:rPr>
      <w:rFonts w:ascii="Arial" w:eastAsia="Times New Roman" w:hAnsi="Arial" w:cs="Times New Roman"/>
      <w:b/>
      <w:kern w:val="0"/>
      <w:szCs w:val="32"/>
      <w:lang w:eastAsia="en-US" w:bidi="ar-SA"/>
    </w:rPr>
  </w:style>
  <w:style w:type="paragraph" w:styleId="Ttulo2">
    <w:name w:val="heading 2"/>
    <w:basedOn w:val="Normal"/>
    <w:next w:val="Normal"/>
    <w:uiPriority w:val="9"/>
    <w:unhideWhenUsed/>
    <w:qFormat/>
    <w:pPr>
      <w:keepNext/>
      <w:keepLines/>
      <w:widowControl/>
      <w:suppressAutoHyphens w:val="0"/>
      <w:jc w:val="both"/>
      <w:textAlignment w:val="auto"/>
      <w:outlineLvl w:val="1"/>
    </w:pPr>
    <w:rPr>
      <w:rFonts w:ascii="Arial" w:eastAsia="Times New Roman" w:hAnsi="Arial" w:cs="Times New Roman"/>
      <w:b/>
      <w:kern w:val="0"/>
      <w:sz w:val="22"/>
      <w:szCs w:val="26"/>
      <w:lang w:eastAsia="en-US" w:bidi="ar-SA"/>
    </w:rPr>
  </w:style>
  <w:style w:type="paragraph" w:styleId="Ttulo3">
    <w:name w:val="heading 3"/>
    <w:basedOn w:val="Normal"/>
    <w:next w:val="Normal"/>
    <w:uiPriority w:val="9"/>
    <w:unhideWhenUsed/>
    <w:qFormat/>
    <w:pPr>
      <w:keepNext/>
      <w:keepLines/>
      <w:widowControl/>
      <w:suppressAutoHyphens w:val="0"/>
      <w:jc w:val="both"/>
      <w:textAlignment w:val="auto"/>
      <w:outlineLvl w:val="2"/>
    </w:pPr>
    <w:rPr>
      <w:rFonts w:ascii="Arial" w:eastAsia="Times New Roman" w:hAnsi="Arial" w:cs="Times New Roman"/>
      <w:b/>
      <w:kern w:val="0"/>
      <w:sz w:val="20"/>
      <w:lang w:eastAsia="en-US" w:bidi="ar-SA"/>
    </w:rPr>
  </w:style>
  <w:style w:type="paragraph" w:styleId="Ttulo4">
    <w:name w:val="heading 4"/>
    <w:basedOn w:val="Normal"/>
    <w:next w:val="Normal"/>
    <w:uiPriority w:val="9"/>
    <w:semiHidden/>
    <w:unhideWhenUsed/>
    <w:qFormat/>
    <w:pPr>
      <w:keepNext/>
      <w:keepLines/>
      <w:widowControl/>
      <w:suppressAutoHyphens w:val="0"/>
      <w:spacing w:before="40"/>
      <w:jc w:val="both"/>
      <w:textAlignment w:val="auto"/>
      <w:outlineLvl w:val="3"/>
    </w:pPr>
    <w:rPr>
      <w:rFonts w:ascii="Arial" w:eastAsia="Times New Roman" w:hAnsi="Arial" w:cs="Times New Roman"/>
      <w:b/>
      <w:iCs/>
      <w:color w:val="000000"/>
      <w:kern w:val="0"/>
      <w:sz w:val="20"/>
      <w:szCs w:val="22"/>
      <w:lang w:eastAsia="en-US" w:bidi="ar-SA"/>
    </w:rPr>
  </w:style>
  <w:style w:type="paragraph" w:styleId="Ttulo5">
    <w:name w:val="heading 5"/>
    <w:basedOn w:val="Normal"/>
    <w:next w:val="Normal"/>
    <w:uiPriority w:val="9"/>
    <w:semiHidden/>
    <w:unhideWhenUsed/>
    <w:qFormat/>
    <w:pPr>
      <w:keepNext/>
      <w:keepLines/>
      <w:widowControl/>
      <w:suppressAutoHyphens w:val="0"/>
      <w:spacing w:before="40"/>
      <w:jc w:val="both"/>
      <w:textAlignment w:val="auto"/>
      <w:outlineLvl w:val="4"/>
    </w:pPr>
    <w:rPr>
      <w:rFonts w:ascii="Calibri Light" w:eastAsia="Times New Roman" w:hAnsi="Calibri Light" w:cs="Times New Roman"/>
      <w:color w:val="2E74B5"/>
      <w:kern w:val="0"/>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styleId="Ttulo">
    <w:name w:val="Title"/>
    <w:basedOn w:val="Standard"/>
    <w:next w:val="Textbody"/>
    <w:uiPriority w:val="10"/>
    <w:qFormat/>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rmal3">
    <w:name w:val="Normal3"/>
    <w:basedOn w:val="Standard"/>
    <w:pPr>
      <w:ind w:firstLine="567"/>
      <w:jc w:val="both"/>
    </w:pPr>
    <w:rPr>
      <w:rFonts w:ascii="Cambria" w:eastAsia="Calibri" w:hAnsi="Cambria" w:cs="Calibri"/>
      <w:color w:val="000000"/>
      <w:sz w:val="22"/>
      <w:szCs w:val="22"/>
    </w:rPr>
  </w:style>
  <w:style w:type="character" w:customStyle="1" w:styleId="NumberingSymbols">
    <w:name w:val="Numbering Symbols"/>
  </w:style>
  <w:style w:type="character" w:customStyle="1" w:styleId="WW8Num21z0">
    <w:name w:val="WW8Num21z0"/>
    <w:rPr>
      <w:rFonts w:ascii="Symbol" w:hAnsi="Symbol" w:cs="Symbo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rPr>
      <w:rFonts w:ascii="Arial" w:hAnsi="Arial" w:cs="Arial"/>
    </w:rPr>
  </w:style>
  <w:style w:type="character" w:customStyle="1" w:styleId="WW8Num23z1">
    <w:name w:val="WW8Num23z1"/>
    <w:rPr>
      <w:rFonts w:ascii="Symbol" w:hAnsi="Symbol" w:cs="Symbol"/>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Ttulo1Char">
    <w:name w:val="Título 1 Char"/>
    <w:basedOn w:val="Fontepargpadro"/>
    <w:rPr>
      <w:rFonts w:ascii="Arial" w:eastAsia="Times New Roman" w:hAnsi="Arial" w:cs="Times New Roman"/>
      <w:b/>
      <w:kern w:val="0"/>
      <w:szCs w:val="32"/>
      <w:lang w:eastAsia="en-US" w:bidi="ar-SA"/>
    </w:rPr>
  </w:style>
  <w:style w:type="character" w:customStyle="1" w:styleId="Ttulo2Char">
    <w:name w:val="Título 2 Char"/>
    <w:basedOn w:val="Fontepargpadro"/>
    <w:rPr>
      <w:rFonts w:ascii="Arial" w:eastAsia="Times New Roman" w:hAnsi="Arial" w:cs="Times New Roman"/>
      <w:b/>
      <w:kern w:val="0"/>
      <w:sz w:val="22"/>
      <w:szCs w:val="26"/>
      <w:lang w:eastAsia="en-US" w:bidi="ar-SA"/>
    </w:rPr>
  </w:style>
  <w:style w:type="character" w:customStyle="1" w:styleId="Ttulo3Char">
    <w:name w:val="Título 3 Char"/>
    <w:basedOn w:val="Fontepargpadro"/>
    <w:uiPriority w:val="9"/>
    <w:rPr>
      <w:rFonts w:ascii="Arial" w:eastAsia="Times New Roman" w:hAnsi="Arial" w:cs="Times New Roman"/>
      <w:b/>
      <w:kern w:val="0"/>
      <w:sz w:val="20"/>
      <w:lang w:eastAsia="en-US" w:bidi="ar-SA"/>
    </w:rPr>
  </w:style>
  <w:style w:type="paragraph" w:styleId="PargrafodaLista">
    <w:name w:val="List Paragraph"/>
    <w:basedOn w:val="Normal"/>
    <w:uiPriority w:val="34"/>
    <w:qFormat/>
    <w:pPr>
      <w:ind w:left="720"/>
    </w:pPr>
    <w:rPr>
      <w:rFonts w:cs="Mangal"/>
      <w:szCs w:val="21"/>
    </w:rPr>
  </w:style>
  <w:style w:type="character" w:customStyle="1" w:styleId="Ttulo4Char">
    <w:name w:val="Título 4 Char"/>
    <w:basedOn w:val="Fontepargpadro"/>
    <w:rPr>
      <w:rFonts w:ascii="Arial" w:eastAsia="Times New Roman" w:hAnsi="Arial" w:cs="Times New Roman"/>
      <w:b/>
      <w:iCs/>
      <w:color w:val="000000"/>
      <w:kern w:val="0"/>
      <w:sz w:val="20"/>
      <w:szCs w:val="22"/>
      <w:lang w:eastAsia="en-US" w:bidi="ar-SA"/>
    </w:rPr>
  </w:style>
  <w:style w:type="character" w:customStyle="1" w:styleId="Ttulo5Char">
    <w:name w:val="Título 5 Char"/>
    <w:basedOn w:val="Fontepargpadro"/>
    <w:rPr>
      <w:rFonts w:ascii="Calibri Light" w:eastAsia="Times New Roman" w:hAnsi="Calibri Light" w:cs="Times New Roman"/>
      <w:color w:val="2E74B5"/>
      <w:kern w:val="0"/>
      <w:szCs w:val="22"/>
      <w:lang w:eastAsia="en-US" w:bidi="ar-SA"/>
    </w:rPr>
  </w:style>
  <w:style w:type="paragraph" w:styleId="Cabealho">
    <w:name w:val="header"/>
    <w:basedOn w:val="Normal"/>
    <w:uiPriority w:val="99"/>
    <w:pPr>
      <w:widowControl/>
      <w:tabs>
        <w:tab w:val="center" w:pos="4252"/>
        <w:tab w:val="right" w:pos="8504"/>
      </w:tabs>
      <w:suppressAutoHyphens w:val="0"/>
      <w:jc w:val="both"/>
      <w:textAlignment w:val="auto"/>
    </w:pPr>
    <w:rPr>
      <w:rFonts w:ascii="Arial" w:eastAsia="Calibri" w:hAnsi="Arial" w:cs="Times New Roman"/>
      <w:kern w:val="0"/>
      <w:sz w:val="20"/>
      <w:szCs w:val="22"/>
      <w:lang w:eastAsia="en-US" w:bidi="ar-SA"/>
    </w:rPr>
  </w:style>
  <w:style w:type="character" w:customStyle="1" w:styleId="CabealhoChar">
    <w:name w:val="Cabeçalho Char"/>
    <w:basedOn w:val="Fontepargpadro"/>
    <w:uiPriority w:val="99"/>
    <w:rPr>
      <w:rFonts w:ascii="Arial" w:eastAsia="Calibri" w:hAnsi="Arial" w:cs="Times New Roman"/>
      <w:kern w:val="0"/>
      <w:sz w:val="20"/>
      <w:szCs w:val="22"/>
      <w:lang w:eastAsia="en-US" w:bidi="ar-SA"/>
    </w:rPr>
  </w:style>
  <w:style w:type="paragraph" w:styleId="Rodap">
    <w:name w:val="footer"/>
    <w:basedOn w:val="Normal"/>
    <w:uiPriority w:val="99"/>
    <w:pPr>
      <w:widowControl/>
      <w:tabs>
        <w:tab w:val="center" w:pos="4252"/>
        <w:tab w:val="right" w:pos="8504"/>
      </w:tabs>
      <w:suppressAutoHyphens w:val="0"/>
      <w:jc w:val="both"/>
      <w:textAlignment w:val="auto"/>
    </w:pPr>
    <w:rPr>
      <w:rFonts w:ascii="Arial" w:eastAsia="Calibri" w:hAnsi="Arial" w:cs="Times New Roman"/>
      <w:kern w:val="0"/>
      <w:sz w:val="20"/>
      <w:szCs w:val="22"/>
      <w:lang w:eastAsia="en-US" w:bidi="ar-SA"/>
    </w:rPr>
  </w:style>
  <w:style w:type="character" w:customStyle="1" w:styleId="RodapChar">
    <w:name w:val="Rodapé Char"/>
    <w:basedOn w:val="Fontepargpadro"/>
    <w:uiPriority w:val="99"/>
    <w:rPr>
      <w:rFonts w:ascii="Arial" w:eastAsia="Calibri" w:hAnsi="Arial" w:cs="Times New Roman"/>
      <w:kern w:val="0"/>
      <w:sz w:val="20"/>
      <w:szCs w:val="22"/>
      <w:lang w:eastAsia="en-US" w:bidi="ar-SA"/>
    </w:rPr>
  </w:style>
  <w:style w:type="paragraph" w:styleId="CabealhodoSumrio">
    <w:name w:val="TOC Heading"/>
    <w:basedOn w:val="Ttulo1"/>
    <w:next w:val="Normal"/>
    <w:pPr>
      <w:spacing w:before="240"/>
      <w:jc w:val="left"/>
    </w:pPr>
    <w:rPr>
      <w:rFonts w:ascii="Calibri Light" w:hAnsi="Calibri Light"/>
      <w:b w:val="0"/>
      <w:color w:val="2E74B5"/>
      <w:sz w:val="32"/>
      <w:lang w:eastAsia="pt-BR"/>
    </w:rPr>
  </w:style>
  <w:style w:type="paragraph" w:styleId="Sumrio1">
    <w:name w:val="toc 1"/>
    <w:basedOn w:val="Normal"/>
    <w:next w:val="Normal"/>
    <w:autoRedefine/>
    <w:pPr>
      <w:widowControl/>
      <w:tabs>
        <w:tab w:val="right" w:leader="dot" w:pos="9060"/>
      </w:tabs>
      <w:suppressAutoHyphens w:val="0"/>
      <w:spacing w:after="100"/>
      <w:jc w:val="both"/>
      <w:textAlignment w:val="auto"/>
    </w:pPr>
    <w:rPr>
      <w:rFonts w:ascii="Arial" w:eastAsia="Calibri" w:hAnsi="Arial" w:cs="Arial"/>
      <w:kern w:val="0"/>
      <w:sz w:val="20"/>
      <w:szCs w:val="22"/>
      <w:lang w:eastAsia="en-US" w:bidi="ar-SA"/>
    </w:rPr>
  </w:style>
  <w:style w:type="character" w:styleId="Hyperlink">
    <w:name w:val="Hyperlink"/>
    <w:uiPriority w:val="99"/>
    <w:rPr>
      <w:color w:val="0563C1"/>
      <w:u w:val="single"/>
    </w:rPr>
  </w:style>
  <w:style w:type="paragraph" w:styleId="NormalWeb">
    <w:name w:val="Normal (Web)"/>
    <w:basedOn w:val="Normal"/>
    <w:pPr>
      <w:widowControl/>
      <w:suppressAutoHyphens w:val="0"/>
      <w:spacing w:before="100" w:after="100"/>
      <w:jc w:val="both"/>
      <w:textAlignment w:val="auto"/>
    </w:pPr>
    <w:rPr>
      <w:rFonts w:eastAsia="Times New Roman" w:cs="Times New Roman"/>
      <w:kern w:val="0"/>
      <w:lang w:eastAsia="pt-BR" w:bidi="ar-SA"/>
    </w:rPr>
  </w:style>
  <w:style w:type="paragraph" w:customStyle="1" w:styleId="Quadro">
    <w:name w:val="Quadro"/>
    <w:basedOn w:val="NormalWeb"/>
    <w:pPr>
      <w:numPr>
        <w:numId w:val="3"/>
      </w:numPr>
      <w:shd w:val="clear" w:color="auto" w:fill="FFFFFF"/>
      <w:tabs>
        <w:tab w:val="left" w:pos="-31680"/>
      </w:tabs>
      <w:spacing w:before="0" w:after="0"/>
    </w:pPr>
    <w:rPr>
      <w:rFonts w:ascii="Arial" w:hAnsi="Arial" w:cs="Arial"/>
      <w:b/>
      <w:sz w:val="20"/>
    </w:rPr>
  </w:style>
  <w:style w:type="character" w:customStyle="1" w:styleId="NormalWebChar">
    <w:name w:val="Normal (Web) Char"/>
    <w:rPr>
      <w:rFonts w:eastAsia="Times New Roman" w:cs="Times New Roman"/>
      <w:kern w:val="0"/>
      <w:lang w:eastAsia="pt-BR" w:bidi="ar-SA"/>
    </w:rPr>
  </w:style>
  <w:style w:type="character" w:customStyle="1" w:styleId="QuadroChar">
    <w:name w:val="Quadro Char"/>
    <w:rPr>
      <w:rFonts w:ascii="Arial" w:eastAsia="Times New Roman" w:hAnsi="Arial" w:cs="Arial"/>
      <w:b/>
      <w:kern w:val="0"/>
      <w:sz w:val="20"/>
      <w:shd w:val="clear" w:color="auto" w:fill="FFFFFF"/>
      <w:lang w:eastAsia="pt-BR" w:bidi="ar-SA"/>
    </w:rPr>
  </w:style>
  <w:style w:type="paragraph" w:styleId="Sumrio2">
    <w:name w:val="toc 2"/>
    <w:basedOn w:val="Normal"/>
    <w:next w:val="Normal"/>
    <w:autoRedefine/>
    <w:pPr>
      <w:widowControl/>
      <w:suppressAutoHyphens w:val="0"/>
      <w:spacing w:after="100"/>
      <w:ind w:left="220"/>
      <w:jc w:val="both"/>
      <w:textAlignment w:val="auto"/>
    </w:pPr>
    <w:rPr>
      <w:rFonts w:ascii="Arial" w:eastAsia="Calibri" w:hAnsi="Arial" w:cs="Times New Roman"/>
      <w:kern w:val="0"/>
      <w:sz w:val="20"/>
      <w:szCs w:val="22"/>
      <w:lang w:eastAsia="en-US" w:bidi="ar-SA"/>
    </w:rPr>
  </w:style>
  <w:style w:type="paragraph" w:customStyle="1" w:styleId="Tabela2">
    <w:name w:val="Tabela 2"/>
    <w:basedOn w:val="Quadro"/>
    <w:pPr>
      <w:numPr>
        <w:numId w:val="4"/>
      </w:numPr>
    </w:pPr>
  </w:style>
  <w:style w:type="paragraph" w:styleId="Sumrio3">
    <w:name w:val="toc 3"/>
    <w:basedOn w:val="Normal"/>
    <w:next w:val="Normal"/>
    <w:autoRedefine/>
    <w:pPr>
      <w:widowControl/>
      <w:suppressAutoHyphens w:val="0"/>
      <w:spacing w:after="100"/>
      <w:ind w:left="440"/>
      <w:jc w:val="both"/>
      <w:textAlignment w:val="auto"/>
    </w:pPr>
    <w:rPr>
      <w:rFonts w:ascii="Arial" w:eastAsia="Calibri" w:hAnsi="Arial" w:cs="Times New Roman"/>
      <w:kern w:val="0"/>
      <w:sz w:val="20"/>
      <w:szCs w:val="22"/>
      <w:lang w:eastAsia="en-US" w:bidi="ar-SA"/>
    </w:rPr>
  </w:style>
  <w:style w:type="paragraph" w:customStyle="1" w:styleId="Default">
    <w:name w:val="Default"/>
    <w:pPr>
      <w:widowControl/>
      <w:autoSpaceDE w:val="0"/>
      <w:textAlignment w:val="auto"/>
    </w:pPr>
    <w:rPr>
      <w:rFonts w:eastAsia="Calibri" w:cs="Times New Roman"/>
      <w:color w:val="000000"/>
      <w:kern w:val="0"/>
      <w:lang w:eastAsia="en-US" w:bidi="ar-SA"/>
    </w:rPr>
  </w:style>
  <w:style w:type="character" w:customStyle="1" w:styleId="TabelaChar">
    <w:name w:val="Tabela Char"/>
    <w:rPr>
      <w:rFonts w:ascii="Arial" w:eastAsia="Times New Roman" w:hAnsi="Arial" w:cs="Arial"/>
      <w:b/>
      <w:kern w:val="0"/>
      <w:sz w:val="20"/>
      <w:shd w:val="clear" w:color="auto" w:fill="FFFFFF"/>
      <w:lang w:eastAsia="pt-BR" w:bidi="ar-SA"/>
    </w:rPr>
  </w:style>
  <w:style w:type="paragraph" w:customStyle="1" w:styleId="Figura">
    <w:name w:val="Figura"/>
    <w:basedOn w:val="Normal"/>
    <w:pPr>
      <w:widowControl/>
      <w:numPr>
        <w:numId w:val="5"/>
      </w:numPr>
      <w:suppressAutoHyphens w:val="0"/>
      <w:jc w:val="center"/>
      <w:textAlignment w:val="auto"/>
    </w:pPr>
    <w:rPr>
      <w:rFonts w:ascii="Arial" w:eastAsia="Calibri" w:hAnsi="Arial" w:cs="Times New Roman"/>
      <w:b/>
      <w:kern w:val="0"/>
      <w:sz w:val="20"/>
      <w:lang w:eastAsia="en-US" w:bidi="ar-SA"/>
    </w:rPr>
  </w:style>
  <w:style w:type="paragraph" w:styleId="Corpodetexto3">
    <w:name w:val="Body Text 3"/>
    <w:basedOn w:val="Normal"/>
    <w:pPr>
      <w:widowControl/>
      <w:suppressAutoHyphens w:val="0"/>
      <w:spacing w:after="120" w:line="276" w:lineRule="auto"/>
      <w:jc w:val="both"/>
      <w:textAlignment w:val="auto"/>
    </w:pPr>
    <w:rPr>
      <w:rFonts w:ascii="Calibri" w:eastAsia="Calibri" w:hAnsi="Calibri" w:cs="Times New Roman"/>
      <w:kern w:val="0"/>
      <w:sz w:val="16"/>
      <w:szCs w:val="16"/>
      <w:lang w:eastAsia="en-US" w:bidi="ar-SA"/>
    </w:rPr>
  </w:style>
  <w:style w:type="character" w:customStyle="1" w:styleId="Corpodetexto3Char">
    <w:name w:val="Corpo de texto 3 Char"/>
    <w:basedOn w:val="Fontepargpadro"/>
    <w:rPr>
      <w:rFonts w:ascii="Calibri" w:eastAsia="Calibri" w:hAnsi="Calibri" w:cs="Times New Roman"/>
      <w:kern w:val="0"/>
      <w:sz w:val="16"/>
      <w:szCs w:val="16"/>
      <w:lang w:eastAsia="en-US" w:bidi="ar-SA"/>
    </w:rPr>
  </w:style>
  <w:style w:type="character" w:customStyle="1" w:styleId="PargrafodaListaChar">
    <w:name w:val="Parágrafo da Lista Char"/>
    <w:rPr>
      <w:rFonts w:cs="Mangal"/>
      <w:szCs w:val="21"/>
    </w:rPr>
  </w:style>
  <w:style w:type="character" w:styleId="Refdecomentrio">
    <w:name w:val="annotation reference"/>
    <w:rPr>
      <w:sz w:val="16"/>
      <w:szCs w:val="16"/>
    </w:rPr>
  </w:style>
  <w:style w:type="paragraph" w:styleId="Textodecomentrio">
    <w:name w:val="annotation text"/>
    <w:basedOn w:val="Normal"/>
    <w:pPr>
      <w:widowControl/>
      <w:suppressAutoHyphens w:val="0"/>
      <w:spacing w:after="200"/>
      <w:jc w:val="both"/>
      <w:textAlignment w:val="auto"/>
    </w:pPr>
    <w:rPr>
      <w:rFonts w:ascii="Calibri" w:eastAsia="Calibri" w:hAnsi="Calibri" w:cs="Times New Roman"/>
      <w:kern w:val="0"/>
      <w:sz w:val="20"/>
      <w:szCs w:val="20"/>
      <w:lang w:eastAsia="en-US" w:bidi="ar-SA"/>
    </w:rPr>
  </w:style>
  <w:style w:type="character" w:customStyle="1" w:styleId="TextodecomentrioChar">
    <w:name w:val="Texto de comentário Char"/>
    <w:basedOn w:val="Fontepargpadro"/>
    <w:rPr>
      <w:rFonts w:ascii="Calibri" w:eastAsia="Calibri" w:hAnsi="Calibri" w:cs="Times New Roman"/>
      <w:kern w:val="0"/>
      <w:sz w:val="20"/>
      <w:szCs w:val="20"/>
      <w:lang w:eastAsia="en-US" w:bidi="ar-SA"/>
    </w:rPr>
  </w:style>
  <w:style w:type="character" w:customStyle="1" w:styleId="st">
    <w:name w:val="st"/>
    <w:basedOn w:val="Fontepargpadro"/>
  </w:style>
  <w:style w:type="paragraph" w:styleId="Assuntodocomentrio">
    <w:name w:val="annotation subject"/>
    <w:basedOn w:val="Textodecomentrio"/>
    <w:next w:val="Textodecomentrio"/>
    <w:pPr>
      <w:spacing w:after="0"/>
    </w:pPr>
    <w:rPr>
      <w:rFonts w:ascii="Times New Roman" w:hAnsi="Times New Roman"/>
      <w:b/>
      <w:bCs/>
    </w:rPr>
  </w:style>
  <w:style w:type="character" w:customStyle="1" w:styleId="AssuntodocomentrioChar">
    <w:name w:val="Assunto do comentário Char"/>
    <w:basedOn w:val="TextodecomentrioChar"/>
    <w:rPr>
      <w:rFonts w:ascii="Calibri" w:eastAsia="Calibri" w:hAnsi="Calibri" w:cs="Times New Roman"/>
      <w:b/>
      <w:bCs/>
      <w:kern w:val="0"/>
      <w:sz w:val="20"/>
      <w:szCs w:val="20"/>
      <w:lang w:eastAsia="en-US" w:bidi="ar-SA"/>
    </w:rPr>
  </w:style>
  <w:style w:type="paragraph" w:styleId="Reviso">
    <w:name w:val="Revision"/>
    <w:pPr>
      <w:widowControl/>
      <w:textAlignment w:val="auto"/>
    </w:pPr>
    <w:rPr>
      <w:rFonts w:eastAsia="Calibri" w:cs="Times New Roman"/>
      <w:kern w:val="0"/>
      <w:szCs w:val="22"/>
      <w:lang w:eastAsia="en-US" w:bidi="ar-SA"/>
    </w:rPr>
  </w:style>
  <w:style w:type="paragraph" w:styleId="Textodebalo">
    <w:name w:val="Balloon Text"/>
    <w:basedOn w:val="Normal"/>
    <w:pPr>
      <w:widowControl/>
      <w:suppressAutoHyphens w:val="0"/>
      <w:jc w:val="both"/>
      <w:textAlignment w:val="auto"/>
    </w:pPr>
    <w:rPr>
      <w:rFonts w:ascii="Segoe UI" w:eastAsia="Calibri" w:hAnsi="Segoe UI" w:cs="Segoe UI"/>
      <w:kern w:val="0"/>
      <w:sz w:val="18"/>
      <w:szCs w:val="18"/>
      <w:lang w:eastAsia="en-US" w:bidi="ar-SA"/>
    </w:rPr>
  </w:style>
  <w:style w:type="character" w:customStyle="1" w:styleId="TextodebaloChar">
    <w:name w:val="Texto de balão Char"/>
    <w:basedOn w:val="Fontepargpadro"/>
    <w:rPr>
      <w:rFonts w:ascii="Segoe UI" w:eastAsia="Calibri" w:hAnsi="Segoe UI" w:cs="Segoe UI"/>
      <w:kern w:val="0"/>
      <w:sz w:val="18"/>
      <w:szCs w:val="18"/>
      <w:lang w:eastAsia="en-US" w:bidi="ar-SA"/>
    </w:rPr>
  </w:style>
  <w:style w:type="paragraph" w:styleId="Sumrio5">
    <w:name w:val="toc 5"/>
    <w:basedOn w:val="Normal"/>
    <w:next w:val="Normal"/>
    <w:autoRedefine/>
    <w:pPr>
      <w:widowControl/>
      <w:suppressAutoHyphens w:val="0"/>
      <w:spacing w:after="100"/>
      <w:ind w:left="800"/>
      <w:jc w:val="both"/>
      <w:textAlignment w:val="auto"/>
    </w:pPr>
    <w:rPr>
      <w:rFonts w:ascii="Arial" w:eastAsia="Calibri" w:hAnsi="Arial" w:cs="Times New Roman"/>
      <w:kern w:val="0"/>
      <w:sz w:val="20"/>
      <w:szCs w:val="22"/>
      <w:lang w:eastAsia="en-US" w:bidi="ar-SA"/>
    </w:rPr>
  </w:style>
  <w:style w:type="paragraph" w:styleId="Sumrio4">
    <w:name w:val="toc 4"/>
    <w:basedOn w:val="Normal"/>
    <w:next w:val="Normal"/>
    <w:autoRedefine/>
    <w:pPr>
      <w:widowControl/>
      <w:tabs>
        <w:tab w:val="right" w:leader="dot" w:pos="8494"/>
      </w:tabs>
      <w:suppressAutoHyphens w:val="0"/>
      <w:spacing w:after="100"/>
      <w:ind w:left="660"/>
      <w:jc w:val="both"/>
      <w:textAlignment w:val="auto"/>
    </w:pPr>
    <w:rPr>
      <w:rFonts w:ascii="Arial" w:eastAsia="Times New Roman" w:hAnsi="Arial" w:cs="Arial"/>
      <w:kern w:val="0"/>
      <w:sz w:val="20"/>
      <w:szCs w:val="22"/>
      <w:lang w:eastAsia="pt-BR" w:bidi="ar-SA"/>
    </w:rPr>
  </w:style>
  <w:style w:type="paragraph" w:styleId="Sumrio6">
    <w:name w:val="toc 6"/>
    <w:basedOn w:val="Normal"/>
    <w:next w:val="Normal"/>
    <w:autoRedefine/>
    <w:pPr>
      <w:widowControl/>
      <w:suppressAutoHyphens w:val="0"/>
      <w:spacing w:after="100"/>
      <w:ind w:left="1100"/>
      <w:jc w:val="both"/>
      <w:textAlignment w:val="auto"/>
    </w:pPr>
    <w:rPr>
      <w:rFonts w:ascii="Calibri" w:eastAsia="Times New Roman" w:hAnsi="Calibri" w:cs="Times New Roman"/>
      <w:kern w:val="0"/>
      <w:sz w:val="22"/>
      <w:szCs w:val="22"/>
      <w:lang w:eastAsia="pt-BR" w:bidi="ar-SA"/>
    </w:rPr>
  </w:style>
  <w:style w:type="paragraph" w:styleId="Sumrio7">
    <w:name w:val="toc 7"/>
    <w:basedOn w:val="Normal"/>
    <w:next w:val="Normal"/>
    <w:autoRedefine/>
    <w:pPr>
      <w:widowControl/>
      <w:suppressAutoHyphens w:val="0"/>
      <w:spacing w:after="100"/>
      <w:ind w:left="1320"/>
      <w:jc w:val="both"/>
      <w:textAlignment w:val="auto"/>
    </w:pPr>
    <w:rPr>
      <w:rFonts w:ascii="Calibri" w:eastAsia="Times New Roman" w:hAnsi="Calibri" w:cs="Times New Roman"/>
      <w:kern w:val="0"/>
      <w:sz w:val="22"/>
      <w:szCs w:val="22"/>
      <w:lang w:eastAsia="pt-BR" w:bidi="ar-SA"/>
    </w:rPr>
  </w:style>
  <w:style w:type="paragraph" w:styleId="Sumrio8">
    <w:name w:val="toc 8"/>
    <w:basedOn w:val="Normal"/>
    <w:next w:val="Normal"/>
    <w:autoRedefine/>
    <w:pPr>
      <w:widowControl/>
      <w:suppressAutoHyphens w:val="0"/>
      <w:spacing w:after="100"/>
      <w:ind w:left="1540"/>
      <w:jc w:val="both"/>
      <w:textAlignment w:val="auto"/>
    </w:pPr>
    <w:rPr>
      <w:rFonts w:ascii="Calibri" w:eastAsia="Times New Roman" w:hAnsi="Calibri" w:cs="Times New Roman"/>
      <w:kern w:val="0"/>
      <w:sz w:val="22"/>
      <w:szCs w:val="22"/>
      <w:lang w:eastAsia="pt-BR" w:bidi="ar-SA"/>
    </w:rPr>
  </w:style>
  <w:style w:type="paragraph" w:styleId="Sumrio9">
    <w:name w:val="toc 9"/>
    <w:basedOn w:val="Normal"/>
    <w:next w:val="Normal"/>
    <w:autoRedefine/>
    <w:pPr>
      <w:widowControl/>
      <w:suppressAutoHyphens w:val="0"/>
      <w:spacing w:after="100"/>
      <w:ind w:left="1760"/>
      <w:jc w:val="both"/>
      <w:textAlignment w:val="auto"/>
    </w:pPr>
    <w:rPr>
      <w:rFonts w:ascii="Calibri" w:eastAsia="Times New Roman" w:hAnsi="Calibri" w:cs="Times New Roman"/>
      <w:kern w:val="0"/>
      <w:sz w:val="22"/>
      <w:szCs w:val="22"/>
      <w:lang w:eastAsia="pt-BR" w:bidi="ar-SA"/>
    </w:rPr>
  </w:style>
  <w:style w:type="paragraph" w:styleId="ndicedeilustraes">
    <w:name w:val="table of figures"/>
    <w:basedOn w:val="Normal"/>
    <w:next w:val="Normal"/>
    <w:pPr>
      <w:widowControl/>
      <w:suppressAutoHyphens w:val="0"/>
      <w:jc w:val="both"/>
      <w:textAlignment w:val="auto"/>
    </w:pPr>
    <w:rPr>
      <w:rFonts w:ascii="Arial" w:eastAsia="Calibri" w:hAnsi="Arial" w:cs="Times New Roman"/>
      <w:kern w:val="0"/>
      <w:sz w:val="20"/>
      <w:szCs w:val="22"/>
      <w:lang w:eastAsia="en-US" w:bidi="ar-SA"/>
    </w:rPr>
  </w:style>
  <w:style w:type="paragraph" w:styleId="Remissivo1">
    <w:name w:val="index 1"/>
    <w:basedOn w:val="Normal"/>
    <w:next w:val="Normal"/>
    <w:autoRedefine/>
    <w:pPr>
      <w:widowControl/>
      <w:suppressAutoHyphens w:val="0"/>
      <w:ind w:left="200" w:hanging="200"/>
      <w:jc w:val="both"/>
      <w:textAlignment w:val="auto"/>
    </w:pPr>
    <w:rPr>
      <w:rFonts w:ascii="Arial" w:eastAsia="Calibri" w:hAnsi="Arial" w:cs="Times New Roman"/>
      <w:kern w:val="0"/>
      <w:sz w:val="20"/>
      <w:szCs w:val="22"/>
      <w:lang w:eastAsia="en-US" w:bidi="ar-SA"/>
    </w:rPr>
  </w:style>
  <w:style w:type="character" w:styleId="HiperlinkVisitado">
    <w:name w:val="FollowedHyperlink"/>
    <w:uiPriority w:val="99"/>
    <w:rPr>
      <w:color w:val="954F72"/>
      <w:u w:val="single"/>
    </w:rPr>
  </w:style>
  <w:style w:type="paragraph" w:styleId="Textodenotaderodap">
    <w:name w:val="footnote text"/>
    <w:basedOn w:val="Normal"/>
    <w:pPr>
      <w:widowControl/>
      <w:suppressAutoHyphens w:val="0"/>
      <w:jc w:val="both"/>
      <w:textAlignment w:val="auto"/>
    </w:pPr>
    <w:rPr>
      <w:rFonts w:ascii="Arial" w:eastAsia="Calibri" w:hAnsi="Arial" w:cs="Times New Roman"/>
      <w:kern w:val="0"/>
      <w:sz w:val="20"/>
      <w:szCs w:val="20"/>
      <w:lang w:eastAsia="en-US" w:bidi="ar-SA"/>
    </w:rPr>
  </w:style>
  <w:style w:type="character" w:customStyle="1" w:styleId="TextodenotaderodapChar">
    <w:name w:val="Texto de nota de rodapé Char"/>
    <w:basedOn w:val="Fontepargpadro"/>
    <w:rPr>
      <w:rFonts w:ascii="Arial" w:eastAsia="Calibri" w:hAnsi="Arial" w:cs="Times New Roman"/>
      <w:kern w:val="0"/>
      <w:sz w:val="20"/>
      <w:szCs w:val="20"/>
      <w:lang w:eastAsia="en-US" w:bidi="ar-SA"/>
    </w:rPr>
  </w:style>
  <w:style w:type="character" w:styleId="Refdenotaderodap">
    <w:name w:val="footnote reference"/>
    <w:basedOn w:val="Fontepargpadro"/>
    <w:rPr>
      <w:position w:val="0"/>
      <w:vertAlign w:val="superscript"/>
    </w:rPr>
  </w:style>
  <w:style w:type="paragraph" w:styleId="Corpodetexto">
    <w:name w:val="Body Text"/>
    <w:basedOn w:val="Normal"/>
    <w:pPr>
      <w:widowControl/>
      <w:suppressAutoHyphens w:val="0"/>
      <w:spacing w:after="120"/>
      <w:jc w:val="both"/>
      <w:textAlignment w:val="auto"/>
    </w:pPr>
    <w:rPr>
      <w:rFonts w:ascii="Arial" w:eastAsia="Calibri" w:hAnsi="Arial" w:cs="Times New Roman"/>
      <w:kern w:val="0"/>
      <w:sz w:val="20"/>
      <w:szCs w:val="22"/>
      <w:lang w:eastAsia="en-US" w:bidi="ar-SA"/>
    </w:rPr>
  </w:style>
  <w:style w:type="character" w:customStyle="1" w:styleId="CorpodetextoChar">
    <w:name w:val="Corpo de texto Char"/>
    <w:basedOn w:val="Fontepargpadro"/>
    <w:rPr>
      <w:rFonts w:ascii="Arial" w:eastAsia="Calibri" w:hAnsi="Arial" w:cs="Times New Roman"/>
      <w:kern w:val="0"/>
      <w:sz w:val="20"/>
      <w:szCs w:val="22"/>
      <w:lang w:eastAsia="en-US" w:bidi="ar-SA"/>
    </w:rPr>
  </w:style>
  <w:style w:type="paragraph" w:customStyle="1" w:styleId="xl65">
    <w:name w:val="xl65"/>
    <w:basedOn w:val="Normal"/>
    <w:pPr>
      <w:widowControl/>
      <w:shd w:val="clear" w:color="auto" w:fill="FFFFFF"/>
      <w:suppressAutoHyphens w:val="0"/>
      <w:spacing w:before="100" w:after="100"/>
      <w:textAlignment w:val="top"/>
    </w:pPr>
    <w:rPr>
      <w:rFonts w:ascii="SansSerif" w:eastAsia="Times New Roman" w:hAnsi="SansSerif" w:cs="Times New Roman"/>
      <w:color w:val="000000"/>
      <w:kern w:val="0"/>
      <w:sz w:val="18"/>
      <w:szCs w:val="18"/>
      <w:lang w:eastAsia="pt-BR" w:bidi="ar-SA"/>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69">
    <w:name w:val="xl69"/>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70">
    <w:name w:val="xl70"/>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71">
    <w:name w:val="xl71"/>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72">
    <w:name w:val="xl72"/>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73">
    <w:name w:val="xl73"/>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74">
    <w:name w:val="xl74"/>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75">
    <w:name w:val="xl7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76">
    <w:name w:val="xl7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77">
    <w:name w:val="xl77"/>
    <w:basedOn w:val="Normal"/>
    <w:pPr>
      <w:widowControl/>
      <w:shd w:val="clear" w:color="auto" w:fill="FFFFFF"/>
      <w:suppressAutoHyphens w:val="0"/>
      <w:spacing w:before="100" w:after="100"/>
      <w:textAlignment w:val="top"/>
    </w:pPr>
    <w:rPr>
      <w:rFonts w:ascii="SansSerif" w:eastAsia="Times New Roman" w:hAnsi="SansSerif" w:cs="Times New Roman"/>
      <w:b/>
      <w:bCs/>
      <w:color w:val="000000"/>
      <w:kern w:val="0"/>
      <w:sz w:val="14"/>
      <w:szCs w:val="14"/>
      <w:lang w:eastAsia="pt-BR" w:bidi="ar-SA"/>
    </w:rPr>
  </w:style>
  <w:style w:type="paragraph" w:customStyle="1" w:styleId="xl78">
    <w:name w:val="xl78"/>
    <w:basedOn w:val="Normal"/>
    <w:pPr>
      <w:widowControl/>
      <w:shd w:val="clear" w:color="auto" w:fill="FFFFFF"/>
      <w:suppressAutoHyphens w:val="0"/>
      <w:spacing w:before="100" w:after="100"/>
      <w:textAlignment w:val="top"/>
    </w:pPr>
    <w:rPr>
      <w:rFonts w:ascii="SansSerif" w:eastAsia="Times New Roman" w:hAnsi="SansSerif" w:cs="Times New Roman"/>
      <w:b/>
      <w:bCs/>
      <w:color w:val="000000"/>
      <w:kern w:val="0"/>
      <w:sz w:val="10"/>
      <w:szCs w:val="10"/>
      <w:lang w:eastAsia="pt-BR" w:bidi="ar-SA"/>
    </w:rPr>
  </w:style>
  <w:style w:type="paragraph" w:customStyle="1" w:styleId="xl79">
    <w:name w:val="xl79"/>
    <w:basedOn w:val="Normal"/>
    <w:pPr>
      <w:widowControl/>
      <w:shd w:val="clear" w:color="auto" w:fill="FFFFFF"/>
      <w:suppressAutoHyphens w:val="0"/>
      <w:spacing w:before="100" w:after="100"/>
      <w:textAlignment w:val="center"/>
    </w:pPr>
    <w:rPr>
      <w:rFonts w:ascii="SansSerif" w:eastAsia="Times New Roman" w:hAnsi="SansSerif" w:cs="Times New Roman"/>
      <w:color w:val="000000"/>
      <w:kern w:val="0"/>
      <w:sz w:val="10"/>
      <w:szCs w:val="10"/>
      <w:lang w:eastAsia="pt-BR" w:bidi="ar-SA"/>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ascii="SansSerif" w:eastAsia="Times New Roman" w:hAnsi="SansSerif" w:cs="Times New Roman"/>
      <w:color w:val="000000"/>
      <w:kern w:val="0"/>
      <w:sz w:val="18"/>
      <w:szCs w:val="18"/>
      <w:lang w:eastAsia="pt-BR" w:bidi="ar-SA"/>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Verdana" w:eastAsia="Times New Roman" w:hAnsi="Verdana" w:cs="Times New Roman"/>
      <w:color w:val="000000"/>
      <w:kern w:val="0"/>
      <w:sz w:val="10"/>
      <w:szCs w:val="10"/>
      <w:lang w:eastAsia="pt-BR" w:bidi="ar-SA"/>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Verdana" w:eastAsia="Times New Roman" w:hAnsi="Verdana" w:cs="Times New Roman"/>
      <w:color w:val="000000"/>
      <w:kern w:val="0"/>
      <w:sz w:val="10"/>
      <w:szCs w:val="10"/>
      <w:lang w:eastAsia="pt-BR" w:bidi="ar-SA"/>
    </w:rPr>
  </w:style>
  <w:style w:type="paragraph" w:customStyle="1" w:styleId="xl83">
    <w:name w:val="xl83"/>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Verdana" w:eastAsia="Times New Roman" w:hAnsi="Verdana" w:cs="Times New Roman"/>
      <w:color w:val="000000"/>
      <w:kern w:val="0"/>
      <w:sz w:val="10"/>
      <w:szCs w:val="10"/>
      <w:lang w:eastAsia="pt-BR" w:bidi="ar-SA"/>
    </w:rPr>
  </w:style>
  <w:style w:type="paragraph" w:customStyle="1" w:styleId="xl84">
    <w:name w:val="xl84"/>
    <w:basedOn w:val="Normal"/>
    <w:pPr>
      <w:widowControl/>
      <w:shd w:val="clear" w:color="auto" w:fill="FFFFFF"/>
      <w:suppressAutoHyphens w:val="0"/>
      <w:spacing w:before="100" w:after="100"/>
      <w:textAlignment w:val="top"/>
    </w:pPr>
    <w:rPr>
      <w:rFonts w:ascii="SansSerif" w:eastAsia="Times New Roman" w:hAnsi="SansSerif" w:cs="Times New Roman"/>
      <w:color w:val="000000"/>
      <w:kern w:val="0"/>
      <w:sz w:val="18"/>
      <w:szCs w:val="18"/>
      <w:lang w:eastAsia="pt-BR" w:bidi="ar-SA"/>
    </w:rPr>
  </w:style>
  <w:style w:type="paragraph" w:customStyle="1" w:styleId="xl85">
    <w:name w:val="xl8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86">
    <w:name w:val="xl8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87">
    <w:name w:val="xl87"/>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88">
    <w:name w:val="xl8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89">
    <w:name w:val="xl8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90">
    <w:name w:val="xl9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91">
    <w:name w:val="xl9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92">
    <w:name w:val="xl9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93">
    <w:name w:val="xl93"/>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94">
    <w:name w:val="xl9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95">
    <w:name w:val="xl9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96">
    <w:name w:val="xl9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97">
    <w:name w:val="xl97"/>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98">
    <w:name w:val="xl98"/>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99">
    <w:name w:val="xl99"/>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00">
    <w:name w:val="xl100"/>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01">
    <w:name w:val="xl101"/>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02">
    <w:name w:val="xl102"/>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03">
    <w:name w:val="xl103"/>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04">
    <w:name w:val="xl104"/>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05">
    <w:name w:val="xl10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06">
    <w:name w:val="xl10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07">
    <w:name w:val="xl107"/>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08">
    <w:name w:val="xl10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09">
    <w:name w:val="xl10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10">
    <w:name w:val="xl11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11">
    <w:name w:val="xl111"/>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12">
    <w:name w:val="xl112"/>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13">
    <w:name w:val="xl113"/>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14">
    <w:name w:val="xl114"/>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15">
    <w:name w:val="xl115"/>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16">
    <w:name w:val="xl116"/>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17">
    <w:name w:val="xl117"/>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18">
    <w:name w:val="xl118"/>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19">
    <w:name w:val="xl119"/>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20">
    <w:name w:val="xl120"/>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21">
    <w:name w:val="xl121"/>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22">
    <w:name w:val="xl122"/>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23">
    <w:name w:val="xl123"/>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24">
    <w:name w:val="xl124"/>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25">
    <w:name w:val="xl125"/>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26">
    <w:name w:val="xl126"/>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27">
    <w:name w:val="xl127"/>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28">
    <w:name w:val="xl128"/>
    <w:basedOn w:val="Normal"/>
    <w:pPr>
      <w:widowControl/>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29">
    <w:name w:val="xl12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30">
    <w:name w:val="xl13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31">
    <w:name w:val="xl13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2">
    <w:name w:val="xl13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3">
    <w:name w:val="xl133"/>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4">
    <w:name w:val="xl134"/>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5">
    <w:name w:val="xl135"/>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6">
    <w:name w:val="xl136"/>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7">
    <w:name w:val="xl137"/>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38">
    <w:name w:val="xl13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39">
    <w:name w:val="xl139"/>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40">
    <w:name w:val="xl140"/>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41">
    <w:name w:val="xl14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42">
    <w:name w:val="xl14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43">
    <w:name w:val="xl143"/>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44">
    <w:name w:val="xl14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45">
    <w:name w:val="xl145"/>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46">
    <w:name w:val="xl146"/>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47">
    <w:name w:val="xl147"/>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48">
    <w:name w:val="xl14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49">
    <w:name w:val="xl149"/>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50">
    <w:name w:val="xl150"/>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51">
    <w:name w:val="xl151"/>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52">
    <w:name w:val="xl152"/>
    <w:basedOn w:val="Normal"/>
    <w:pPr>
      <w:widowControl/>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xl153">
    <w:name w:val="xl153"/>
    <w:basedOn w:val="Normal"/>
    <w:pPr>
      <w:widowControl/>
      <w:shd w:val="clear" w:color="auto" w:fill="FFFFFF"/>
      <w:suppressAutoHyphens w:val="0"/>
      <w:spacing w:before="100" w:after="100"/>
      <w:jc w:val="right"/>
      <w:textAlignment w:val="top"/>
    </w:pPr>
    <w:rPr>
      <w:rFonts w:eastAsia="Times New Roman" w:cs="Times New Roman"/>
      <w:color w:val="000000"/>
      <w:kern w:val="0"/>
      <w:sz w:val="10"/>
      <w:szCs w:val="10"/>
      <w:lang w:eastAsia="pt-BR" w:bidi="ar-SA"/>
    </w:rPr>
  </w:style>
  <w:style w:type="paragraph" w:customStyle="1" w:styleId="xl154">
    <w:name w:val="xl154"/>
    <w:basedOn w:val="Normal"/>
    <w:pPr>
      <w:widowControl/>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155">
    <w:name w:val="xl15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56">
    <w:name w:val="xl156"/>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57">
    <w:name w:val="xl157"/>
    <w:basedOn w:val="Normal"/>
    <w:pPr>
      <w:widowControl/>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58">
    <w:name w:val="xl158"/>
    <w:basedOn w:val="Normal"/>
    <w:pPr>
      <w:widowControl/>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59">
    <w:name w:val="xl15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60">
    <w:name w:val="xl160"/>
    <w:basedOn w:val="Normal"/>
    <w:pPr>
      <w:widowControl/>
      <w:shd w:val="clear" w:color="auto" w:fill="FFFFFF"/>
      <w:suppressAutoHyphens w:val="0"/>
      <w:spacing w:before="100" w:after="100"/>
      <w:jc w:val="center"/>
      <w:textAlignment w:val="center"/>
    </w:pPr>
    <w:rPr>
      <w:rFonts w:eastAsia="Times New Roman" w:cs="Times New Roman"/>
      <w:b/>
      <w:bCs/>
      <w:color w:val="000000"/>
      <w:kern w:val="0"/>
      <w:sz w:val="10"/>
      <w:szCs w:val="10"/>
      <w:lang w:eastAsia="pt-BR" w:bidi="ar-SA"/>
    </w:rPr>
  </w:style>
  <w:style w:type="paragraph" w:customStyle="1" w:styleId="xl161">
    <w:name w:val="xl161"/>
    <w:basedOn w:val="Normal"/>
    <w:pPr>
      <w:widowControl/>
      <w:shd w:val="clear" w:color="auto" w:fill="FFFFFF"/>
      <w:suppressAutoHyphens w:val="0"/>
      <w:spacing w:before="100" w:after="100"/>
      <w:textAlignment w:val="center"/>
    </w:pPr>
    <w:rPr>
      <w:rFonts w:ascii="Verdana" w:eastAsia="Times New Roman" w:hAnsi="Verdana" w:cs="Times New Roman"/>
      <w:color w:val="000000"/>
      <w:kern w:val="0"/>
      <w:sz w:val="10"/>
      <w:szCs w:val="10"/>
      <w:lang w:eastAsia="pt-BR" w:bidi="ar-SA"/>
    </w:rPr>
  </w:style>
  <w:style w:type="paragraph" w:customStyle="1" w:styleId="xl162">
    <w:name w:val="xl162"/>
    <w:basedOn w:val="Normal"/>
    <w:pPr>
      <w:widowControl/>
      <w:shd w:val="clear" w:color="auto" w:fill="FFFFFF"/>
      <w:suppressAutoHyphens w:val="0"/>
      <w:spacing w:before="100" w:after="100"/>
      <w:textAlignment w:val="center"/>
    </w:pPr>
    <w:rPr>
      <w:rFonts w:eastAsia="Times New Roman" w:cs="Times New Roman"/>
      <w:color w:val="000000"/>
      <w:kern w:val="0"/>
      <w:sz w:val="10"/>
      <w:szCs w:val="10"/>
      <w:lang w:eastAsia="pt-BR" w:bidi="ar-SA"/>
    </w:rPr>
  </w:style>
  <w:style w:type="paragraph" w:customStyle="1" w:styleId="xl163">
    <w:name w:val="xl163"/>
    <w:basedOn w:val="Normal"/>
    <w:pPr>
      <w:widowControl/>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64">
    <w:name w:val="xl16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ascii="Arial" w:eastAsia="Times New Roman" w:hAnsi="Arial" w:cs="Arial"/>
      <w:b/>
      <w:bCs/>
      <w:color w:val="000000"/>
      <w:kern w:val="0"/>
      <w:sz w:val="10"/>
      <w:szCs w:val="10"/>
      <w:lang w:eastAsia="pt-BR" w:bidi="ar-SA"/>
    </w:rPr>
  </w:style>
  <w:style w:type="paragraph" w:customStyle="1" w:styleId="xl165">
    <w:name w:val="xl165"/>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s="Times New Roman"/>
      <w:kern w:val="0"/>
      <w:lang w:eastAsia="pt-BR" w:bidi="ar-SA"/>
    </w:rPr>
  </w:style>
  <w:style w:type="paragraph" w:customStyle="1" w:styleId="xl166">
    <w:name w:val="xl166"/>
    <w:basedOn w:val="Normal"/>
    <w:pPr>
      <w:widowControl/>
      <w:shd w:val="clear" w:color="auto" w:fill="FFFFFF"/>
      <w:suppressAutoHyphens w:val="0"/>
      <w:spacing w:before="100" w:after="100"/>
      <w:textAlignment w:val="top"/>
    </w:pPr>
    <w:rPr>
      <w:rFonts w:ascii="SansSerif" w:eastAsia="Times New Roman" w:hAnsi="SansSerif" w:cs="Times New Roman"/>
      <w:color w:val="000000"/>
      <w:kern w:val="0"/>
      <w:sz w:val="18"/>
      <w:szCs w:val="18"/>
      <w:lang w:eastAsia="pt-BR" w:bidi="ar-SA"/>
    </w:rPr>
  </w:style>
  <w:style w:type="paragraph" w:customStyle="1" w:styleId="xl167">
    <w:name w:val="xl167"/>
    <w:basedOn w:val="Normal"/>
    <w:pPr>
      <w:widowControl/>
      <w:suppressAutoHyphens w:val="0"/>
      <w:spacing w:before="100" w:after="100"/>
      <w:textAlignment w:val="auto"/>
    </w:pPr>
    <w:rPr>
      <w:rFonts w:eastAsia="Times New Roman" w:cs="Times New Roman"/>
      <w:kern w:val="0"/>
      <w:lang w:eastAsia="pt-BR" w:bidi="ar-SA"/>
    </w:rPr>
  </w:style>
  <w:style w:type="paragraph" w:customStyle="1" w:styleId="xl168">
    <w:name w:val="xl16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69">
    <w:name w:val="xl16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textAlignment w:val="top"/>
    </w:pPr>
    <w:rPr>
      <w:rFonts w:eastAsia="Times New Roman" w:cs="Times New Roman"/>
      <w:b/>
      <w:bCs/>
      <w:color w:val="000000"/>
      <w:kern w:val="0"/>
      <w:sz w:val="10"/>
      <w:szCs w:val="10"/>
      <w:lang w:eastAsia="pt-BR" w:bidi="ar-SA"/>
    </w:rPr>
  </w:style>
  <w:style w:type="paragraph" w:customStyle="1" w:styleId="xl170">
    <w:name w:val="xl17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Verdana" w:eastAsia="Times New Roman" w:hAnsi="Verdana" w:cs="Times New Roman"/>
      <w:color w:val="000000"/>
      <w:kern w:val="0"/>
      <w:sz w:val="10"/>
      <w:szCs w:val="10"/>
      <w:lang w:eastAsia="pt-BR" w:bidi="ar-SA"/>
    </w:rPr>
  </w:style>
  <w:style w:type="paragraph" w:customStyle="1" w:styleId="xl171">
    <w:name w:val="xl17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top"/>
    </w:pPr>
    <w:rPr>
      <w:rFonts w:ascii="Arial" w:eastAsia="Times New Roman" w:hAnsi="Arial" w:cs="Arial"/>
      <w:b/>
      <w:bCs/>
      <w:color w:val="000000"/>
      <w:kern w:val="0"/>
      <w:sz w:val="10"/>
      <w:szCs w:val="10"/>
      <w:lang w:eastAsia="pt-BR" w:bidi="ar-SA"/>
    </w:rPr>
  </w:style>
  <w:style w:type="paragraph" w:customStyle="1" w:styleId="xl172">
    <w:name w:val="xl17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b/>
      <w:bCs/>
      <w:color w:val="000000"/>
      <w:kern w:val="0"/>
      <w:sz w:val="10"/>
      <w:szCs w:val="10"/>
      <w:lang w:eastAsia="pt-BR" w:bidi="ar-SA"/>
    </w:rPr>
  </w:style>
  <w:style w:type="paragraph" w:customStyle="1" w:styleId="xl173">
    <w:name w:val="xl173"/>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rFonts w:eastAsia="Times New Roman" w:cs="Times New Roman"/>
      <w:kern w:val="0"/>
      <w:lang w:eastAsia="pt-BR" w:bidi="ar-SA"/>
    </w:rPr>
  </w:style>
  <w:style w:type="paragraph" w:customStyle="1" w:styleId="xl174">
    <w:name w:val="xl17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s="Times New Roman"/>
      <w:color w:val="000000"/>
      <w:kern w:val="0"/>
      <w:sz w:val="10"/>
      <w:szCs w:val="10"/>
      <w:lang w:eastAsia="pt-BR" w:bidi="ar-SA"/>
    </w:rPr>
  </w:style>
  <w:style w:type="paragraph" w:customStyle="1" w:styleId="xl63">
    <w:name w:val="xl63"/>
    <w:basedOn w:val="Normal"/>
    <w:pPr>
      <w:widowControl/>
      <w:shd w:val="clear" w:color="auto" w:fill="FFFFFF"/>
      <w:suppressAutoHyphens w:val="0"/>
      <w:spacing w:before="100" w:after="100"/>
      <w:textAlignment w:val="top"/>
    </w:pPr>
    <w:rPr>
      <w:rFonts w:ascii="SansSerif" w:eastAsia="Times New Roman" w:hAnsi="SansSerif" w:cs="Times New Roman"/>
      <w:color w:val="000000"/>
      <w:kern w:val="0"/>
      <w:sz w:val="18"/>
      <w:szCs w:val="18"/>
      <w:lang w:eastAsia="pt-BR" w:bidi="ar-SA"/>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eastAsia="Times New Roman" w:cs="Times New Roman"/>
      <w:color w:val="000000"/>
      <w:kern w:val="0"/>
      <w:sz w:val="10"/>
      <w:szCs w:val="10"/>
      <w:lang w:eastAsia="pt-BR" w:bidi="ar-SA"/>
    </w:rPr>
  </w:style>
  <w:style w:type="paragraph" w:customStyle="1" w:styleId="msonormal0">
    <w:name w:val="msonormal"/>
    <w:basedOn w:val="Normal"/>
    <w:pPr>
      <w:widowControl/>
      <w:suppressAutoHyphens w:val="0"/>
      <w:spacing w:before="100" w:after="100"/>
      <w:textAlignment w:val="auto"/>
    </w:pPr>
    <w:rPr>
      <w:rFonts w:eastAsia="Times New Roman" w:cs="Times New Roman"/>
      <w:kern w:val="0"/>
      <w:lang w:eastAsia="pt-BR" w:bidi="ar-SA"/>
    </w:rPr>
  </w:style>
  <w:style w:type="paragraph" w:customStyle="1" w:styleId="dou-paragraph">
    <w:name w:val="dou-paragraph"/>
    <w:basedOn w:val="Normal"/>
    <w:pPr>
      <w:widowControl/>
      <w:suppressAutoHyphens w:val="0"/>
      <w:spacing w:before="100" w:after="100"/>
      <w:textAlignment w:val="auto"/>
    </w:pPr>
    <w:rPr>
      <w:rFonts w:eastAsia="Times New Roman" w:cs="Times New Roman"/>
      <w:kern w:val="0"/>
      <w:lang w:eastAsia="pt-BR" w:bidi="ar-SA"/>
    </w:rPr>
  </w:style>
  <w:style w:type="character" w:styleId="nfase">
    <w:name w:val="Emphasis"/>
    <w:basedOn w:val="Fontepargpadro"/>
    <w:rPr>
      <w:i/>
      <w:iCs/>
    </w:rPr>
  </w:style>
  <w:style w:type="character" w:styleId="Forte">
    <w:name w:val="Strong"/>
    <w:basedOn w:val="Fontepargpadro"/>
    <w:rPr>
      <w:b/>
      <w:bCs/>
    </w:rPr>
  </w:style>
  <w:style w:type="numbering" w:customStyle="1" w:styleId="WW8Num21">
    <w:name w:val="WW8Num21"/>
    <w:basedOn w:val="Semlista"/>
    <w:pPr>
      <w:numPr>
        <w:numId w:val="1"/>
      </w:numPr>
    </w:pPr>
  </w:style>
  <w:style w:type="numbering" w:customStyle="1" w:styleId="WW8Num23">
    <w:name w:val="WW8Num23"/>
    <w:basedOn w:val="Semlista"/>
    <w:pPr>
      <w:numPr>
        <w:numId w:val="2"/>
      </w:numPr>
    </w:pPr>
  </w:style>
  <w:style w:type="numbering" w:customStyle="1" w:styleId="LFO5">
    <w:name w:val="LFO5"/>
    <w:basedOn w:val="Semlista"/>
    <w:pPr>
      <w:numPr>
        <w:numId w:val="3"/>
      </w:numPr>
    </w:pPr>
  </w:style>
  <w:style w:type="numbering" w:customStyle="1" w:styleId="LFO6">
    <w:name w:val="LFO6"/>
    <w:basedOn w:val="Semlista"/>
    <w:pPr>
      <w:numPr>
        <w:numId w:val="4"/>
      </w:numPr>
    </w:pPr>
  </w:style>
  <w:style w:type="numbering" w:customStyle="1" w:styleId="LFO7">
    <w:name w:val="LFO7"/>
    <w:basedOn w:val="Semlista"/>
    <w:pPr>
      <w:numPr>
        <w:numId w:val="5"/>
      </w:numPr>
    </w:pPr>
  </w:style>
  <w:style w:type="character" w:customStyle="1" w:styleId="divdemonstracaocontabil">
    <w:name w:val="divdemonstracaocontabil"/>
    <w:basedOn w:val="Fontepargpadro"/>
    <w:rsid w:val="005548FA"/>
  </w:style>
  <w:style w:type="paragraph" w:customStyle="1" w:styleId="p1">
    <w:name w:val="p1"/>
    <w:basedOn w:val="Normal"/>
    <w:rsid w:val="00990A94"/>
    <w:pPr>
      <w:widowControl/>
      <w:suppressAutoHyphens w:val="0"/>
      <w:autoSpaceDN/>
      <w:textAlignment w:val="auto"/>
    </w:pPr>
    <w:rPr>
      <w:rFonts w:ascii="Calibri" w:eastAsiaTheme="minorHAnsi" w:hAnsi="Calibri" w:cs="Calibri"/>
      <w:kern w:val="0"/>
      <w:sz w:val="22"/>
      <w:szCs w:val="22"/>
      <w:lang w:eastAsia="pt-BR" w:bidi="ar-SA"/>
    </w:rPr>
  </w:style>
  <w:style w:type="paragraph" w:customStyle="1" w:styleId="p2">
    <w:name w:val="p2"/>
    <w:basedOn w:val="Normal"/>
    <w:rsid w:val="00990A94"/>
    <w:pPr>
      <w:widowControl/>
      <w:suppressAutoHyphens w:val="0"/>
      <w:autoSpaceDN/>
      <w:textAlignment w:val="auto"/>
    </w:pPr>
    <w:rPr>
      <w:rFonts w:ascii="Calibri" w:eastAsiaTheme="minorHAnsi" w:hAnsi="Calibri" w:cs="Calibri"/>
      <w:kern w:val="0"/>
      <w:sz w:val="22"/>
      <w:szCs w:val="22"/>
      <w:lang w:eastAsia="pt-BR" w:bidi="ar-SA"/>
    </w:rPr>
  </w:style>
  <w:style w:type="character" w:customStyle="1" w:styleId="s1">
    <w:name w:val="s1"/>
    <w:basedOn w:val="Fontepargpadro"/>
    <w:rsid w:val="00990A94"/>
  </w:style>
  <w:style w:type="character" w:customStyle="1" w:styleId="apple-converted-space">
    <w:name w:val="apple-converted-space"/>
    <w:basedOn w:val="Fontepargpadro"/>
    <w:rsid w:val="00990A94"/>
  </w:style>
  <w:style w:type="paragraph" w:customStyle="1" w:styleId="CorpoA">
    <w:name w:val="Corpo A"/>
    <w:rsid w:val="00990A94"/>
    <w:pPr>
      <w:suppressAutoHyphens/>
      <w:autoSpaceDN/>
      <w:textAlignment w:val="auto"/>
    </w:pPr>
    <w:rPr>
      <w:rFonts w:eastAsia="Arial Unicode MS" w:cs="Arial Unicode MS"/>
      <w:color w:val="000000"/>
      <w:u w:color="000000"/>
      <w:lang w:val="pt-PT"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8410">
      <w:bodyDiv w:val="1"/>
      <w:marLeft w:val="0"/>
      <w:marRight w:val="0"/>
      <w:marTop w:val="0"/>
      <w:marBottom w:val="0"/>
      <w:divBdr>
        <w:top w:val="none" w:sz="0" w:space="0" w:color="auto"/>
        <w:left w:val="none" w:sz="0" w:space="0" w:color="auto"/>
        <w:bottom w:val="none" w:sz="0" w:space="0" w:color="auto"/>
        <w:right w:val="none" w:sz="0" w:space="0" w:color="auto"/>
      </w:divBdr>
    </w:div>
    <w:div w:id="78214719">
      <w:bodyDiv w:val="1"/>
      <w:marLeft w:val="0"/>
      <w:marRight w:val="0"/>
      <w:marTop w:val="0"/>
      <w:marBottom w:val="0"/>
      <w:divBdr>
        <w:top w:val="none" w:sz="0" w:space="0" w:color="auto"/>
        <w:left w:val="none" w:sz="0" w:space="0" w:color="auto"/>
        <w:bottom w:val="none" w:sz="0" w:space="0" w:color="auto"/>
        <w:right w:val="none" w:sz="0" w:space="0" w:color="auto"/>
      </w:divBdr>
    </w:div>
    <w:div w:id="100489979">
      <w:bodyDiv w:val="1"/>
      <w:marLeft w:val="0"/>
      <w:marRight w:val="0"/>
      <w:marTop w:val="0"/>
      <w:marBottom w:val="0"/>
      <w:divBdr>
        <w:top w:val="none" w:sz="0" w:space="0" w:color="auto"/>
        <w:left w:val="none" w:sz="0" w:space="0" w:color="auto"/>
        <w:bottom w:val="none" w:sz="0" w:space="0" w:color="auto"/>
        <w:right w:val="none" w:sz="0" w:space="0" w:color="auto"/>
      </w:divBdr>
    </w:div>
    <w:div w:id="144131483">
      <w:bodyDiv w:val="1"/>
      <w:marLeft w:val="0"/>
      <w:marRight w:val="0"/>
      <w:marTop w:val="0"/>
      <w:marBottom w:val="0"/>
      <w:divBdr>
        <w:top w:val="none" w:sz="0" w:space="0" w:color="auto"/>
        <w:left w:val="none" w:sz="0" w:space="0" w:color="auto"/>
        <w:bottom w:val="none" w:sz="0" w:space="0" w:color="auto"/>
        <w:right w:val="none" w:sz="0" w:space="0" w:color="auto"/>
      </w:divBdr>
    </w:div>
    <w:div w:id="152068372">
      <w:bodyDiv w:val="1"/>
      <w:marLeft w:val="0"/>
      <w:marRight w:val="0"/>
      <w:marTop w:val="0"/>
      <w:marBottom w:val="0"/>
      <w:divBdr>
        <w:top w:val="none" w:sz="0" w:space="0" w:color="auto"/>
        <w:left w:val="none" w:sz="0" w:space="0" w:color="auto"/>
        <w:bottom w:val="none" w:sz="0" w:space="0" w:color="auto"/>
        <w:right w:val="none" w:sz="0" w:space="0" w:color="auto"/>
      </w:divBdr>
    </w:div>
    <w:div w:id="170074783">
      <w:bodyDiv w:val="1"/>
      <w:marLeft w:val="0"/>
      <w:marRight w:val="0"/>
      <w:marTop w:val="0"/>
      <w:marBottom w:val="0"/>
      <w:divBdr>
        <w:top w:val="none" w:sz="0" w:space="0" w:color="auto"/>
        <w:left w:val="none" w:sz="0" w:space="0" w:color="auto"/>
        <w:bottom w:val="none" w:sz="0" w:space="0" w:color="auto"/>
        <w:right w:val="none" w:sz="0" w:space="0" w:color="auto"/>
      </w:divBdr>
    </w:div>
    <w:div w:id="172498949">
      <w:bodyDiv w:val="1"/>
      <w:marLeft w:val="0"/>
      <w:marRight w:val="0"/>
      <w:marTop w:val="0"/>
      <w:marBottom w:val="0"/>
      <w:divBdr>
        <w:top w:val="none" w:sz="0" w:space="0" w:color="auto"/>
        <w:left w:val="none" w:sz="0" w:space="0" w:color="auto"/>
        <w:bottom w:val="none" w:sz="0" w:space="0" w:color="auto"/>
        <w:right w:val="none" w:sz="0" w:space="0" w:color="auto"/>
      </w:divBdr>
    </w:div>
    <w:div w:id="209389615">
      <w:bodyDiv w:val="1"/>
      <w:marLeft w:val="0"/>
      <w:marRight w:val="0"/>
      <w:marTop w:val="0"/>
      <w:marBottom w:val="0"/>
      <w:divBdr>
        <w:top w:val="none" w:sz="0" w:space="0" w:color="auto"/>
        <w:left w:val="none" w:sz="0" w:space="0" w:color="auto"/>
        <w:bottom w:val="none" w:sz="0" w:space="0" w:color="auto"/>
        <w:right w:val="none" w:sz="0" w:space="0" w:color="auto"/>
      </w:divBdr>
    </w:div>
    <w:div w:id="280114742">
      <w:bodyDiv w:val="1"/>
      <w:marLeft w:val="0"/>
      <w:marRight w:val="0"/>
      <w:marTop w:val="0"/>
      <w:marBottom w:val="0"/>
      <w:divBdr>
        <w:top w:val="none" w:sz="0" w:space="0" w:color="auto"/>
        <w:left w:val="none" w:sz="0" w:space="0" w:color="auto"/>
        <w:bottom w:val="none" w:sz="0" w:space="0" w:color="auto"/>
        <w:right w:val="none" w:sz="0" w:space="0" w:color="auto"/>
      </w:divBdr>
    </w:div>
    <w:div w:id="305621795">
      <w:bodyDiv w:val="1"/>
      <w:marLeft w:val="0"/>
      <w:marRight w:val="0"/>
      <w:marTop w:val="0"/>
      <w:marBottom w:val="0"/>
      <w:divBdr>
        <w:top w:val="none" w:sz="0" w:space="0" w:color="auto"/>
        <w:left w:val="none" w:sz="0" w:space="0" w:color="auto"/>
        <w:bottom w:val="none" w:sz="0" w:space="0" w:color="auto"/>
        <w:right w:val="none" w:sz="0" w:space="0" w:color="auto"/>
      </w:divBdr>
    </w:div>
    <w:div w:id="316035237">
      <w:bodyDiv w:val="1"/>
      <w:marLeft w:val="0"/>
      <w:marRight w:val="0"/>
      <w:marTop w:val="0"/>
      <w:marBottom w:val="0"/>
      <w:divBdr>
        <w:top w:val="none" w:sz="0" w:space="0" w:color="auto"/>
        <w:left w:val="none" w:sz="0" w:space="0" w:color="auto"/>
        <w:bottom w:val="none" w:sz="0" w:space="0" w:color="auto"/>
        <w:right w:val="none" w:sz="0" w:space="0" w:color="auto"/>
      </w:divBdr>
    </w:div>
    <w:div w:id="367871954">
      <w:bodyDiv w:val="1"/>
      <w:marLeft w:val="0"/>
      <w:marRight w:val="0"/>
      <w:marTop w:val="0"/>
      <w:marBottom w:val="0"/>
      <w:divBdr>
        <w:top w:val="none" w:sz="0" w:space="0" w:color="auto"/>
        <w:left w:val="none" w:sz="0" w:space="0" w:color="auto"/>
        <w:bottom w:val="none" w:sz="0" w:space="0" w:color="auto"/>
        <w:right w:val="none" w:sz="0" w:space="0" w:color="auto"/>
      </w:divBdr>
    </w:div>
    <w:div w:id="389891825">
      <w:bodyDiv w:val="1"/>
      <w:marLeft w:val="0"/>
      <w:marRight w:val="0"/>
      <w:marTop w:val="0"/>
      <w:marBottom w:val="0"/>
      <w:divBdr>
        <w:top w:val="none" w:sz="0" w:space="0" w:color="auto"/>
        <w:left w:val="none" w:sz="0" w:space="0" w:color="auto"/>
        <w:bottom w:val="none" w:sz="0" w:space="0" w:color="auto"/>
        <w:right w:val="none" w:sz="0" w:space="0" w:color="auto"/>
      </w:divBdr>
    </w:div>
    <w:div w:id="461191416">
      <w:bodyDiv w:val="1"/>
      <w:marLeft w:val="0"/>
      <w:marRight w:val="0"/>
      <w:marTop w:val="0"/>
      <w:marBottom w:val="0"/>
      <w:divBdr>
        <w:top w:val="none" w:sz="0" w:space="0" w:color="auto"/>
        <w:left w:val="none" w:sz="0" w:space="0" w:color="auto"/>
        <w:bottom w:val="none" w:sz="0" w:space="0" w:color="auto"/>
        <w:right w:val="none" w:sz="0" w:space="0" w:color="auto"/>
      </w:divBdr>
    </w:div>
    <w:div w:id="469058142">
      <w:bodyDiv w:val="1"/>
      <w:marLeft w:val="0"/>
      <w:marRight w:val="0"/>
      <w:marTop w:val="0"/>
      <w:marBottom w:val="0"/>
      <w:divBdr>
        <w:top w:val="none" w:sz="0" w:space="0" w:color="auto"/>
        <w:left w:val="none" w:sz="0" w:space="0" w:color="auto"/>
        <w:bottom w:val="none" w:sz="0" w:space="0" w:color="auto"/>
        <w:right w:val="none" w:sz="0" w:space="0" w:color="auto"/>
      </w:divBdr>
    </w:div>
    <w:div w:id="542182245">
      <w:bodyDiv w:val="1"/>
      <w:marLeft w:val="0"/>
      <w:marRight w:val="0"/>
      <w:marTop w:val="0"/>
      <w:marBottom w:val="0"/>
      <w:divBdr>
        <w:top w:val="none" w:sz="0" w:space="0" w:color="auto"/>
        <w:left w:val="none" w:sz="0" w:space="0" w:color="auto"/>
        <w:bottom w:val="none" w:sz="0" w:space="0" w:color="auto"/>
        <w:right w:val="none" w:sz="0" w:space="0" w:color="auto"/>
      </w:divBdr>
    </w:div>
    <w:div w:id="762266012">
      <w:bodyDiv w:val="1"/>
      <w:marLeft w:val="0"/>
      <w:marRight w:val="0"/>
      <w:marTop w:val="0"/>
      <w:marBottom w:val="0"/>
      <w:divBdr>
        <w:top w:val="none" w:sz="0" w:space="0" w:color="auto"/>
        <w:left w:val="none" w:sz="0" w:space="0" w:color="auto"/>
        <w:bottom w:val="none" w:sz="0" w:space="0" w:color="auto"/>
        <w:right w:val="none" w:sz="0" w:space="0" w:color="auto"/>
      </w:divBdr>
    </w:div>
    <w:div w:id="781922170">
      <w:bodyDiv w:val="1"/>
      <w:marLeft w:val="0"/>
      <w:marRight w:val="0"/>
      <w:marTop w:val="0"/>
      <w:marBottom w:val="0"/>
      <w:divBdr>
        <w:top w:val="none" w:sz="0" w:space="0" w:color="auto"/>
        <w:left w:val="none" w:sz="0" w:space="0" w:color="auto"/>
        <w:bottom w:val="none" w:sz="0" w:space="0" w:color="auto"/>
        <w:right w:val="none" w:sz="0" w:space="0" w:color="auto"/>
      </w:divBdr>
    </w:div>
    <w:div w:id="844586877">
      <w:bodyDiv w:val="1"/>
      <w:marLeft w:val="0"/>
      <w:marRight w:val="0"/>
      <w:marTop w:val="0"/>
      <w:marBottom w:val="0"/>
      <w:divBdr>
        <w:top w:val="none" w:sz="0" w:space="0" w:color="auto"/>
        <w:left w:val="none" w:sz="0" w:space="0" w:color="auto"/>
        <w:bottom w:val="none" w:sz="0" w:space="0" w:color="auto"/>
        <w:right w:val="none" w:sz="0" w:space="0" w:color="auto"/>
      </w:divBdr>
    </w:div>
    <w:div w:id="849563324">
      <w:bodyDiv w:val="1"/>
      <w:marLeft w:val="0"/>
      <w:marRight w:val="0"/>
      <w:marTop w:val="0"/>
      <w:marBottom w:val="0"/>
      <w:divBdr>
        <w:top w:val="none" w:sz="0" w:space="0" w:color="auto"/>
        <w:left w:val="none" w:sz="0" w:space="0" w:color="auto"/>
        <w:bottom w:val="none" w:sz="0" w:space="0" w:color="auto"/>
        <w:right w:val="none" w:sz="0" w:space="0" w:color="auto"/>
      </w:divBdr>
    </w:div>
    <w:div w:id="851263429">
      <w:bodyDiv w:val="1"/>
      <w:marLeft w:val="0"/>
      <w:marRight w:val="0"/>
      <w:marTop w:val="0"/>
      <w:marBottom w:val="0"/>
      <w:divBdr>
        <w:top w:val="none" w:sz="0" w:space="0" w:color="auto"/>
        <w:left w:val="none" w:sz="0" w:space="0" w:color="auto"/>
        <w:bottom w:val="none" w:sz="0" w:space="0" w:color="auto"/>
        <w:right w:val="none" w:sz="0" w:space="0" w:color="auto"/>
      </w:divBdr>
    </w:div>
    <w:div w:id="998652927">
      <w:bodyDiv w:val="1"/>
      <w:marLeft w:val="0"/>
      <w:marRight w:val="0"/>
      <w:marTop w:val="0"/>
      <w:marBottom w:val="0"/>
      <w:divBdr>
        <w:top w:val="none" w:sz="0" w:space="0" w:color="auto"/>
        <w:left w:val="none" w:sz="0" w:space="0" w:color="auto"/>
        <w:bottom w:val="none" w:sz="0" w:space="0" w:color="auto"/>
        <w:right w:val="none" w:sz="0" w:space="0" w:color="auto"/>
      </w:divBdr>
    </w:div>
    <w:div w:id="1008993412">
      <w:bodyDiv w:val="1"/>
      <w:marLeft w:val="0"/>
      <w:marRight w:val="0"/>
      <w:marTop w:val="0"/>
      <w:marBottom w:val="0"/>
      <w:divBdr>
        <w:top w:val="none" w:sz="0" w:space="0" w:color="auto"/>
        <w:left w:val="none" w:sz="0" w:space="0" w:color="auto"/>
        <w:bottom w:val="none" w:sz="0" w:space="0" w:color="auto"/>
        <w:right w:val="none" w:sz="0" w:space="0" w:color="auto"/>
      </w:divBdr>
    </w:div>
    <w:div w:id="1088841389">
      <w:bodyDiv w:val="1"/>
      <w:marLeft w:val="0"/>
      <w:marRight w:val="0"/>
      <w:marTop w:val="0"/>
      <w:marBottom w:val="0"/>
      <w:divBdr>
        <w:top w:val="none" w:sz="0" w:space="0" w:color="auto"/>
        <w:left w:val="none" w:sz="0" w:space="0" w:color="auto"/>
        <w:bottom w:val="none" w:sz="0" w:space="0" w:color="auto"/>
        <w:right w:val="none" w:sz="0" w:space="0" w:color="auto"/>
      </w:divBdr>
    </w:div>
    <w:div w:id="1189023309">
      <w:bodyDiv w:val="1"/>
      <w:marLeft w:val="0"/>
      <w:marRight w:val="0"/>
      <w:marTop w:val="0"/>
      <w:marBottom w:val="0"/>
      <w:divBdr>
        <w:top w:val="none" w:sz="0" w:space="0" w:color="auto"/>
        <w:left w:val="none" w:sz="0" w:space="0" w:color="auto"/>
        <w:bottom w:val="none" w:sz="0" w:space="0" w:color="auto"/>
        <w:right w:val="none" w:sz="0" w:space="0" w:color="auto"/>
      </w:divBdr>
    </w:div>
    <w:div w:id="1304383730">
      <w:bodyDiv w:val="1"/>
      <w:marLeft w:val="0"/>
      <w:marRight w:val="0"/>
      <w:marTop w:val="0"/>
      <w:marBottom w:val="0"/>
      <w:divBdr>
        <w:top w:val="none" w:sz="0" w:space="0" w:color="auto"/>
        <w:left w:val="none" w:sz="0" w:space="0" w:color="auto"/>
        <w:bottom w:val="none" w:sz="0" w:space="0" w:color="auto"/>
        <w:right w:val="none" w:sz="0" w:space="0" w:color="auto"/>
      </w:divBdr>
    </w:div>
    <w:div w:id="1315377519">
      <w:bodyDiv w:val="1"/>
      <w:marLeft w:val="0"/>
      <w:marRight w:val="0"/>
      <w:marTop w:val="0"/>
      <w:marBottom w:val="0"/>
      <w:divBdr>
        <w:top w:val="none" w:sz="0" w:space="0" w:color="auto"/>
        <w:left w:val="none" w:sz="0" w:space="0" w:color="auto"/>
        <w:bottom w:val="none" w:sz="0" w:space="0" w:color="auto"/>
        <w:right w:val="none" w:sz="0" w:space="0" w:color="auto"/>
      </w:divBdr>
    </w:div>
    <w:div w:id="1456868483">
      <w:bodyDiv w:val="1"/>
      <w:marLeft w:val="0"/>
      <w:marRight w:val="0"/>
      <w:marTop w:val="0"/>
      <w:marBottom w:val="0"/>
      <w:divBdr>
        <w:top w:val="none" w:sz="0" w:space="0" w:color="auto"/>
        <w:left w:val="none" w:sz="0" w:space="0" w:color="auto"/>
        <w:bottom w:val="none" w:sz="0" w:space="0" w:color="auto"/>
        <w:right w:val="none" w:sz="0" w:space="0" w:color="auto"/>
      </w:divBdr>
    </w:div>
    <w:div w:id="1502113246">
      <w:bodyDiv w:val="1"/>
      <w:marLeft w:val="0"/>
      <w:marRight w:val="0"/>
      <w:marTop w:val="0"/>
      <w:marBottom w:val="0"/>
      <w:divBdr>
        <w:top w:val="none" w:sz="0" w:space="0" w:color="auto"/>
        <w:left w:val="none" w:sz="0" w:space="0" w:color="auto"/>
        <w:bottom w:val="none" w:sz="0" w:space="0" w:color="auto"/>
        <w:right w:val="none" w:sz="0" w:space="0" w:color="auto"/>
      </w:divBdr>
    </w:div>
    <w:div w:id="1560285648">
      <w:bodyDiv w:val="1"/>
      <w:marLeft w:val="0"/>
      <w:marRight w:val="0"/>
      <w:marTop w:val="0"/>
      <w:marBottom w:val="0"/>
      <w:divBdr>
        <w:top w:val="none" w:sz="0" w:space="0" w:color="auto"/>
        <w:left w:val="none" w:sz="0" w:space="0" w:color="auto"/>
        <w:bottom w:val="none" w:sz="0" w:space="0" w:color="auto"/>
        <w:right w:val="none" w:sz="0" w:space="0" w:color="auto"/>
      </w:divBdr>
    </w:div>
    <w:div w:id="1597060846">
      <w:bodyDiv w:val="1"/>
      <w:marLeft w:val="0"/>
      <w:marRight w:val="0"/>
      <w:marTop w:val="0"/>
      <w:marBottom w:val="0"/>
      <w:divBdr>
        <w:top w:val="none" w:sz="0" w:space="0" w:color="auto"/>
        <w:left w:val="none" w:sz="0" w:space="0" w:color="auto"/>
        <w:bottom w:val="none" w:sz="0" w:space="0" w:color="auto"/>
        <w:right w:val="none" w:sz="0" w:space="0" w:color="auto"/>
      </w:divBdr>
    </w:div>
    <w:div w:id="1621104754">
      <w:bodyDiv w:val="1"/>
      <w:marLeft w:val="0"/>
      <w:marRight w:val="0"/>
      <w:marTop w:val="0"/>
      <w:marBottom w:val="0"/>
      <w:divBdr>
        <w:top w:val="none" w:sz="0" w:space="0" w:color="auto"/>
        <w:left w:val="none" w:sz="0" w:space="0" w:color="auto"/>
        <w:bottom w:val="none" w:sz="0" w:space="0" w:color="auto"/>
        <w:right w:val="none" w:sz="0" w:space="0" w:color="auto"/>
      </w:divBdr>
    </w:div>
    <w:div w:id="1631548740">
      <w:bodyDiv w:val="1"/>
      <w:marLeft w:val="0"/>
      <w:marRight w:val="0"/>
      <w:marTop w:val="0"/>
      <w:marBottom w:val="0"/>
      <w:divBdr>
        <w:top w:val="none" w:sz="0" w:space="0" w:color="auto"/>
        <w:left w:val="none" w:sz="0" w:space="0" w:color="auto"/>
        <w:bottom w:val="none" w:sz="0" w:space="0" w:color="auto"/>
        <w:right w:val="none" w:sz="0" w:space="0" w:color="auto"/>
      </w:divBdr>
    </w:div>
    <w:div w:id="1650356161">
      <w:bodyDiv w:val="1"/>
      <w:marLeft w:val="0"/>
      <w:marRight w:val="0"/>
      <w:marTop w:val="0"/>
      <w:marBottom w:val="0"/>
      <w:divBdr>
        <w:top w:val="none" w:sz="0" w:space="0" w:color="auto"/>
        <w:left w:val="none" w:sz="0" w:space="0" w:color="auto"/>
        <w:bottom w:val="none" w:sz="0" w:space="0" w:color="auto"/>
        <w:right w:val="none" w:sz="0" w:space="0" w:color="auto"/>
      </w:divBdr>
    </w:div>
    <w:div w:id="1661083440">
      <w:bodyDiv w:val="1"/>
      <w:marLeft w:val="0"/>
      <w:marRight w:val="0"/>
      <w:marTop w:val="0"/>
      <w:marBottom w:val="0"/>
      <w:divBdr>
        <w:top w:val="none" w:sz="0" w:space="0" w:color="auto"/>
        <w:left w:val="none" w:sz="0" w:space="0" w:color="auto"/>
        <w:bottom w:val="none" w:sz="0" w:space="0" w:color="auto"/>
        <w:right w:val="none" w:sz="0" w:space="0" w:color="auto"/>
      </w:divBdr>
    </w:div>
    <w:div w:id="1698775427">
      <w:bodyDiv w:val="1"/>
      <w:marLeft w:val="0"/>
      <w:marRight w:val="0"/>
      <w:marTop w:val="0"/>
      <w:marBottom w:val="0"/>
      <w:divBdr>
        <w:top w:val="none" w:sz="0" w:space="0" w:color="auto"/>
        <w:left w:val="none" w:sz="0" w:space="0" w:color="auto"/>
        <w:bottom w:val="none" w:sz="0" w:space="0" w:color="auto"/>
        <w:right w:val="none" w:sz="0" w:space="0" w:color="auto"/>
      </w:divBdr>
    </w:div>
    <w:div w:id="1747874704">
      <w:bodyDiv w:val="1"/>
      <w:marLeft w:val="0"/>
      <w:marRight w:val="0"/>
      <w:marTop w:val="0"/>
      <w:marBottom w:val="0"/>
      <w:divBdr>
        <w:top w:val="none" w:sz="0" w:space="0" w:color="auto"/>
        <w:left w:val="none" w:sz="0" w:space="0" w:color="auto"/>
        <w:bottom w:val="none" w:sz="0" w:space="0" w:color="auto"/>
        <w:right w:val="none" w:sz="0" w:space="0" w:color="auto"/>
      </w:divBdr>
    </w:div>
    <w:div w:id="1751539008">
      <w:bodyDiv w:val="1"/>
      <w:marLeft w:val="0"/>
      <w:marRight w:val="0"/>
      <w:marTop w:val="0"/>
      <w:marBottom w:val="0"/>
      <w:divBdr>
        <w:top w:val="none" w:sz="0" w:space="0" w:color="auto"/>
        <w:left w:val="none" w:sz="0" w:space="0" w:color="auto"/>
        <w:bottom w:val="none" w:sz="0" w:space="0" w:color="auto"/>
        <w:right w:val="none" w:sz="0" w:space="0" w:color="auto"/>
      </w:divBdr>
    </w:div>
    <w:div w:id="1773744806">
      <w:bodyDiv w:val="1"/>
      <w:marLeft w:val="0"/>
      <w:marRight w:val="0"/>
      <w:marTop w:val="0"/>
      <w:marBottom w:val="0"/>
      <w:divBdr>
        <w:top w:val="none" w:sz="0" w:space="0" w:color="auto"/>
        <w:left w:val="none" w:sz="0" w:space="0" w:color="auto"/>
        <w:bottom w:val="none" w:sz="0" w:space="0" w:color="auto"/>
        <w:right w:val="none" w:sz="0" w:space="0" w:color="auto"/>
      </w:divBdr>
    </w:div>
    <w:div w:id="1795055722">
      <w:bodyDiv w:val="1"/>
      <w:marLeft w:val="0"/>
      <w:marRight w:val="0"/>
      <w:marTop w:val="0"/>
      <w:marBottom w:val="0"/>
      <w:divBdr>
        <w:top w:val="none" w:sz="0" w:space="0" w:color="auto"/>
        <w:left w:val="none" w:sz="0" w:space="0" w:color="auto"/>
        <w:bottom w:val="none" w:sz="0" w:space="0" w:color="auto"/>
        <w:right w:val="none" w:sz="0" w:space="0" w:color="auto"/>
      </w:divBdr>
    </w:div>
    <w:div w:id="1839348439">
      <w:bodyDiv w:val="1"/>
      <w:marLeft w:val="0"/>
      <w:marRight w:val="0"/>
      <w:marTop w:val="0"/>
      <w:marBottom w:val="0"/>
      <w:divBdr>
        <w:top w:val="none" w:sz="0" w:space="0" w:color="auto"/>
        <w:left w:val="none" w:sz="0" w:space="0" w:color="auto"/>
        <w:bottom w:val="none" w:sz="0" w:space="0" w:color="auto"/>
        <w:right w:val="none" w:sz="0" w:space="0" w:color="auto"/>
      </w:divBdr>
    </w:div>
    <w:div w:id="1851791912">
      <w:bodyDiv w:val="1"/>
      <w:marLeft w:val="0"/>
      <w:marRight w:val="0"/>
      <w:marTop w:val="0"/>
      <w:marBottom w:val="0"/>
      <w:divBdr>
        <w:top w:val="none" w:sz="0" w:space="0" w:color="auto"/>
        <w:left w:val="none" w:sz="0" w:space="0" w:color="auto"/>
        <w:bottom w:val="none" w:sz="0" w:space="0" w:color="auto"/>
        <w:right w:val="none" w:sz="0" w:space="0" w:color="auto"/>
      </w:divBdr>
    </w:div>
    <w:div w:id="1854033451">
      <w:bodyDiv w:val="1"/>
      <w:marLeft w:val="0"/>
      <w:marRight w:val="0"/>
      <w:marTop w:val="0"/>
      <w:marBottom w:val="0"/>
      <w:divBdr>
        <w:top w:val="none" w:sz="0" w:space="0" w:color="auto"/>
        <w:left w:val="none" w:sz="0" w:space="0" w:color="auto"/>
        <w:bottom w:val="none" w:sz="0" w:space="0" w:color="auto"/>
        <w:right w:val="none" w:sz="0" w:space="0" w:color="auto"/>
      </w:divBdr>
    </w:div>
    <w:div w:id="1869365978">
      <w:bodyDiv w:val="1"/>
      <w:marLeft w:val="0"/>
      <w:marRight w:val="0"/>
      <w:marTop w:val="0"/>
      <w:marBottom w:val="0"/>
      <w:divBdr>
        <w:top w:val="none" w:sz="0" w:space="0" w:color="auto"/>
        <w:left w:val="none" w:sz="0" w:space="0" w:color="auto"/>
        <w:bottom w:val="none" w:sz="0" w:space="0" w:color="auto"/>
        <w:right w:val="none" w:sz="0" w:space="0" w:color="auto"/>
      </w:divBdr>
    </w:div>
    <w:div w:id="1906135710">
      <w:bodyDiv w:val="1"/>
      <w:marLeft w:val="0"/>
      <w:marRight w:val="0"/>
      <w:marTop w:val="0"/>
      <w:marBottom w:val="0"/>
      <w:divBdr>
        <w:top w:val="none" w:sz="0" w:space="0" w:color="auto"/>
        <w:left w:val="none" w:sz="0" w:space="0" w:color="auto"/>
        <w:bottom w:val="none" w:sz="0" w:space="0" w:color="auto"/>
        <w:right w:val="none" w:sz="0" w:space="0" w:color="auto"/>
      </w:divBdr>
    </w:div>
    <w:div w:id="1925604331">
      <w:bodyDiv w:val="1"/>
      <w:marLeft w:val="0"/>
      <w:marRight w:val="0"/>
      <w:marTop w:val="0"/>
      <w:marBottom w:val="0"/>
      <w:divBdr>
        <w:top w:val="none" w:sz="0" w:space="0" w:color="auto"/>
        <w:left w:val="none" w:sz="0" w:space="0" w:color="auto"/>
        <w:bottom w:val="none" w:sz="0" w:space="0" w:color="auto"/>
        <w:right w:val="none" w:sz="0" w:space="0" w:color="auto"/>
      </w:divBdr>
    </w:div>
    <w:div w:id="1954316165">
      <w:bodyDiv w:val="1"/>
      <w:marLeft w:val="0"/>
      <w:marRight w:val="0"/>
      <w:marTop w:val="0"/>
      <w:marBottom w:val="0"/>
      <w:divBdr>
        <w:top w:val="none" w:sz="0" w:space="0" w:color="auto"/>
        <w:left w:val="none" w:sz="0" w:space="0" w:color="auto"/>
        <w:bottom w:val="none" w:sz="0" w:space="0" w:color="auto"/>
        <w:right w:val="none" w:sz="0" w:space="0" w:color="auto"/>
      </w:divBdr>
    </w:div>
    <w:div w:id="1972245065">
      <w:bodyDiv w:val="1"/>
      <w:marLeft w:val="0"/>
      <w:marRight w:val="0"/>
      <w:marTop w:val="0"/>
      <w:marBottom w:val="0"/>
      <w:divBdr>
        <w:top w:val="none" w:sz="0" w:space="0" w:color="auto"/>
        <w:left w:val="none" w:sz="0" w:space="0" w:color="auto"/>
        <w:bottom w:val="none" w:sz="0" w:space="0" w:color="auto"/>
        <w:right w:val="none" w:sz="0" w:space="0" w:color="auto"/>
      </w:divBdr>
    </w:div>
    <w:div w:id="1996493226">
      <w:bodyDiv w:val="1"/>
      <w:marLeft w:val="0"/>
      <w:marRight w:val="0"/>
      <w:marTop w:val="0"/>
      <w:marBottom w:val="0"/>
      <w:divBdr>
        <w:top w:val="none" w:sz="0" w:space="0" w:color="auto"/>
        <w:left w:val="none" w:sz="0" w:space="0" w:color="auto"/>
        <w:bottom w:val="none" w:sz="0" w:space="0" w:color="auto"/>
        <w:right w:val="none" w:sz="0" w:space="0" w:color="auto"/>
      </w:divBdr>
    </w:div>
    <w:div w:id="2093159001">
      <w:bodyDiv w:val="1"/>
      <w:marLeft w:val="0"/>
      <w:marRight w:val="0"/>
      <w:marTop w:val="0"/>
      <w:marBottom w:val="0"/>
      <w:divBdr>
        <w:top w:val="none" w:sz="0" w:space="0" w:color="auto"/>
        <w:left w:val="none" w:sz="0" w:space="0" w:color="auto"/>
        <w:bottom w:val="none" w:sz="0" w:space="0" w:color="auto"/>
        <w:right w:val="none" w:sz="0" w:space="0" w:color="auto"/>
      </w:divBdr>
    </w:div>
    <w:div w:id="213991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40</Pages>
  <Words>16657</Words>
  <Characters>89953</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Gilvan da Silva Dantas</dc:creator>
  <cp:lastModifiedBy>Renato</cp:lastModifiedBy>
  <cp:revision>11</cp:revision>
  <cp:lastPrinted>2018-07-26T18:07:00Z</cp:lastPrinted>
  <dcterms:created xsi:type="dcterms:W3CDTF">2021-01-28T19:36:00Z</dcterms:created>
  <dcterms:modified xsi:type="dcterms:W3CDTF">2021-04-26T18:49:00Z</dcterms:modified>
</cp:coreProperties>
</file>