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</w:tblGrid>
      <w:tr w:rsidR="001A4D3C" w:rsidRPr="001A4D3C" w:rsidTr="001A4D3C">
        <w:trPr>
          <w:tblCellSpacing w:w="0" w:type="dxa"/>
          <w:jc w:val="center"/>
        </w:trPr>
        <w:tc>
          <w:tcPr>
            <w:tcW w:w="4300" w:type="pct"/>
            <w:vAlign w:val="center"/>
            <w:hideMark/>
          </w:tcPr>
          <w:p w:rsidR="001A4D3C" w:rsidRPr="001A4D3C" w:rsidRDefault="001A4D3C" w:rsidP="001A4D3C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4D3C">
              <w:rPr>
                <w:rFonts w:ascii="Arial" w:eastAsia="Times New Roman" w:hAnsi="Arial" w:cs="Arial"/>
                <w:b/>
                <w:bCs/>
                <w:color w:val="808000"/>
                <w:sz w:val="36"/>
                <w:szCs w:val="36"/>
                <w:lang w:eastAsia="pt-BR"/>
              </w:rPr>
              <w:t>Presidência da República</w:t>
            </w:r>
            <w:r w:rsidRPr="001A4D3C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</w:r>
            <w:r w:rsidRPr="001A4D3C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t>Casa Civil</w:t>
            </w:r>
            <w:r w:rsidRPr="001A4D3C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br/>
            </w:r>
            <w:r w:rsidRPr="001A4D3C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t>Subchefia para Assuntos Jurídicos</w:t>
            </w:r>
          </w:p>
        </w:tc>
      </w:tr>
    </w:tbl>
    <w:p w:rsidR="001A4D3C" w:rsidRPr="001A4D3C" w:rsidRDefault="001A4D3C" w:rsidP="001A4D3C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hyperlink r:id="rId4" w:history="1">
        <w:r w:rsidRPr="001A4D3C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pt-BR"/>
          </w:rPr>
          <w:t>DECRETO Nº 9.244, DE 19 DE DEZEMBRO DE 2017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7"/>
        <w:gridCol w:w="4167"/>
      </w:tblGrid>
      <w:tr w:rsidR="001A4D3C" w:rsidRPr="001A4D3C" w:rsidTr="001A4D3C">
        <w:trPr>
          <w:tblCellSpacing w:w="0" w:type="dxa"/>
        </w:trPr>
        <w:tc>
          <w:tcPr>
            <w:tcW w:w="2550" w:type="pct"/>
            <w:vAlign w:val="center"/>
            <w:hideMark/>
          </w:tcPr>
          <w:p w:rsidR="001A4D3C" w:rsidRPr="001A4D3C" w:rsidRDefault="001A4D3C" w:rsidP="001A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4D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50" w:type="pct"/>
            <w:vAlign w:val="center"/>
            <w:hideMark/>
          </w:tcPr>
          <w:p w:rsidR="001A4D3C" w:rsidRPr="001A4D3C" w:rsidRDefault="001A4D3C" w:rsidP="001A4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4D3C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Institui a Estratégia Nacional de Investimentos e Negócios de Impacto e cria o Comitê de Investimentos e Negócios de Impacto.</w:t>
            </w:r>
          </w:p>
        </w:tc>
      </w:tr>
    </w:tbl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O PRESIDENTE DA REPÚBLICA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no uso da atribuição que lhe confere o art. 84, </w:t>
      </w:r>
      <w:r w:rsidRPr="001A4D3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inciso VI, alínea “a”, da Constituição,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DECRETA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art1"/>
      <w:bookmarkEnd w:id="0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Fica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instituída a Estratégia Nacional de Investimentos e Negócios de Impacto, com a finalidade de articular órgãos e entidades da administração pública federal, do setor privado e da sociedade civil, na promoção de um ambiente favorável ao desenvolvimento de investimentos e negócios de impacto.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" w:name="art2"/>
      <w:bookmarkEnd w:id="1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Para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efeitos do disposto neste Decreto, considera-se: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negócios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impacto - empreendimentos com o objetivo de gerar impacto socioambiental e resultado financeiro positivo de forma sustentável;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investimentos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impacto - mobilização de capital público ou privado para negócios de impacto; e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organizações intermediárias - instituições que facilitam, conectam e apoiam a conexão entre a oferta (investidores, doadores e gestores empreendedores) e a demanda de capital (negócios que geram impacto social).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2" w:name="art3"/>
      <w:bookmarkEnd w:id="2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 3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A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Estratégia Nacional de Investimentos e Negócios de Impacto tem os seguintes objetivos: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ampliação da oferta de capital para os negócios de impacto, por meio da mobilização de recursos públicos e privados destinados ao investimento e ao financiamento de suas atividades;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aumento da quantidade de negócios de impacto, por meio da disseminação da cultura de avaliação de impacto socioambiental e do apoio ao envolvimento desses empreendimentos com as demandas de contratações públicas e com as cadeias de valor de empresas privadas;</w:t>
      </w:r>
    </w:p>
    <w:p w:rsidR="001A4D3C" w:rsidRPr="001A4D3C" w:rsidRDefault="001A4D3C" w:rsidP="001A4D3C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fortalecimento das organizações intermediárias que oferecem apoio ao desenvolvimento de negócios de impacto e capacitação aos empreendedores, que geram novos conhecimentos sobre o assunto ou que promovem o envolvimento dos negócios de impacto com os investidores, os doadores e as demais organizações detentoras de capital;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promoção de um ambiente institucional e normativo favorável aos investimentos e aos negócios de impacto, por meio da proposição de atos normativos referentes ao assunto; e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fortalecimento da geração de dados que proporcionem mais visibilidade aos investimentos e aos negócios de impacto. 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3" w:name="art4"/>
      <w:bookmarkEnd w:id="3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Art. 4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Fica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criado o Comitê de Investimentos e Negócios de Impacto. 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  O Comitê de Investimentos e Negócios de Impacto terá a duração de dez anos, contado da data de entrada em vigor deste Decreto.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4" w:name="art5"/>
      <w:bookmarkEnd w:id="4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5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Caberá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ao Comitê de Investimentos e Negócios de Impacto propor, monitorar, avaliar e articular a implementação da Estratégia Nacional de Investimentos e Negócios de Impacto. 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5" w:name="art6"/>
      <w:bookmarkEnd w:id="5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6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O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Comitê de Investimentos e Negócios de Impacto será composto pelos seguintes membros: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um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representante de cada um dos seguintes órgãos e entidades: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a) Ministério da Indústria, Comércio Exterior e Serviços, que o presidirá;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b) Casa Civil da Presidência da República;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c) Ministério das Relações Exteriores;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d) Ministério da Fazenda;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e) Ministério do Desenvolvimento Social;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f) Ministério do Planejamento, Desenvolvimento e Gestão;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g) Ministério da Ciência, Tecnologia, Inovações e Comunicações;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h) Escola Nacional de Administração Pública;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i) Comissão de Valores Mobiliários;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j) Financiadora de Estudos e Projetos;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k) Conselho Nacional de Desenvolvimento Científico e Tecnológico;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l) Banco Nacional do Desenvolvimento Econômico e Social;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m) Banco do Brasil; e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n) Caixa Econômica Federal;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 - 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um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representante da Agência Brasileira de Promoção das Exportações e Investimentos;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 - um representante do Serviço Brasileiro de Apoio às Micro e Pequenas Empresas; e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dez representantes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setor privado e de organizações da sociedade civil.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Os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representantes de que tratam os incisos I, II e III do </w:t>
      </w:r>
      <w:r w:rsidRPr="001A4D3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titulares e suplentes, serão indicados pelos órgãos e pelas entidades representados, no prazo de quinze dias, contado da data de entrada em vigor deste Decreto.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§ 2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Os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representantes de que trata o inciso IV do </w:t>
      </w:r>
      <w:r w:rsidRPr="001A4D3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titulares e suplentes, serão indicados pelo Ministério da Indústria, Comércio Exterior e Serviços para mandato de dois anos, admitida uma recondução.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Os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membros do Comitê de Investimentos e Negócios de Impacto serão designados em ato do Ministro de Estado da Indústria, Comércio Exterior e Serviços.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4</w:t>
      </w:r>
      <w:proofErr w:type="gramStart"/>
      <w:r w:rsidRPr="001A4D3C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O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Comitê de Investimentos e Negócios de Impacto poderá convidar representantes de outros órgãos e entidades públicas, do setor privado e de organizações da sociedade civil para participar das reuniões do Comitê, sem direito a voto.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6" w:name="art7"/>
      <w:bookmarkEnd w:id="6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7</w:t>
      </w:r>
      <w:proofErr w:type="gramStart"/>
      <w:r w:rsidRPr="001A4D3C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O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Comitê de Investimentos e Negócios de Impacto se reunirá, em caráter ordinário, trimestralmente, e, em caráter extraordinário, sempre que convocado por seu Presidente, por iniciativa própria ou por solicitação de seus membros.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7" w:name="art8"/>
      <w:bookmarkEnd w:id="7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8</w:t>
      </w:r>
      <w:proofErr w:type="gramStart"/>
      <w:r w:rsidRPr="001A4D3C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Comitê de Investimentos e Negócios de Impacto aprovará proposições por maioria simples, presente a maioria absoluta de seus membros, as quais serão consubstanciadas em ata.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8" w:name="art9"/>
      <w:bookmarkEnd w:id="8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9</w:t>
      </w:r>
      <w:proofErr w:type="gramStart"/>
      <w:r w:rsidRPr="001A4D3C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º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</w:t>
      </w:r>
      <w:proofErr w:type="gramEnd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Comitê de Investimentos e Negócios de Impacto poderá criar Grupos de Trabalho, por prazo determinado, destinados à análise de assuntos específicos.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  Os Grupos de Trabalho serão compostos por membros do Comitê.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9" w:name="art10"/>
      <w:bookmarkEnd w:id="9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10.  O Comitê de Investimentos e Negócios de Impacto encaminhará ao Ministro de Estado da Indústria, Comércio Exterior e Serviços, na última quinzena de dezembro de cada ano, relatório de monitoramento que conterá os resultados alcançados e as metas para o período subsequente.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0" w:name="art11"/>
      <w:bookmarkEnd w:id="10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11.  A participação no Comitê de Investimentos e Negócios de Impacto será considerada prestação de serviço público relevante, não remunerada.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1" w:name="art12"/>
      <w:bookmarkEnd w:id="11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12.  A Secretaria de Inovação e Novos Negócios do Ministério da Indústria, Comércio Exterior e Serviços atuará como Secretaria-Executiva do Comitê de Investimentos e Negócios de Impactos. </w:t>
      </w:r>
    </w:p>
    <w:p w:rsidR="001A4D3C" w:rsidRPr="001A4D3C" w:rsidRDefault="001A4D3C" w:rsidP="001A4D3C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2" w:name="art13"/>
      <w:bookmarkEnd w:id="12"/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13.  Este Decreto entra em vigor na data de sua publicação. </w:t>
      </w:r>
    </w:p>
    <w:p w:rsidR="001A4D3C" w:rsidRPr="001A4D3C" w:rsidRDefault="001A4D3C" w:rsidP="001A4D3C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Brasília, 19 de dezembro de 2017; 196</w:t>
      </w:r>
      <w:r w:rsidRPr="001A4D3C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da Independência e 129</w:t>
      </w:r>
      <w:r w:rsidRPr="001A4D3C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da República. </w:t>
      </w:r>
    </w:p>
    <w:p w:rsidR="001A4D3C" w:rsidRPr="001A4D3C" w:rsidRDefault="001A4D3C" w:rsidP="001A4D3C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MICHEL TEMER</w:t>
      </w:r>
      <w:r w:rsidRPr="001A4D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A4D3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Marcos Jorge Lima</w:t>
      </w:r>
    </w:p>
    <w:p w:rsidR="001A4D3C" w:rsidRPr="001A4D3C" w:rsidRDefault="001A4D3C" w:rsidP="001A4D3C">
      <w:pPr>
        <w:spacing w:before="100" w:beforeAutospacing="1" w:after="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A4D3C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no DOU de 20.12.2017</w:t>
      </w:r>
    </w:p>
    <w:p w:rsidR="00D267BA" w:rsidRDefault="00D267BA">
      <w:bookmarkStart w:id="13" w:name="_GoBack"/>
      <w:bookmarkEnd w:id="13"/>
    </w:p>
    <w:sectPr w:rsidR="00D26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C"/>
    <w:rsid w:val="001644AC"/>
    <w:rsid w:val="001A4D3C"/>
    <w:rsid w:val="002E37F6"/>
    <w:rsid w:val="00836C70"/>
    <w:rsid w:val="00A530BC"/>
    <w:rsid w:val="00D267BA"/>
    <w:rsid w:val="00E4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B0159-D55F-4084-A475-C4C76629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4D3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A4D3C"/>
    <w:rPr>
      <w:color w:val="0000FF"/>
      <w:u w:val="single"/>
    </w:rPr>
  </w:style>
  <w:style w:type="paragraph" w:customStyle="1" w:styleId="textbody">
    <w:name w:val="textbody"/>
    <w:basedOn w:val="Normal"/>
    <w:rsid w:val="001A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basedOn w:val="Normal"/>
    <w:rsid w:val="001A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rsid w:val="001A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rsid w:val="001A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7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cao.planalto.gov.br/legisla/legislacao.nsf/Viw_Identificacao/DEC%209.244-2017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ramalho</dc:creator>
  <cp:keywords/>
  <dc:description/>
  <cp:lastModifiedBy>lucas ramalho</cp:lastModifiedBy>
  <cp:revision>1</cp:revision>
  <dcterms:created xsi:type="dcterms:W3CDTF">2018-02-01T19:18:00Z</dcterms:created>
  <dcterms:modified xsi:type="dcterms:W3CDTF">2018-02-01T19:18:00Z</dcterms:modified>
</cp:coreProperties>
</file>