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3E8F" w14:textId="515A97CE" w:rsidR="00884E5F" w:rsidRPr="0016424D" w:rsidRDefault="00BF691D" w:rsidP="0016424D">
      <w:pPr>
        <w:spacing w:line="480" w:lineRule="exact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16424D">
        <w:rPr>
          <w:rFonts w:ascii="Times New Roman" w:hAnsi="Times New Roman"/>
          <w:b/>
          <w:kern w:val="2"/>
          <w:sz w:val="32"/>
          <w:szCs w:val="32"/>
          <w:lang w:eastAsia="zh-CN"/>
        </w:rPr>
        <w:t xml:space="preserve">MEMORANDO DE ENTENDIMENTO SOBRE O FORTALECIMENTO DA COOPERAÇÃO EM INVESTIMENTOS NA ECONOMIA DIGITAL ENTRE O MINISTÉRIO DO COMÉRCIO DA REPÚBLICA POPULAR DA CHINA E O MINISTÉRIO DO DESENVOLVIMENTO, INDÚSTRIA, </w:t>
      </w:r>
      <w:r w:rsidR="0016424D">
        <w:rPr>
          <w:rFonts w:ascii="Times New Roman" w:hAnsi="Times New Roman"/>
          <w:b/>
          <w:kern w:val="2"/>
          <w:sz w:val="32"/>
          <w:szCs w:val="32"/>
          <w:lang w:eastAsia="zh-CN"/>
        </w:rPr>
        <w:br/>
      </w:r>
      <w:r w:rsidRPr="0016424D">
        <w:rPr>
          <w:rFonts w:ascii="Times New Roman" w:hAnsi="Times New Roman"/>
          <w:b/>
          <w:kern w:val="2"/>
          <w:sz w:val="32"/>
          <w:szCs w:val="32"/>
          <w:lang w:eastAsia="zh-CN"/>
        </w:rPr>
        <w:t>COMÉRCIO E SERVIÇOS DA REPÚBLICA FEDERATIVA DO BRASIL</w:t>
      </w:r>
    </w:p>
    <w:p w14:paraId="5108ED55" w14:textId="77777777" w:rsidR="00884E5F" w:rsidRDefault="00884E5F">
      <w:pPr>
        <w:spacing w:line="360" w:lineRule="auto"/>
        <w:rPr>
          <w:rFonts w:ascii="Times New Roman" w:eastAsia="FangSong" w:hAnsi="Times New Roman"/>
          <w:kern w:val="2"/>
          <w:sz w:val="24"/>
          <w:szCs w:val="24"/>
          <w:lang w:eastAsia="zh-CN"/>
        </w:rPr>
      </w:pPr>
    </w:p>
    <w:p w14:paraId="5E85B99B" w14:textId="5DDA9D5D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O Ministério do Comércio da República Popular da China e o Ministério do Desenvolvimento, Indústria, Comércio e Serviços da República Federativa do Brasil (referidos a seguir como as Partes), </w:t>
      </w:r>
    </w:p>
    <w:p w14:paraId="4B2E6672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-- Ressaltando que a economia digital se torna, cada dia mais, um importante promotor do crescimento econômico mundial e que há grande potencial para a cooperação bilateral no campo da economia digital, </w:t>
      </w:r>
    </w:p>
    <w:p w14:paraId="4E1CF5E9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>-- Com vistas a expandir o espaço para a cooperação em investimentos na economia digital e atribuir mais ênfase à economia digital,</w:t>
      </w:r>
    </w:p>
    <w:p w14:paraId="4812C4F5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-- Tendo por base a boa vontade e as necessidades dos setores privados dos dois países e os fundamentos para o fortalecimento da cooperação em economia digital, </w:t>
      </w:r>
    </w:p>
    <w:p w14:paraId="131AD8A1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  <w:sectPr w:rsidR="00884E5F" w:rsidRPr="0016424D">
          <w:headerReference w:type="default" r:id="rId7"/>
          <w:footerReference w:type="default" r:id="rId8"/>
          <w:type w:val="continuous"/>
          <w:pgSz w:w="11850" w:h="16840"/>
          <w:pgMar w:top="2000" w:right="2080" w:bottom="1440" w:left="1780" w:header="720" w:footer="720" w:gutter="0"/>
          <w:cols w:space="720"/>
        </w:sect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>Por este instrumento, acordam os seguintes termos:</w:t>
      </w:r>
    </w:p>
    <w:p w14:paraId="66F1C59A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  <w:sectPr w:rsidR="00884E5F" w:rsidRPr="0016424D">
          <w:type w:val="continuous"/>
          <w:pgSz w:w="11850" w:h="16840"/>
          <w:pgMar w:top="2000" w:right="2080" w:bottom="1440" w:left="1780" w:header="720" w:footer="720" w:gutter="0"/>
          <w:cols w:space="720"/>
        </w:sectPr>
      </w:pPr>
      <w:r w:rsidRPr="0016424D"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  <w:t>Artigo 1</w:t>
      </w:r>
    </w:p>
    <w:p w14:paraId="64368959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Ao reconhecer que os dois países se assemelham e se complementam no campo da economia digital, os Participantes, por meio de franca cooperação </w:t>
      </w: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lastRenderedPageBreak/>
        <w:t xml:space="preserve">e desenvolvimento inovador, de forma a produzir resultados mutuamente benéficos, continuarão a aprimorar mecanismos de comunicação e discutir formas de tirar proveito, conjuntamente, de oportunidades de acelerar a inovação digital de todos os setores. As Partes identificarão prioridades de cooperação em economia digital para impulsionar o desenvolvimento, em alto padrão, da cooperação bilateral em investimentos e compartilhamento/intercâmbio de conhecimento. </w:t>
      </w:r>
    </w:p>
    <w:p w14:paraId="1B400476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  <w:t>Artigo 2</w:t>
      </w:r>
    </w:p>
    <w:p w14:paraId="01F7D047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>As Partes fortalecerão sua cooperação na construção de infraestrutura econômica digital. Estimularão a iniciativa privada a participar ativamente da digitalização, da criação de redes e do aprimoramento inteligente da infraestrutura tradicional, além da construção e do desenvolvimento de infraestruturas de redes de comunicação, a exemplo de: (i) redes de banda larga, da Internet e de navegação de satélites; (</w:t>
      </w:r>
      <w:proofErr w:type="spellStart"/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>ii</w:t>
      </w:r>
      <w:proofErr w:type="spellEnd"/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>) infraestrutura computacional – como centros de processamento de dados e computação em nuvem; (</w:t>
      </w:r>
      <w:proofErr w:type="spellStart"/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>iii</w:t>
      </w:r>
      <w:proofErr w:type="spellEnd"/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) infraestrutura inteligente – abrangendo inteligência artificial, redes 5G, inclusive no tocante a redes privadas para indústria 4.0 e cidades inteligentes. </w:t>
      </w:r>
    </w:p>
    <w:p w14:paraId="1AFDEA1E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  <w:t>Artigo 3</w:t>
      </w:r>
    </w:p>
    <w:p w14:paraId="1A0B4ED4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As Partes fortalecerão a cooperação em novos formatos e modelos de negócios. Encorajarão seus setores privados a integrar tecnologias interativas inteligentes, tais como 5G, Internet das Coisas, Inteligência Artificial e </w:t>
      </w:r>
      <w:r w:rsidRPr="0016424D">
        <w:rPr>
          <w:rFonts w:ascii="Times New Roman" w:eastAsia="FangSong" w:hAnsi="Times New Roman"/>
          <w:i/>
          <w:kern w:val="2"/>
          <w:sz w:val="26"/>
          <w:szCs w:val="26"/>
          <w:lang w:eastAsia="zh-CN"/>
        </w:rPr>
        <w:t>Big Data</w:t>
      </w: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, a atividades como manufatura avançada, circulação de mercadorias, transportes, negócios, finanças, educação e saúde, entre outras, de forma a desenvolver vigorosamente novos formatos e modelos de negócios, com vistas a injetar novo ímpeto na cooperação bilateral em matéria de economia digital. </w:t>
      </w:r>
    </w:p>
    <w:p w14:paraId="3EDBE1E6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  <w:lastRenderedPageBreak/>
        <w:t>Artigo 4</w:t>
      </w:r>
    </w:p>
    <w:p w14:paraId="147607F4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As Partes levarão a cabo intercâmbio para construir sinergias entre suas estratégias políticas, regulatórias e de regras e padrões para a economia digital, e fortalecerão a cooperação em pagamentos financeiros, logística e armazenagem inteligentes, </w:t>
      </w:r>
      <w:r w:rsidRPr="0016424D">
        <w:rPr>
          <w:rFonts w:ascii="Times New Roman" w:eastAsia="FangSong" w:hAnsi="Times New Roman"/>
          <w:i/>
          <w:kern w:val="2"/>
          <w:sz w:val="26"/>
          <w:szCs w:val="26"/>
          <w:lang w:eastAsia="zh-CN"/>
        </w:rPr>
        <w:t>online and offline display</w:t>
      </w: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, Internet das Coisas, 5G, e outras áreas, com vistas a promover conjuntamente o desenvolvimento da economia digital. </w:t>
      </w:r>
    </w:p>
    <w:p w14:paraId="0F1BD57D" w14:textId="595CBEA3" w:rsidR="00884E5F" w:rsidRPr="0016424D" w:rsidRDefault="00BF691D" w:rsidP="0016424D">
      <w:pPr>
        <w:widowControl/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  <w:t>Artigo 5</w:t>
      </w:r>
    </w:p>
    <w:p w14:paraId="39D9D894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As Partes fortalecerão a cooperação em treinamento e capacitação relativa a habilidades digitais, bem como em inovação digital. Estimularão órgãos de governo, universidades, institutos de pesquisa e empresas a realizar programas para popularizar e aprimorar habilidades digitais. Apoiarão empresas de ambos os lados a se integrarem ativamente ao sistema global para desenvolverem tecnologia digital avançada por vários meios, tais como o estabelecimento de laboratórios, a construção conjunta de plataformas de incubação e o estabelecimento de alianças estratégicas para a pesquisa e o desenvolvimento. </w:t>
      </w:r>
    </w:p>
    <w:p w14:paraId="75567A22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  <w:t>Artigo 6</w:t>
      </w:r>
    </w:p>
    <w:p w14:paraId="1198586D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As Partes concordam em atribuir plena liberdade de ação e papel de liderança ao Grupo de Trabalho de Cooperação em Investimento, sob a Subcomissão Conjunta de Cooperação Econômica e Comercial, para facilitar intercâmbios entre governos, empresas, institutos de pesquisa e associações comerciais. Por meio desses esforços, as Partes visam a aproveitar o potencial de cooperação, compartilhar boas práticas e continuar a aprofundar a cooperação em economia digital. </w:t>
      </w:r>
    </w:p>
    <w:p w14:paraId="1C84FAA2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  <w:t>Artigo 7</w:t>
      </w:r>
    </w:p>
    <w:p w14:paraId="348FD2B2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lastRenderedPageBreak/>
        <w:t xml:space="preserve">Toda controvérsia sobre a interpretação ou implementação deste Memorando será solucionada por meio de consultas entre as Partes, que trabalharão, de boa-fé, para resolver diferenças por consenso. </w:t>
      </w:r>
    </w:p>
    <w:p w14:paraId="0C92D933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b/>
          <w:bCs/>
          <w:kern w:val="2"/>
          <w:sz w:val="26"/>
          <w:szCs w:val="26"/>
          <w:lang w:eastAsia="zh-CN"/>
        </w:rPr>
        <w:t>Artigo 8</w:t>
      </w:r>
    </w:p>
    <w:p w14:paraId="78A32788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Este Memorando de Entendimento permanecerá em vigência por três (3) anos. </w:t>
      </w:r>
    </w:p>
    <w:p w14:paraId="26307A7A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Qualquer das Partes poderá denunciar este Memorando fornecendo notificação escrita à outra Parte com três (3) meses de antecedência. A denúncia deste instrumento não afetará a conclusão de atividades de cooperação que forem formalizadas enquanto estiver em vigor. </w:t>
      </w:r>
    </w:p>
    <w:p w14:paraId="2CD76DB8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Este Memorando pode ser objeto de emendas por acordo entre as Partes, formalizadas pelo intercâmbio de comunicação escrita, especificada a data de entrada em vigor da emenda.  </w:t>
      </w:r>
    </w:p>
    <w:p w14:paraId="5F98E5B0" w14:textId="77777777" w:rsidR="00884E5F" w:rsidRPr="0016424D" w:rsidRDefault="00BF691D" w:rsidP="0016424D">
      <w:pPr>
        <w:spacing w:line="360" w:lineRule="auto"/>
        <w:rPr>
          <w:rFonts w:ascii="Times New Roman" w:eastAsia="FangSong" w:hAnsi="Times New Roman"/>
          <w:kern w:val="2"/>
          <w:sz w:val="26"/>
          <w:szCs w:val="26"/>
          <w:lang w:eastAsia="zh-CN"/>
        </w:rPr>
      </w:pPr>
      <w:r w:rsidRPr="0016424D">
        <w:rPr>
          <w:rFonts w:ascii="Times New Roman" w:eastAsia="FangSong" w:hAnsi="Times New Roman"/>
          <w:kern w:val="2"/>
          <w:sz w:val="26"/>
          <w:szCs w:val="26"/>
          <w:lang w:eastAsia="zh-CN"/>
        </w:rPr>
        <w:t xml:space="preserve">Este Memorando é uma declaração de intenções das Partes e não pretende estabelecer direitos e obrigações sob o Direito Internacional. Sua implementação por cada Partes deve ser consistente com seu Direito interno.  </w:t>
      </w:r>
    </w:p>
    <w:p w14:paraId="07B07379" w14:textId="39D78DE2" w:rsidR="00884E5F" w:rsidRPr="0016424D" w:rsidRDefault="00BF691D" w:rsidP="0016424D">
      <w:pPr>
        <w:spacing w:line="360" w:lineRule="auto"/>
        <w:rPr>
          <w:rFonts w:ascii="Times New Roman" w:hAnsi="Times New Roman"/>
          <w:sz w:val="26"/>
          <w:szCs w:val="26"/>
        </w:rPr>
      </w:pPr>
      <w:r w:rsidRPr="0016424D">
        <w:rPr>
          <w:rFonts w:ascii="Times New Roman" w:hAnsi="Times New Roman"/>
          <w:sz w:val="26"/>
          <w:szCs w:val="26"/>
        </w:rPr>
        <w:t xml:space="preserve">Assinado em </w:t>
      </w:r>
      <w:r w:rsidRPr="0016424D">
        <w:rPr>
          <w:rFonts w:ascii="Times New Roman" w:hAnsi="Times New Roman" w:hint="eastAsia"/>
          <w:sz w:val="26"/>
          <w:szCs w:val="26"/>
        </w:rPr>
        <w:t>Beijing</w:t>
      </w:r>
      <w:r w:rsidRPr="0016424D">
        <w:rPr>
          <w:rFonts w:ascii="Times New Roman" w:hAnsi="Times New Roman"/>
          <w:sz w:val="26"/>
          <w:szCs w:val="26"/>
        </w:rPr>
        <w:t xml:space="preserve"> em </w:t>
      </w:r>
      <w:r w:rsidR="002B2E58" w:rsidRPr="0016424D">
        <w:rPr>
          <w:rFonts w:ascii="Times New Roman" w:hAnsi="Times New Roman"/>
          <w:sz w:val="26"/>
          <w:szCs w:val="26"/>
        </w:rPr>
        <w:t xml:space="preserve">    </w:t>
      </w:r>
      <w:r w:rsidRPr="0016424D">
        <w:rPr>
          <w:rFonts w:ascii="Times New Roman" w:hAnsi="Times New Roman"/>
          <w:sz w:val="26"/>
          <w:szCs w:val="26"/>
        </w:rPr>
        <w:t xml:space="preserve"> </w:t>
      </w:r>
      <w:r w:rsidRPr="0016424D">
        <w:rPr>
          <w:rFonts w:ascii="Times New Roman" w:hAnsi="Times New Roman"/>
          <w:sz w:val="26"/>
          <w:szCs w:val="26"/>
          <w:lang w:eastAsia="zh-CN"/>
        </w:rPr>
        <w:t xml:space="preserve">de </w:t>
      </w:r>
      <w:r w:rsidR="00873642" w:rsidRPr="0016424D">
        <w:rPr>
          <w:rFonts w:ascii="Times New Roman" w:hAnsi="Times New Roman"/>
          <w:sz w:val="26"/>
          <w:szCs w:val="26"/>
          <w:lang w:eastAsia="zh-CN"/>
        </w:rPr>
        <w:t>abril</w:t>
      </w:r>
      <w:r w:rsidRPr="0016424D">
        <w:rPr>
          <w:rFonts w:ascii="Times New Roman" w:hAnsi="Times New Roman"/>
          <w:sz w:val="26"/>
          <w:szCs w:val="26"/>
        </w:rPr>
        <w:t>, 2023, em duplicata, com versões igualmente válidas nos idiomas chinês, português e inglês. Em caso de divergência de interpretação, o texto em inglês deve prevalecer.</w:t>
      </w:r>
    </w:p>
    <w:p w14:paraId="174A96F7" w14:textId="77777777" w:rsidR="00884E5F" w:rsidRDefault="00884E5F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38E4970" w14:textId="77777777" w:rsidR="00884E5F" w:rsidRDefault="00884E5F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372" w:tblpY="90"/>
        <w:tblOverlap w:val="never"/>
        <w:tblW w:w="9558" w:type="dxa"/>
        <w:tblLook w:val="04A0" w:firstRow="1" w:lastRow="0" w:firstColumn="1" w:lastColumn="0" w:noHBand="0" w:noVBand="1"/>
      </w:tblPr>
      <w:tblGrid>
        <w:gridCol w:w="4037"/>
        <w:gridCol w:w="540"/>
        <w:gridCol w:w="4981"/>
      </w:tblGrid>
      <w:tr w:rsidR="00884E5F" w14:paraId="394C692F" w14:textId="77777777" w:rsidTr="004A49D7">
        <w:trPr>
          <w:cantSplit/>
          <w:trHeight w:val="2454"/>
        </w:trPr>
        <w:tc>
          <w:tcPr>
            <w:tcW w:w="4037" w:type="dxa"/>
          </w:tcPr>
          <w:p w14:paraId="24A42102" w14:textId="77777777" w:rsidR="00884E5F" w:rsidRDefault="00BF691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Pelo Ministério do Comércio da República Popular da China </w:t>
            </w:r>
          </w:p>
          <w:p w14:paraId="72B14461" w14:textId="77777777" w:rsidR="00884E5F" w:rsidRDefault="00884E5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993799" w14:textId="77777777" w:rsidR="00884E5F" w:rsidRDefault="00884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6B3E3" w14:textId="77777777" w:rsidR="00884E5F" w:rsidRDefault="00884E5F">
            <w:pPr>
              <w:spacing w:beforeLines="32" w:before="76" w:after="37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40" w:type="dxa"/>
          </w:tcPr>
          <w:p w14:paraId="605FD3FE" w14:textId="77777777" w:rsidR="00884E5F" w:rsidRDefault="00884E5F">
            <w:pPr>
              <w:spacing w:line="240" w:lineRule="auto"/>
              <w:ind w:firstLine="4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1" w:type="dxa"/>
          </w:tcPr>
          <w:p w14:paraId="6712A05F" w14:textId="77777777" w:rsidR="00884E5F" w:rsidRDefault="00BF69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Pelo Ministério do Desenvolvimento, Indústria, Comércio e Serviços da </w:t>
            </w:r>
          </w:p>
          <w:p w14:paraId="509F4749" w14:textId="77777777" w:rsidR="00884E5F" w:rsidRDefault="00BF69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República Federativa do Brasil</w:t>
            </w:r>
          </w:p>
          <w:p w14:paraId="097E8F25" w14:textId="77777777" w:rsidR="00884E5F" w:rsidRDefault="00884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4626D4" w14:textId="77777777" w:rsidR="00884E5F" w:rsidRDefault="00884E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14:paraId="436C0591" w14:textId="77777777" w:rsidR="00884E5F" w:rsidRDefault="00884E5F">
      <w:pPr>
        <w:spacing w:line="360" w:lineRule="auto"/>
        <w:rPr>
          <w:rFonts w:ascii="Times New Roman" w:eastAsia="FangSong" w:hAnsi="Times New Roman"/>
          <w:kern w:val="2"/>
          <w:sz w:val="24"/>
          <w:szCs w:val="24"/>
          <w:lang w:eastAsia="zh-CN"/>
        </w:rPr>
      </w:pPr>
    </w:p>
    <w:sectPr w:rsidR="00884E5F">
      <w:type w:val="continuous"/>
      <w:pgSz w:w="11850" w:h="16840"/>
      <w:pgMar w:top="2000" w:right="2080" w:bottom="1440" w:left="1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34A30" w14:textId="77777777" w:rsidR="008C2593" w:rsidRDefault="008C2593">
      <w:pPr>
        <w:spacing w:line="240" w:lineRule="auto"/>
      </w:pPr>
      <w:r>
        <w:separator/>
      </w:r>
    </w:p>
  </w:endnote>
  <w:endnote w:type="continuationSeparator" w:id="0">
    <w:p w14:paraId="012A8FA0" w14:textId="77777777" w:rsidR="008C2593" w:rsidRDefault="008C2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9FBB" w14:textId="77777777" w:rsidR="00884E5F" w:rsidRDefault="00BF691D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8DF248" wp14:editId="19947D1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8E9E89" w14:textId="77777777" w:rsidR="00884E5F" w:rsidRDefault="00BF691D">
                          <w:pPr>
                            <w:pStyle w:val="Rodap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DF24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08E9E89" w14:textId="77777777" w:rsidR="00884E5F" w:rsidRDefault="00BF691D">
                    <w:pPr>
                      <w:pStyle w:val="Rodap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FBFF" w14:textId="77777777" w:rsidR="008C2593" w:rsidRDefault="008C2593">
      <w:pPr>
        <w:spacing w:line="240" w:lineRule="auto"/>
      </w:pPr>
      <w:r>
        <w:separator/>
      </w:r>
    </w:p>
  </w:footnote>
  <w:footnote w:type="continuationSeparator" w:id="0">
    <w:p w14:paraId="03DBB154" w14:textId="77777777" w:rsidR="008C2593" w:rsidRDefault="008C2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49CC" w14:textId="652711D6" w:rsidR="0016424D" w:rsidRDefault="0016424D" w:rsidP="0016424D">
    <w:pPr>
      <w:pStyle w:val="Cabealho"/>
      <w:jc w:val="center"/>
    </w:pPr>
    <w:r>
      <w:rPr>
        <w:noProof/>
      </w:rPr>
      <w:drawing>
        <wp:inline distT="0" distB="0" distL="0" distR="0" wp14:anchorId="26E41B81" wp14:editId="62F69345">
          <wp:extent cx="2388364" cy="1343342"/>
          <wp:effectExtent l="0" t="0" r="0" b="0"/>
          <wp:docPr id="2" name="Imagem 2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6993" cy="134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0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xYTc2MWQzNTRjY2EzNjE0YmRiNWEwYTgyYzQxMDEifQ=="/>
  </w:docVars>
  <w:rsids>
    <w:rsidRoot w:val="00F73991"/>
    <w:rsid w:val="8E68DC52"/>
    <w:rsid w:val="9F3D6943"/>
    <w:rsid w:val="AC95304D"/>
    <w:rsid w:val="BA6A266D"/>
    <w:rsid w:val="BCCE8747"/>
    <w:rsid w:val="BF4E1532"/>
    <w:rsid w:val="BF662704"/>
    <w:rsid w:val="CDDF9DD3"/>
    <w:rsid w:val="DB793363"/>
    <w:rsid w:val="DFABB209"/>
    <w:rsid w:val="DFDFE51D"/>
    <w:rsid w:val="DFED4C58"/>
    <w:rsid w:val="DFFF629D"/>
    <w:rsid w:val="E335CAAD"/>
    <w:rsid w:val="EB692313"/>
    <w:rsid w:val="EE4F0EE7"/>
    <w:rsid w:val="EFD3E768"/>
    <w:rsid w:val="EFF29CC0"/>
    <w:rsid w:val="EFFFFD71"/>
    <w:rsid w:val="F5994464"/>
    <w:rsid w:val="F6FF8D1C"/>
    <w:rsid w:val="F735176E"/>
    <w:rsid w:val="F7EF9585"/>
    <w:rsid w:val="FAF6BC9E"/>
    <w:rsid w:val="FBDFCAC0"/>
    <w:rsid w:val="FC2BB1E7"/>
    <w:rsid w:val="FEAB6F65"/>
    <w:rsid w:val="FEBFE783"/>
    <w:rsid w:val="FFFB9EBE"/>
    <w:rsid w:val="FFFC57E9"/>
    <w:rsid w:val="0001731E"/>
    <w:rsid w:val="00043AC7"/>
    <w:rsid w:val="000673EC"/>
    <w:rsid w:val="0008143D"/>
    <w:rsid w:val="000864B8"/>
    <w:rsid w:val="001042A7"/>
    <w:rsid w:val="00106B34"/>
    <w:rsid w:val="00147A18"/>
    <w:rsid w:val="0016424D"/>
    <w:rsid w:val="001B476E"/>
    <w:rsid w:val="001E0EE2"/>
    <w:rsid w:val="001F6241"/>
    <w:rsid w:val="0022367F"/>
    <w:rsid w:val="00255366"/>
    <w:rsid w:val="00291B23"/>
    <w:rsid w:val="002B2E58"/>
    <w:rsid w:val="00336EBA"/>
    <w:rsid w:val="00344A8E"/>
    <w:rsid w:val="0039438B"/>
    <w:rsid w:val="003F25EF"/>
    <w:rsid w:val="00424576"/>
    <w:rsid w:val="004A49D7"/>
    <w:rsid w:val="004B6140"/>
    <w:rsid w:val="004C22EF"/>
    <w:rsid w:val="004E51F5"/>
    <w:rsid w:val="004F0BEA"/>
    <w:rsid w:val="004F476A"/>
    <w:rsid w:val="005132E7"/>
    <w:rsid w:val="00566DF2"/>
    <w:rsid w:val="00567E5A"/>
    <w:rsid w:val="00570CAD"/>
    <w:rsid w:val="00583864"/>
    <w:rsid w:val="00591E41"/>
    <w:rsid w:val="0059417D"/>
    <w:rsid w:val="005A0D89"/>
    <w:rsid w:val="005B6283"/>
    <w:rsid w:val="00606E1D"/>
    <w:rsid w:val="0061068D"/>
    <w:rsid w:val="006B115D"/>
    <w:rsid w:val="006E32C9"/>
    <w:rsid w:val="007117D2"/>
    <w:rsid w:val="00780D11"/>
    <w:rsid w:val="00795662"/>
    <w:rsid w:val="00845589"/>
    <w:rsid w:val="00852CA2"/>
    <w:rsid w:val="00855770"/>
    <w:rsid w:val="00873642"/>
    <w:rsid w:val="00884ACD"/>
    <w:rsid w:val="00884E5F"/>
    <w:rsid w:val="008B1B48"/>
    <w:rsid w:val="008C01A7"/>
    <w:rsid w:val="008C2593"/>
    <w:rsid w:val="008F2A20"/>
    <w:rsid w:val="00961DF5"/>
    <w:rsid w:val="00963801"/>
    <w:rsid w:val="009B287E"/>
    <w:rsid w:val="009B384D"/>
    <w:rsid w:val="009C10B5"/>
    <w:rsid w:val="009C3A48"/>
    <w:rsid w:val="009F4ECD"/>
    <w:rsid w:val="00A65C0F"/>
    <w:rsid w:val="00A93F90"/>
    <w:rsid w:val="00A9684E"/>
    <w:rsid w:val="00AB5B37"/>
    <w:rsid w:val="00AC0267"/>
    <w:rsid w:val="00AF1CA9"/>
    <w:rsid w:val="00B00455"/>
    <w:rsid w:val="00B25006"/>
    <w:rsid w:val="00B54E02"/>
    <w:rsid w:val="00BB1401"/>
    <w:rsid w:val="00BF691D"/>
    <w:rsid w:val="00C06959"/>
    <w:rsid w:val="00C26EEF"/>
    <w:rsid w:val="00C4184F"/>
    <w:rsid w:val="00C61BD0"/>
    <w:rsid w:val="00C74160"/>
    <w:rsid w:val="00CE37A6"/>
    <w:rsid w:val="00D15F1D"/>
    <w:rsid w:val="00D430C3"/>
    <w:rsid w:val="00D61293"/>
    <w:rsid w:val="00D72D98"/>
    <w:rsid w:val="00D905FB"/>
    <w:rsid w:val="00DC22A3"/>
    <w:rsid w:val="00DC29B2"/>
    <w:rsid w:val="00DE6FBB"/>
    <w:rsid w:val="00E055EE"/>
    <w:rsid w:val="00E73D03"/>
    <w:rsid w:val="00EB0A81"/>
    <w:rsid w:val="00EE64A8"/>
    <w:rsid w:val="00EF1D30"/>
    <w:rsid w:val="00EF7EE1"/>
    <w:rsid w:val="00F73991"/>
    <w:rsid w:val="00F86C88"/>
    <w:rsid w:val="00FB714E"/>
    <w:rsid w:val="00FD7FA6"/>
    <w:rsid w:val="00FE0504"/>
    <w:rsid w:val="02E16CA8"/>
    <w:rsid w:val="03AD764F"/>
    <w:rsid w:val="042E69E2"/>
    <w:rsid w:val="16690F92"/>
    <w:rsid w:val="17D17B97"/>
    <w:rsid w:val="1B5645B2"/>
    <w:rsid w:val="1C316C17"/>
    <w:rsid w:val="1E279937"/>
    <w:rsid w:val="20250841"/>
    <w:rsid w:val="23CC08DD"/>
    <w:rsid w:val="35ADA12F"/>
    <w:rsid w:val="35D6D002"/>
    <w:rsid w:val="37CD3840"/>
    <w:rsid w:val="38BB63DA"/>
    <w:rsid w:val="395E3882"/>
    <w:rsid w:val="3BA743A8"/>
    <w:rsid w:val="425F3C2F"/>
    <w:rsid w:val="51AB5F39"/>
    <w:rsid w:val="53665DA1"/>
    <w:rsid w:val="58EFB4CD"/>
    <w:rsid w:val="5E420235"/>
    <w:rsid w:val="5FC955FD"/>
    <w:rsid w:val="6589499B"/>
    <w:rsid w:val="677FFB4B"/>
    <w:rsid w:val="69AB25AB"/>
    <w:rsid w:val="6AD76DE0"/>
    <w:rsid w:val="6B6D089C"/>
    <w:rsid w:val="6BEEC5AA"/>
    <w:rsid w:val="6CBA7B30"/>
    <w:rsid w:val="6D7F3EDD"/>
    <w:rsid w:val="6FFFCBFC"/>
    <w:rsid w:val="75351613"/>
    <w:rsid w:val="75578920"/>
    <w:rsid w:val="77BEB644"/>
    <w:rsid w:val="77F7CDDF"/>
    <w:rsid w:val="7BF738C6"/>
    <w:rsid w:val="7C7F2132"/>
    <w:rsid w:val="7D1961AD"/>
    <w:rsid w:val="7DFFDC30"/>
    <w:rsid w:val="7E3A79D9"/>
    <w:rsid w:val="7ECF32DE"/>
    <w:rsid w:val="7F55F5E3"/>
    <w:rsid w:val="7F5F7EE1"/>
    <w:rsid w:val="7FD4460D"/>
    <w:rsid w:val="7FFC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0743"/>
  <w15:docId w15:val="{EFEE4B7A-CCA1-4417-80BA-021F32D0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sz w:val="21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qFormat/>
    <w:pPr>
      <w:jc w:val="left"/>
    </w:pPr>
  </w:style>
  <w:style w:type="paragraph" w:styleId="Textodebalo">
    <w:name w:val="Balloon Text"/>
    <w:basedOn w:val="Normal"/>
    <w:link w:val="TextodebaloChar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Cabealho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pPr>
      <w:spacing w:line="240" w:lineRule="auto"/>
      <w:jc w:val="both"/>
    </w:pPr>
    <w:rPr>
      <w:b/>
      <w:bCs/>
      <w:sz w:val="20"/>
      <w:szCs w:val="20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paragraph" w:customStyle="1" w:styleId="Reviso1">
    <w:name w:val="Revisão1"/>
    <w:hidden/>
    <w:uiPriority w:val="99"/>
    <w:semiHidden/>
    <w:qFormat/>
    <w:pPr>
      <w:spacing w:after="0" w:line="240" w:lineRule="auto"/>
    </w:pPr>
    <w:rPr>
      <w:rFonts w:ascii="Calibri" w:hAnsi="Calibri"/>
      <w:sz w:val="21"/>
      <w:szCs w:val="22"/>
    </w:rPr>
  </w:style>
  <w:style w:type="character" w:customStyle="1" w:styleId="TextodecomentrioChar">
    <w:name w:val="Texto de comentário Char"/>
    <w:basedOn w:val="Fontepargpadro"/>
    <w:link w:val="Textodecomentrio"/>
    <w:qFormat/>
    <w:rPr>
      <w:rFonts w:ascii="Calibri" w:hAnsi="Calibri"/>
      <w:sz w:val="21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rFonts w:ascii="Calibri" w:hAnsi="Calibri"/>
      <w:b/>
      <w:bCs/>
      <w:sz w:val="21"/>
      <w:szCs w:val="22"/>
    </w:rPr>
  </w:style>
  <w:style w:type="character" w:customStyle="1" w:styleId="TextodebaloChar">
    <w:name w:val="Texto de balão Char"/>
    <w:basedOn w:val="Fontepargpadro"/>
    <w:link w:val="Textodebalo"/>
    <w:qFormat/>
    <w:rPr>
      <w:rFonts w:ascii="Segoe UI" w:hAnsi="Segoe UI" w:cs="Segoe UI"/>
      <w:sz w:val="18"/>
      <w:szCs w:val="18"/>
    </w:rPr>
  </w:style>
  <w:style w:type="paragraph" w:customStyle="1" w:styleId="Reviso2">
    <w:name w:val="Revisão2"/>
    <w:hidden/>
    <w:uiPriority w:val="99"/>
    <w:semiHidden/>
    <w:qFormat/>
    <w:pPr>
      <w:spacing w:after="0" w:line="240" w:lineRule="auto"/>
    </w:pPr>
    <w:rPr>
      <w:rFonts w:ascii="Calibri" w:hAnsi="Calibr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883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Adriana Maria de Sousa Nogueira</cp:lastModifiedBy>
  <cp:revision>2</cp:revision>
  <cp:lastPrinted>2023-03-24T20:31:00Z</cp:lastPrinted>
  <dcterms:created xsi:type="dcterms:W3CDTF">2023-04-14T14:53:00Z</dcterms:created>
  <dcterms:modified xsi:type="dcterms:W3CDTF">2023-04-14T14:53:00Z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FBC5745E847C4A36A0012B774A561EB2_13</vt:lpwstr>
  </property>
</Properties>
</file>