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EA8" w:rsidRPr="00260DAF" w:rsidRDefault="00D35EA8" w:rsidP="00D35EA8">
      <w:pPr>
        <w:pStyle w:val="Ttulo"/>
        <w:rPr>
          <w:rFonts w:ascii="Times New Roman" w:hAnsi="Times New Roman"/>
          <w:b w:val="0"/>
          <w:szCs w:val="24"/>
        </w:rPr>
      </w:pPr>
      <w:r w:rsidRPr="00260DAF">
        <w:rPr>
          <w:rFonts w:ascii="Times New Roman" w:hAnsi="Times New Roman"/>
          <w:szCs w:val="24"/>
        </w:rPr>
        <w:t xml:space="preserve">Press Release </w:t>
      </w:r>
      <w:r w:rsidR="0008663E" w:rsidRPr="00C7382F">
        <w:rPr>
          <w:rFonts w:ascii="Times New Roman" w:hAnsi="Times New Roman"/>
          <w:szCs w:val="24"/>
        </w:rPr>
        <w:t>–</w:t>
      </w:r>
      <w:r w:rsidR="00393270" w:rsidRPr="00C7382F">
        <w:rPr>
          <w:rFonts w:ascii="Times New Roman" w:hAnsi="Times New Roman"/>
          <w:szCs w:val="24"/>
        </w:rPr>
        <w:t xml:space="preserve"> </w:t>
      </w:r>
      <w:r w:rsidR="00C7382F" w:rsidRPr="00C7382F">
        <w:rPr>
          <w:rFonts w:ascii="Times New Roman" w:hAnsi="Times New Roman"/>
          <w:b w:val="0"/>
          <w:szCs w:val="24"/>
        </w:rPr>
        <w:t>Laminados de alumínio</w:t>
      </w:r>
      <w:r w:rsidR="006108DC" w:rsidRPr="00C7382F">
        <w:rPr>
          <w:rFonts w:ascii="Times New Roman" w:hAnsi="Times New Roman"/>
          <w:b w:val="0"/>
          <w:szCs w:val="24"/>
        </w:rPr>
        <w:t>.</w:t>
      </w:r>
    </w:p>
    <w:p w:rsidR="00D30D6F" w:rsidRPr="00260DAF" w:rsidRDefault="00D30D6F" w:rsidP="00D35EA8">
      <w:pPr>
        <w:pStyle w:val="Ttulo"/>
        <w:rPr>
          <w:rFonts w:ascii="Times New Roman" w:hAnsi="Times New Roman"/>
          <w:color w:val="000000"/>
          <w:szCs w:val="24"/>
        </w:rPr>
      </w:pPr>
    </w:p>
    <w:p w:rsidR="00D35EA8" w:rsidRPr="00260DAF" w:rsidRDefault="00D35EA8" w:rsidP="00D35EA8">
      <w:pPr>
        <w:pStyle w:val="Ttulo"/>
        <w:rPr>
          <w:rFonts w:ascii="Times New Roman" w:hAnsi="Times New Roman"/>
          <w:szCs w:val="24"/>
          <w:highlight w:val="yellow"/>
        </w:rPr>
      </w:pPr>
    </w:p>
    <w:p w:rsidR="00D35EA8" w:rsidRPr="00260DAF" w:rsidRDefault="004525E6" w:rsidP="009907C2">
      <w:pPr>
        <w:autoSpaceDE w:val="0"/>
        <w:autoSpaceDN w:val="0"/>
        <w:adjustRightInd w:val="0"/>
        <w:spacing w:after="0" w:line="24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</w:rPr>
      </w:pPr>
      <w:r w:rsidRPr="00260DAF">
        <w:rPr>
          <w:rFonts w:ascii="Times New Roman" w:hAnsi="Times New Roman" w:cs="Times New Roman"/>
          <w:iCs/>
          <w:sz w:val="24"/>
          <w:szCs w:val="24"/>
        </w:rPr>
        <w:t xml:space="preserve">No dia </w:t>
      </w:r>
      <w:r w:rsidR="00C7382F">
        <w:rPr>
          <w:rFonts w:ascii="Times New Roman" w:hAnsi="Times New Roman" w:cs="Times New Roman"/>
          <w:iCs/>
          <w:sz w:val="24"/>
          <w:szCs w:val="24"/>
        </w:rPr>
        <w:t>29</w:t>
      </w:r>
      <w:r w:rsidR="009907C2" w:rsidRPr="00260D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907C2" w:rsidRPr="00260DAF">
        <w:rPr>
          <w:rFonts w:ascii="Times New Roman" w:hAnsi="Times New Roman" w:cs="Times New Roman"/>
          <w:sz w:val="24"/>
          <w:szCs w:val="24"/>
        </w:rPr>
        <w:t xml:space="preserve">de </w:t>
      </w:r>
      <w:r w:rsidR="00C7382F">
        <w:rPr>
          <w:rFonts w:ascii="Times New Roman" w:hAnsi="Times New Roman" w:cs="Times New Roman"/>
          <w:sz w:val="24"/>
          <w:szCs w:val="24"/>
        </w:rPr>
        <w:t>julho</w:t>
      </w:r>
      <w:r w:rsidR="009907C2" w:rsidRPr="00260D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907C2" w:rsidRPr="00260DAF">
        <w:rPr>
          <w:rFonts w:ascii="Times New Roman" w:hAnsi="Times New Roman" w:cs="Times New Roman"/>
          <w:sz w:val="24"/>
          <w:szCs w:val="24"/>
        </w:rPr>
        <w:t xml:space="preserve">de </w:t>
      </w:r>
      <w:r w:rsidR="00C7382F">
        <w:rPr>
          <w:rFonts w:ascii="Times New Roman" w:hAnsi="Times New Roman" w:cs="Times New Roman"/>
          <w:sz w:val="24"/>
          <w:szCs w:val="24"/>
        </w:rPr>
        <w:t>2020</w:t>
      </w:r>
      <w:r w:rsidRPr="00260DAF">
        <w:rPr>
          <w:rFonts w:ascii="Times New Roman" w:hAnsi="Times New Roman" w:cs="Times New Roman"/>
          <w:iCs/>
          <w:sz w:val="24"/>
          <w:szCs w:val="24"/>
        </w:rPr>
        <w:t>,</w:t>
      </w:r>
      <w:r w:rsidR="00910A7F" w:rsidRPr="00260DAF">
        <w:rPr>
          <w:rFonts w:ascii="Times New Roman" w:hAnsi="Times New Roman" w:cs="Times New Roman"/>
          <w:sz w:val="24"/>
          <w:szCs w:val="24"/>
        </w:rPr>
        <w:t xml:space="preserve"> a Secretaria de Comércio Exterior (SECEX)</w:t>
      </w:r>
      <w:r w:rsidR="009907C2" w:rsidRPr="00260DAF">
        <w:rPr>
          <w:rFonts w:ascii="Times New Roman" w:hAnsi="Times New Roman" w:cs="Times New Roman"/>
          <w:sz w:val="24"/>
          <w:szCs w:val="24"/>
        </w:rPr>
        <w:t xml:space="preserve"> do Ministério da Economia</w:t>
      </w:r>
      <w:r w:rsidRPr="00260DA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publicou, no Diário</w:t>
      </w:r>
      <w:r w:rsidR="009907C2" w:rsidRPr="00260DA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60DA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Oficial da União, a </w:t>
      </w:r>
      <w:r w:rsidR="00910A7F" w:rsidRPr="00260DAF">
        <w:rPr>
          <w:rStyle w:val="nfase"/>
          <w:rFonts w:ascii="Times New Roman" w:hAnsi="Times New Roman" w:cs="Times New Roman"/>
          <w:i w:val="0"/>
          <w:sz w:val="24"/>
          <w:szCs w:val="24"/>
        </w:rPr>
        <w:t>Circular</w:t>
      </w:r>
      <w:r w:rsidRPr="00260DA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n</w:t>
      </w:r>
      <w:r w:rsidRPr="00260DAF">
        <w:rPr>
          <w:rStyle w:val="nfase"/>
          <w:rFonts w:ascii="Times New Roman" w:hAnsi="Times New Roman" w:cs="Times New Roman"/>
          <w:i w:val="0"/>
          <w:sz w:val="24"/>
          <w:szCs w:val="24"/>
          <w:u w:val="single"/>
          <w:vertAlign w:val="superscript"/>
        </w:rPr>
        <w:t>o</w:t>
      </w:r>
      <w:r w:rsidRPr="00260DA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59B2">
        <w:rPr>
          <w:rStyle w:val="nfase"/>
          <w:rFonts w:ascii="Times New Roman" w:hAnsi="Times New Roman" w:cs="Times New Roman"/>
          <w:i w:val="0"/>
          <w:sz w:val="24"/>
          <w:szCs w:val="24"/>
        </w:rPr>
        <w:t>46</w:t>
      </w:r>
      <w:bookmarkStart w:id="0" w:name="_GoBack"/>
      <w:bookmarkEnd w:id="0"/>
      <w:r w:rsidRPr="00260DA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, de </w:t>
      </w:r>
      <w:r w:rsidR="00C7382F">
        <w:rPr>
          <w:rStyle w:val="nfase"/>
          <w:rFonts w:ascii="Times New Roman" w:hAnsi="Times New Roman" w:cs="Times New Roman"/>
          <w:i w:val="0"/>
          <w:sz w:val="24"/>
          <w:szCs w:val="24"/>
        </w:rPr>
        <w:t>2020</w:t>
      </w:r>
      <w:r w:rsidRPr="00260DAF">
        <w:rPr>
          <w:rStyle w:val="nfase"/>
          <w:rFonts w:ascii="Times New Roman" w:hAnsi="Times New Roman" w:cs="Times New Roman"/>
          <w:i w:val="0"/>
          <w:sz w:val="24"/>
          <w:szCs w:val="24"/>
        </w:rPr>
        <w:t>, que</w:t>
      </w:r>
      <w:r w:rsidR="00910A7F" w:rsidRPr="00260DA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deu início à </w:t>
      </w:r>
      <w:r w:rsidR="00FC217D" w:rsidRPr="00260DA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investigação de prática de dumping </w:t>
      </w:r>
      <w:r w:rsidR="00910A7F" w:rsidRPr="00260DA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217D" w:rsidRPr="00260DAF">
        <w:rPr>
          <w:rStyle w:val="nfase"/>
          <w:rFonts w:ascii="Times New Roman" w:hAnsi="Times New Roman" w:cs="Times New Roman"/>
          <w:i w:val="0"/>
          <w:sz w:val="24"/>
          <w:szCs w:val="24"/>
        </w:rPr>
        <w:t>n</w:t>
      </w:r>
      <w:r w:rsidR="00910A7F" w:rsidRPr="00260DA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as </w:t>
      </w:r>
      <w:r w:rsidR="00FC217D" w:rsidRPr="00260DAF">
        <w:rPr>
          <w:rStyle w:val="nfase"/>
          <w:rFonts w:ascii="Times New Roman" w:hAnsi="Times New Roman" w:cs="Times New Roman"/>
          <w:i w:val="0"/>
          <w:sz w:val="24"/>
          <w:szCs w:val="24"/>
        </w:rPr>
        <w:t>exportações para o Brasil</w:t>
      </w:r>
      <w:r w:rsidR="00910A7F" w:rsidRPr="00260DA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de </w:t>
      </w:r>
      <w:bookmarkStart w:id="1" w:name="_Hlk12966754"/>
      <w:r w:rsidR="00C7382F"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>laminados de alumínio</w:t>
      </w:r>
      <w:r w:rsidR="00F26DF7" w:rsidRPr="00260DAF">
        <w:rPr>
          <w:rStyle w:val="nfase"/>
          <w:rFonts w:ascii="Times New Roman" w:hAnsi="Times New Roman" w:cs="Times New Roman"/>
          <w:i w:val="0"/>
          <w:sz w:val="24"/>
          <w:szCs w:val="24"/>
        </w:rPr>
        <w:t>,</w:t>
      </w:r>
      <w:r w:rsidR="00D97288" w:rsidRPr="00260DA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comumente classificadas </w:t>
      </w:r>
      <w:r w:rsidR="009907C2" w:rsidRPr="00260DAF">
        <w:rPr>
          <w:rFonts w:ascii="Times New Roman" w:hAnsi="Times New Roman" w:cs="Times New Roman"/>
          <w:sz w:val="24"/>
          <w:szCs w:val="24"/>
        </w:rPr>
        <w:t>no</w:t>
      </w:r>
      <w:r w:rsidR="009907C2" w:rsidRPr="00C7382F">
        <w:rPr>
          <w:rFonts w:ascii="Times New Roman" w:hAnsi="Times New Roman" w:cs="Times New Roman"/>
          <w:sz w:val="24"/>
          <w:szCs w:val="24"/>
        </w:rPr>
        <w:t>s subitens</w:t>
      </w:r>
      <w:r w:rsidR="00C7382F" w:rsidRPr="00C7382F">
        <w:rPr>
          <w:rFonts w:ascii="Times New Roman" w:hAnsi="Times New Roman" w:cs="Times New Roman"/>
          <w:sz w:val="24"/>
          <w:szCs w:val="24"/>
        </w:rPr>
        <w:t xml:space="preserve"> 7606.11.90, 7606.12.90, 7606.91.00, 7606.92.00, 7607.11.90 e 7607.19.90</w:t>
      </w:r>
      <w:r w:rsidR="009907C2" w:rsidRPr="00C7382F">
        <w:rPr>
          <w:rFonts w:ascii="Times New Roman" w:hAnsi="Times New Roman" w:cs="Times New Roman"/>
          <w:sz w:val="24"/>
          <w:szCs w:val="24"/>
        </w:rPr>
        <w:t xml:space="preserve"> </w:t>
      </w:r>
      <w:r w:rsidR="00D97288" w:rsidRPr="00C7382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da </w:t>
      </w:r>
      <w:r w:rsidR="00D97288" w:rsidRPr="00260DAF">
        <w:rPr>
          <w:rStyle w:val="nfase"/>
          <w:rFonts w:ascii="Times New Roman" w:hAnsi="Times New Roman" w:cs="Times New Roman"/>
          <w:i w:val="0"/>
          <w:sz w:val="24"/>
          <w:szCs w:val="24"/>
        </w:rPr>
        <w:t>Nomenclatura Comum do Mercosul – NCM,</w:t>
      </w:r>
      <w:r w:rsidR="00D35EA8" w:rsidRPr="00260DA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1"/>
      <w:r w:rsidR="00D35EA8" w:rsidRPr="00260DA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originárias </w:t>
      </w:r>
      <w:r w:rsidR="00C7382F" w:rsidRPr="00260DAF">
        <w:rPr>
          <w:rFonts w:ascii="Times New Roman" w:hAnsi="Times New Roman" w:cs="Times New Roman"/>
          <w:sz w:val="24"/>
          <w:szCs w:val="24"/>
        </w:rPr>
        <w:t>da</w:t>
      </w:r>
      <w:r w:rsidR="00C7382F">
        <w:rPr>
          <w:rFonts w:ascii="Times New Roman" w:hAnsi="Times New Roman" w:cs="Times New Roman"/>
          <w:sz w:val="24"/>
          <w:szCs w:val="24"/>
        </w:rPr>
        <w:t xml:space="preserve"> China</w:t>
      </w:r>
      <w:r w:rsidR="00F26DF7" w:rsidRPr="00260DAF">
        <w:rPr>
          <w:rStyle w:val="nfase"/>
          <w:rFonts w:ascii="Times New Roman" w:hAnsi="Times New Roman" w:cs="Times New Roman"/>
          <w:i w:val="0"/>
          <w:sz w:val="24"/>
          <w:szCs w:val="24"/>
        </w:rPr>
        <w:t>.</w:t>
      </w:r>
    </w:p>
    <w:p w:rsidR="0095415B" w:rsidRPr="00260DAF" w:rsidRDefault="0095415B" w:rsidP="009907C2">
      <w:pPr>
        <w:autoSpaceDE w:val="0"/>
        <w:autoSpaceDN w:val="0"/>
        <w:adjustRightInd w:val="0"/>
        <w:spacing w:after="0" w:line="24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</w:rPr>
      </w:pPr>
    </w:p>
    <w:p w:rsidR="002F007F" w:rsidRPr="00260DAF" w:rsidRDefault="002F007F" w:rsidP="002F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60DAF">
        <w:rPr>
          <w:rFonts w:ascii="Times New Roman" w:hAnsi="Times New Roman" w:cs="Times New Roman"/>
          <w:iCs/>
          <w:sz w:val="24"/>
          <w:szCs w:val="24"/>
        </w:rPr>
        <w:t>Foram</w:t>
      </w:r>
      <w:r w:rsidRPr="00260DAF">
        <w:rPr>
          <w:rFonts w:ascii="Times New Roman" w:hAnsi="Times New Roman" w:cs="Times New Roman"/>
          <w:sz w:val="24"/>
          <w:szCs w:val="24"/>
        </w:rPr>
        <w:t xml:space="preserve"> apresentados elementos suficientes que indicam a prática de dumping nas exportações da</w:t>
      </w:r>
      <w:r w:rsidR="00C7382F">
        <w:rPr>
          <w:rFonts w:ascii="Times New Roman" w:hAnsi="Times New Roman" w:cs="Times New Roman"/>
          <w:sz w:val="24"/>
          <w:szCs w:val="24"/>
        </w:rPr>
        <w:t xml:space="preserve"> China</w:t>
      </w:r>
      <w:r w:rsidRPr="00260D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60DAF">
        <w:rPr>
          <w:rFonts w:ascii="Times New Roman" w:hAnsi="Times New Roman" w:cs="Times New Roman"/>
          <w:sz w:val="24"/>
          <w:szCs w:val="24"/>
        </w:rPr>
        <w:t>para o Brasil do produto objeto da investigação, e de dano à indústria doméstica resultante de tal prática</w:t>
      </w:r>
      <w:r w:rsidRPr="00260DA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60DAF">
        <w:rPr>
          <w:rFonts w:ascii="Times New Roman" w:hAnsi="Times New Roman" w:cs="Times New Roman"/>
          <w:sz w:val="24"/>
          <w:szCs w:val="24"/>
        </w:rPr>
        <w:t xml:space="preserve">A análise dos elementos de prova de dumping considerou o período de </w:t>
      </w:r>
      <w:r w:rsidR="00C7382F">
        <w:rPr>
          <w:rFonts w:ascii="Times New Roman" w:hAnsi="Times New Roman" w:cs="Times New Roman"/>
          <w:sz w:val="24"/>
          <w:szCs w:val="24"/>
        </w:rPr>
        <w:t>janeiro a dezembro de 2019</w:t>
      </w:r>
      <w:r w:rsidRPr="00260DAF">
        <w:rPr>
          <w:rFonts w:ascii="Times New Roman" w:hAnsi="Times New Roman" w:cs="Times New Roman"/>
          <w:sz w:val="24"/>
          <w:szCs w:val="24"/>
        </w:rPr>
        <w:t>. Já o período de análise de dano considerou o período de</w:t>
      </w:r>
      <w:r w:rsidR="00C7382F">
        <w:rPr>
          <w:rFonts w:ascii="Times New Roman" w:hAnsi="Times New Roman" w:cs="Times New Roman"/>
          <w:sz w:val="24"/>
          <w:szCs w:val="24"/>
        </w:rPr>
        <w:t xml:space="preserve"> janeiro de 2015 a dezembro de 2019</w:t>
      </w:r>
      <w:r w:rsidRPr="00260DA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F007F" w:rsidRPr="00260DAF" w:rsidRDefault="002F007F" w:rsidP="002F007F">
      <w:pPr>
        <w:autoSpaceDE w:val="0"/>
        <w:autoSpaceDN w:val="0"/>
        <w:adjustRightInd w:val="0"/>
        <w:spacing w:after="0" w:line="24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</w:rPr>
      </w:pPr>
    </w:p>
    <w:p w:rsidR="002F007F" w:rsidRPr="00C7382F" w:rsidRDefault="002F007F" w:rsidP="00990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0DAF">
        <w:rPr>
          <w:rFonts w:ascii="Times New Roman" w:hAnsi="Times New Roman" w:cs="Times New Roman"/>
          <w:iCs/>
          <w:sz w:val="24"/>
          <w:szCs w:val="24"/>
        </w:rPr>
        <w:t>A presente investigação foi i</w:t>
      </w:r>
      <w:r w:rsidRPr="00C7382F">
        <w:rPr>
          <w:rFonts w:ascii="Times New Roman" w:hAnsi="Times New Roman" w:cs="Times New Roman"/>
          <w:iCs/>
          <w:sz w:val="24"/>
          <w:szCs w:val="24"/>
        </w:rPr>
        <w:t xml:space="preserve">niciada a partir da petição, protocolada em </w:t>
      </w:r>
      <w:r w:rsidR="00C7382F" w:rsidRPr="00C7382F">
        <w:rPr>
          <w:rFonts w:ascii="Times New Roman" w:hAnsi="Times New Roman" w:cs="Times New Roman"/>
          <w:sz w:val="24"/>
          <w:szCs w:val="24"/>
        </w:rPr>
        <w:t>30</w:t>
      </w:r>
      <w:r w:rsidRPr="00C7382F">
        <w:rPr>
          <w:rFonts w:ascii="Times New Roman" w:hAnsi="Times New Roman" w:cs="Times New Roman"/>
          <w:sz w:val="24"/>
          <w:szCs w:val="24"/>
        </w:rPr>
        <w:t xml:space="preserve"> de </w:t>
      </w:r>
      <w:r w:rsidR="00C7382F" w:rsidRPr="00C7382F">
        <w:rPr>
          <w:rFonts w:ascii="Times New Roman" w:hAnsi="Times New Roman" w:cs="Times New Roman"/>
          <w:sz w:val="24"/>
          <w:szCs w:val="24"/>
        </w:rPr>
        <w:t>abril</w:t>
      </w:r>
      <w:r w:rsidRPr="00C7382F">
        <w:rPr>
          <w:rFonts w:ascii="Times New Roman" w:hAnsi="Times New Roman" w:cs="Times New Roman"/>
          <w:sz w:val="24"/>
          <w:szCs w:val="24"/>
        </w:rPr>
        <w:t xml:space="preserve"> de </w:t>
      </w:r>
      <w:r w:rsidR="00C7382F" w:rsidRPr="00C7382F">
        <w:rPr>
          <w:rFonts w:ascii="Times New Roman" w:hAnsi="Times New Roman" w:cs="Times New Roman"/>
          <w:sz w:val="24"/>
          <w:szCs w:val="24"/>
        </w:rPr>
        <w:t>2020</w:t>
      </w:r>
      <w:r w:rsidRPr="00C7382F">
        <w:rPr>
          <w:rFonts w:ascii="Times New Roman" w:hAnsi="Times New Roman" w:cs="Times New Roman"/>
          <w:iCs/>
          <w:sz w:val="24"/>
          <w:szCs w:val="24"/>
        </w:rPr>
        <w:t xml:space="preserve">, pela </w:t>
      </w:r>
      <w:r w:rsidR="00C7382F" w:rsidRPr="00C7382F">
        <w:rPr>
          <w:rFonts w:ascii="Times New Roman" w:hAnsi="Times New Roman" w:cs="Times New Roman"/>
          <w:sz w:val="24"/>
          <w:szCs w:val="24"/>
        </w:rPr>
        <w:t>Associação Brasileira do Alumínio (ABAL)</w:t>
      </w:r>
      <w:r w:rsidRPr="00C7382F">
        <w:rPr>
          <w:rFonts w:ascii="Times New Roman" w:hAnsi="Times New Roman" w:cs="Times New Roman"/>
          <w:iCs/>
          <w:sz w:val="24"/>
          <w:szCs w:val="24"/>
        </w:rPr>
        <w:t xml:space="preserve">. Ao longo da fase de instrução, que poderá durar de 10 a 18 meses, espera-se contar com a participação das partes interessadas, que poderão se habilitar nos autos do processo MDIC/SECEX nº </w:t>
      </w:r>
      <w:r w:rsidR="00C7382F" w:rsidRPr="00C7382F">
        <w:rPr>
          <w:rFonts w:ascii="Times New Roman" w:hAnsi="Times New Roman" w:cs="Times New Roman"/>
          <w:sz w:val="24"/>
          <w:szCs w:val="24"/>
        </w:rPr>
        <w:t>52272.004581/2020-12</w:t>
      </w:r>
      <w:r w:rsidRPr="00C7382F">
        <w:rPr>
          <w:rFonts w:ascii="Times New Roman" w:hAnsi="Times New Roman" w:cs="Times New Roman"/>
          <w:iCs/>
          <w:sz w:val="24"/>
          <w:szCs w:val="24"/>
        </w:rPr>
        <w:t>, por meio do Sistema DECOM Digital (SDD), pelo endereço eletrônico decomdigital.mdic.gov.br.</w:t>
      </w:r>
    </w:p>
    <w:p w:rsidR="002F007F" w:rsidRPr="00260DAF" w:rsidRDefault="002F007F" w:rsidP="00990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272B2" w:rsidRPr="00260DAF" w:rsidRDefault="007272B2" w:rsidP="007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DAF">
        <w:rPr>
          <w:rFonts w:ascii="Times New Roman" w:hAnsi="Times New Roman" w:cs="Times New Roman"/>
          <w:iCs/>
          <w:sz w:val="24"/>
          <w:szCs w:val="24"/>
        </w:rPr>
        <w:t>Na mesma Circular</w:t>
      </w:r>
      <w:r w:rsidR="002F007F" w:rsidRPr="00260DAF">
        <w:rPr>
          <w:rFonts w:ascii="Times New Roman" w:hAnsi="Times New Roman" w:cs="Times New Roman"/>
          <w:iCs/>
          <w:sz w:val="24"/>
          <w:szCs w:val="24"/>
        </w:rPr>
        <w:t xml:space="preserve"> foi iniciada a avaliação de interesse público. </w:t>
      </w:r>
      <w:r w:rsidRPr="00260DAF">
        <w:rPr>
          <w:rFonts w:ascii="Times New Roman" w:hAnsi="Times New Roman" w:cs="Times New Roman"/>
          <w:iCs/>
          <w:sz w:val="24"/>
          <w:szCs w:val="24"/>
        </w:rPr>
        <w:t xml:space="preserve">Os questionários de interesse público estão disponíveis no endereço eletrônico </w:t>
      </w:r>
      <w:hyperlink r:id="rId5" w:history="1">
        <w:r w:rsidRPr="00260DAF">
          <w:rPr>
            <w:rStyle w:val="Hyperlink"/>
            <w:rFonts w:ascii="Times New Roman" w:hAnsi="Times New Roman" w:cs="Times New Roman"/>
            <w:sz w:val="24"/>
            <w:szCs w:val="24"/>
          </w:rPr>
          <w:t>http://www.mdic.gov.br/index.php/comercio-exterior/defesa-comercial/306-interesse-publico/3888-questionario-de-interesse-publico</w:t>
        </w:r>
      </w:hyperlink>
      <w:r w:rsidRPr="00260D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72B2" w:rsidRPr="00260DAF" w:rsidRDefault="007272B2" w:rsidP="007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2B2" w:rsidRPr="00260DAF" w:rsidRDefault="007272B2" w:rsidP="007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0DAF">
        <w:rPr>
          <w:rFonts w:ascii="Times New Roman" w:hAnsi="Times New Roman" w:cs="Times New Roman"/>
          <w:iCs/>
          <w:sz w:val="24"/>
          <w:szCs w:val="24"/>
        </w:rPr>
        <w:t xml:space="preserve">Eventuais pedidos de prorrogação de prazo para submissão do questionário de interesse público, bem como respostas ao próprio questionário de interesse público deverão ser protocolados no âmbito dos processos </w:t>
      </w:r>
      <w:r w:rsidRPr="00C7382F">
        <w:rPr>
          <w:rFonts w:ascii="Times New Roman" w:hAnsi="Times New Roman" w:cs="Times New Roman"/>
          <w:iCs/>
          <w:sz w:val="24"/>
          <w:szCs w:val="24"/>
        </w:rPr>
        <w:t xml:space="preserve">nº </w:t>
      </w:r>
      <w:r w:rsidR="00C7382F" w:rsidRPr="00C7382F">
        <w:rPr>
          <w:rFonts w:ascii="Times New Roman" w:hAnsi="Times New Roman" w:cs="Times New Roman"/>
          <w:iCs/>
          <w:sz w:val="24"/>
          <w:szCs w:val="24"/>
        </w:rPr>
        <w:t>19972.101224/2020-21</w:t>
      </w:r>
      <w:r w:rsidRPr="00C7382F">
        <w:rPr>
          <w:rFonts w:ascii="Times New Roman" w:hAnsi="Times New Roman" w:cs="Times New Roman"/>
          <w:iCs/>
          <w:sz w:val="24"/>
          <w:szCs w:val="24"/>
        </w:rPr>
        <w:t xml:space="preserve"> (confidencial) ou nº</w:t>
      </w:r>
      <w:r w:rsidR="00C7382F" w:rsidRPr="00C7382F">
        <w:rPr>
          <w:rFonts w:ascii="Times New Roman" w:hAnsi="Times New Roman" w:cs="Times New Roman"/>
          <w:iCs/>
          <w:sz w:val="24"/>
          <w:szCs w:val="24"/>
        </w:rPr>
        <w:t xml:space="preserve"> 19972.101223/2020-86</w:t>
      </w:r>
      <w:r w:rsidRPr="00C7382F">
        <w:rPr>
          <w:rFonts w:ascii="Times New Roman" w:hAnsi="Times New Roman" w:cs="Times New Roman"/>
          <w:iCs/>
          <w:sz w:val="24"/>
          <w:szCs w:val="24"/>
        </w:rPr>
        <w:t xml:space="preserve">  (público) do Sistema </w:t>
      </w:r>
      <w:r w:rsidRPr="00260DAF">
        <w:rPr>
          <w:rFonts w:ascii="Times New Roman" w:hAnsi="Times New Roman" w:cs="Times New Roman"/>
          <w:iCs/>
          <w:sz w:val="24"/>
          <w:szCs w:val="24"/>
        </w:rPr>
        <w:t>Eletrônico de Informações do Ministério da Economia - SEI/ME, observados os termos dispostos na Portaria SECEX nº 13, de 2020.</w:t>
      </w:r>
    </w:p>
    <w:p w:rsidR="007272B2" w:rsidRPr="00260DAF" w:rsidRDefault="007272B2" w:rsidP="007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E0F" w:rsidRPr="00260DAF" w:rsidRDefault="00306DF4" w:rsidP="00260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0DAF">
        <w:rPr>
          <w:rFonts w:ascii="Times New Roman" w:hAnsi="Times New Roman" w:cs="Times New Roman"/>
          <w:iCs/>
          <w:sz w:val="24"/>
          <w:szCs w:val="24"/>
        </w:rPr>
        <w:t xml:space="preserve">Ressalta-se que </w:t>
      </w:r>
      <w:r w:rsidR="006209F2" w:rsidRPr="00260DAF">
        <w:rPr>
          <w:rFonts w:ascii="Times New Roman" w:hAnsi="Times New Roman" w:cs="Times New Roman"/>
          <w:iCs/>
          <w:sz w:val="24"/>
          <w:szCs w:val="24"/>
        </w:rPr>
        <w:t>a</w:t>
      </w:r>
      <w:r w:rsidR="00586E0F" w:rsidRPr="00260DAF">
        <w:rPr>
          <w:rFonts w:ascii="Times New Roman" w:hAnsi="Times New Roman" w:cs="Times New Roman"/>
          <w:iCs/>
          <w:sz w:val="24"/>
          <w:szCs w:val="24"/>
        </w:rPr>
        <w:t xml:space="preserve"> condução de processo administrativo </w:t>
      </w:r>
      <w:r w:rsidR="004525E6" w:rsidRPr="00260DAF">
        <w:rPr>
          <w:rFonts w:ascii="Times New Roman" w:hAnsi="Times New Roman" w:cs="Times New Roman"/>
          <w:iCs/>
          <w:sz w:val="24"/>
          <w:szCs w:val="24"/>
        </w:rPr>
        <w:t xml:space="preserve">de </w:t>
      </w:r>
      <w:r w:rsidR="00501671">
        <w:rPr>
          <w:rFonts w:ascii="Times New Roman" w:hAnsi="Times New Roman" w:cs="Times New Roman"/>
          <w:iCs/>
          <w:sz w:val="24"/>
          <w:szCs w:val="24"/>
        </w:rPr>
        <w:t>investigação</w:t>
      </w:r>
      <w:r w:rsidR="004525E6" w:rsidRPr="00260DAF">
        <w:rPr>
          <w:rFonts w:ascii="Times New Roman" w:hAnsi="Times New Roman" w:cs="Times New Roman"/>
          <w:iCs/>
          <w:sz w:val="24"/>
          <w:szCs w:val="24"/>
        </w:rPr>
        <w:t xml:space="preserve"> antidumping a</w:t>
      </w:r>
      <w:r w:rsidR="00916EEE" w:rsidRPr="00260DAF">
        <w:rPr>
          <w:rFonts w:ascii="Times New Roman" w:hAnsi="Times New Roman" w:cs="Times New Roman"/>
          <w:iCs/>
          <w:sz w:val="24"/>
          <w:szCs w:val="24"/>
        </w:rPr>
        <w:t>ssegura</w:t>
      </w:r>
      <w:r w:rsidR="00586E0F" w:rsidRPr="00260DAF">
        <w:rPr>
          <w:rFonts w:ascii="Times New Roman" w:hAnsi="Times New Roman" w:cs="Times New Roman"/>
          <w:iCs/>
          <w:sz w:val="24"/>
          <w:szCs w:val="24"/>
        </w:rPr>
        <w:t xml:space="preserve"> a todas as partes envolvidas (produtores domésticos, exportadores e importadores do produto investigado</w:t>
      </w:r>
      <w:r w:rsidR="00916EEE" w:rsidRPr="00260DAF">
        <w:rPr>
          <w:rFonts w:ascii="Times New Roman" w:hAnsi="Times New Roman" w:cs="Times New Roman"/>
          <w:iCs/>
          <w:sz w:val="24"/>
          <w:szCs w:val="24"/>
        </w:rPr>
        <w:t xml:space="preserve"> e os governos dos países envolvidos</w:t>
      </w:r>
      <w:r w:rsidR="00586E0F" w:rsidRPr="00260DAF">
        <w:rPr>
          <w:rFonts w:ascii="Times New Roman" w:hAnsi="Times New Roman" w:cs="Times New Roman"/>
          <w:iCs/>
          <w:sz w:val="24"/>
          <w:szCs w:val="24"/>
        </w:rPr>
        <w:t>) o direito à ampla defesa e ao contraditório</w:t>
      </w:r>
      <w:r w:rsidR="004525E6" w:rsidRPr="00260DAF">
        <w:rPr>
          <w:rFonts w:ascii="Times New Roman" w:hAnsi="Times New Roman" w:cs="Times New Roman"/>
          <w:iCs/>
          <w:sz w:val="24"/>
          <w:szCs w:val="24"/>
        </w:rPr>
        <w:t>, nos termos do Decreto 8058/2013 e do Acordo Antidumping da OMC</w:t>
      </w:r>
      <w:r w:rsidR="00586E0F" w:rsidRPr="00260DAF">
        <w:rPr>
          <w:rFonts w:ascii="Times New Roman" w:hAnsi="Times New Roman" w:cs="Times New Roman"/>
          <w:iCs/>
          <w:sz w:val="24"/>
          <w:szCs w:val="24"/>
        </w:rPr>
        <w:t>.</w:t>
      </w:r>
    </w:p>
    <w:sectPr w:rsidR="00586E0F" w:rsidRPr="00260D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00E3B"/>
    <w:multiLevelType w:val="multilevel"/>
    <w:tmpl w:val="070E1142"/>
    <w:lvl w:ilvl="0">
      <w:start w:val="1"/>
      <w:numFmt w:val="decimal"/>
      <w:lvlText w:val="%1."/>
      <w:lvlJc w:val="left"/>
      <w:pPr>
        <w:tabs>
          <w:tab w:val="num" w:pos="705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)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EA8"/>
    <w:rsid w:val="000159B2"/>
    <w:rsid w:val="00026147"/>
    <w:rsid w:val="00031BE6"/>
    <w:rsid w:val="00043709"/>
    <w:rsid w:val="0008663E"/>
    <w:rsid w:val="000E06F9"/>
    <w:rsid w:val="00126BDF"/>
    <w:rsid w:val="00155D10"/>
    <w:rsid w:val="001C0F16"/>
    <w:rsid w:val="001E7C5A"/>
    <w:rsid w:val="00215639"/>
    <w:rsid w:val="00240864"/>
    <w:rsid w:val="00260DAF"/>
    <w:rsid w:val="002809A2"/>
    <w:rsid w:val="002F007F"/>
    <w:rsid w:val="00306DF4"/>
    <w:rsid w:val="00314570"/>
    <w:rsid w:val="00393270"/>
    <w:rsid w:val="003A6757"/>
    <w:rsid w:val="003B1AAD"/>
    <w:rsid w:val="003E5AC5"/>
    <w:rsid w:val="003F6741"/>
    <w:rsid w:val="00433ABE"/>
    <w:rsid w:val="004525E6"/>
    <w:rsid w:val="00501671"/>
    <w:rsid w:val="00564427"/>
    <w:rsid w:val="00586E0F"/>
    <w:rsid w:val="006108DC"/>
    <w:rsid w:val="006209F2"/>
    <w:rsid w:val="0069299A"/>
    <w:rsid w:val="0069687D"/>
    <w:rsid w:val="006C0A03"/>
    <w:rsid w:val="0070766B"/>
    <w:rsid w:val="007272B2"/>
    <w:rsid w:val="007B2726"/>
    <w:rsid w:val="008C647F"/>
    <w:rsid w:val="00910A7F"/>
    <w:rsid w:val="00916EEE"/>
    <w:rsid w:val="009504EC"/>
    <w:rsid w:val="00954121"/>
    <w:rsid w:val="0095415B"/>
    <w:rsid w:val="0097306E"/>
    <w:rsid w:val="009907C2"/>
    <w:rsid w:val="009D1F26"/>
    <w:rsid w:val="00A478CB"/>
    <w:rsid w:val="00AC60FE"/>
    <w:rsid w:val="00B26004"/>
    <w:rsid w:val="00B27A15"/>
    <w:rsid w:val="00B43124"/>
    <w:rsid w:val="00C7382F"/>
    <w:rsid w:val="00C9546F"/>
    <w:rsid w:val="00CB33C0"/>
    <w:rsid w:val="00CE4B43"/>
    <w:rsid w:val="00D30D6F"/>
    <w:rsid w:val="00D35EA8"/>
    <w:rsid w:val="00D97288"/>
    <w:rsid w:val="00E52BD8"/>
    <w:rsid w:val="00E708F5"/>
    <w:rsid w:val="00E742CE"/>
    <w:rsid w:val="00ED720F"/>
    <w:rsid w:val="00EE1D5E"/>
    <w:rsid w:val="00F26DF7"/>
    <w:rsid w:val="00F318B7"/>
    <w:rsid w:val="00F34BC2"/>
    <w:rsid w:val="00FB7E8F"/>
    <w:rsid w:val="00FC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9B62"/>
  <w15:chartTrackingRefBased/>
  <w15:docId w15:val="{E5DB343A-FF2A-43C8-B22B-96501584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5EA8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styleId="nfase">
    <w:name w:val="Emphasis"/>
    <w:basedOn w:val="Fontepargpadro"/>
    <w:uiPriority w:val="20"/>
    <w:qFormat/>
    <w:rsid w:val="00D35EA8"/>
    <w:rPr>
      <w:i/>
      <w:iCs/>
    </w:rPr>
  </w:style>
  <w:style w:type="paragraph" w:styleId="Ttulo">
    <w:name w:val="Title"/>
    <w:basedOn w:val="Normal"/>
    <w:link w:val="TtuloChar"/>
    <w:uiPriority w:val="99"/>
    <w:qFormat/>
    <w:rsid w:val="00D35EA8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D35EA8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Hyperlink">
    <w:name w:val="Hyperlink"/>
    <w:uiPriority w:val="99"/>
    <w:rsid w:val="00E708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dic.gov.br/index.php/comercio-exterior/defesa-comercial/306-interesse-publico/3888-questionario-de-interesse-publi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Hearle Vieira Calvão</dc:creator>
  <cp:keywords/>
  <dc:description/>
  <cp:lastModifiedBy>Vinicius Vargas Vasconcellos</cp:lastModifiedBy>
  <cp:revision>4</cp:revision>
  <cp:lastPrinted>2019-06-24T22:06:00Z</cp:lastPrinted>
  <dcterms:created xsi:type="dcterms:W3CDTF">2020-07-28T13:58:00Z</dcterms:created>
  <dcterms:modified xsi:type="dcterms:W3CDTF">2020-07-30T20:37:00Z</dcterms:modified>
</cp:coreProperties>
</file>