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D0ADA" w14:textId="4F7D9130" w:rsidR="007B370F" w:rsidRPr="007B20FE" w:rsidRDefault="007B370F" w:rsidP="007B20FE">
      <w:pPr>
        <w:pStyle w:val="Ttulo"/>
        <w:jc w:val="center"/>
        <w:rPr>
          <w:rFonts w:ascii="Calibri" w:hAnsi="Calibri" w:cs="Calibri"/>
          <w:b/>
          <w:bCs/>
          <w:sz w:val="24"/>
          <w:szCs w:val="24"/>
        </w:rPr>
      </w:pPr>
      <w:r w:rsidRPr="007B20FE">
        <w:rPr>
          <w:rFonts w:ascii="Calibri" w:hAnsi="Calibri" w:cs="Calibri"/>
          <w:b/>
          <w:bCs/>
          <w:sz w:val="24"/>
          <w:szCs w:val="24"/>
        </w:rPr>
        <w:t>NEBULIZADORES</w:t>
      </w:r>
    </w:p>
    <w:p w14:paraId="2BB620BE" w14:textId="77777777" w:rsidR="007B370F" w:rsidRPr="007B370F" w:rsidRDefault="007B370F" w:rsidP="007B370F">
      <w:pPr>
        <w:pStyle w:val="Ttulo"/>
        <w:rPr>
          <w:rFonts w:ascii="Calibri" w:hAnsi="Calibri" w:cs="Calibri"/>
          <w:b/>
          <w:color w:val="000000"/>
          <w:sz w:val="24"/>
          <w:szCs w:val="24"/>
        </w:rPr>
      </w:pPr>
    </w:p>
    <w:p w14:paraId="0512E0CF" w14:textId="77777777" w:rsidR="007B370F" w:rsidRPr="007B370F" w:rsidRDefault="007B370F" w:rsidP="007B370F">
      <w:pPr>
        <w:pStyle w:val="Ttulo"/>
        <w:rPr>
          <w:rFonts w:ascii="Calibri" w:hAnsi="Calibri" w:cs="Calibri"/>
          <w:sz w:val="24"/>
          <w:szCs w:val="24"/>
          <w:highlight w:val="yellow"/>
        </w:rPr>
      </w:pPr>
    </w:p>
    <w:p w14:paraId="40471920" w14:textId="5446A04B" w:rsidR="007B370F" w:rsidRPr="007B370F" w:rsidRDefault="007B370F" w:rsidP="007B370F">
      <w:pPr>
        <w:autoSpaceDE w:val="0"/>
        <w:autoSpaceDN w:val="0"/>
        <w:adjustRightInd w:val="0"/>
        <w:spacing w:after="0" w:line="240" w:lineRule="auto"/>
        <w:jc w:val="both"/>
        <w:rPr>
          <w:rStyle w:val="nfase"/>
          <w:rFonts w:ascii="Calibri" w:hAnsi="Calibri" w:cs="Calibri"/>
          <w:i w:val="0"/>
          <w:sz w:val="24"/>
          <w:szCs w:val="24"/>
        </w:rPr>
      </w:pPr>
      <w:r w:rsidRPr="007B370F">
        <w:rPr>
          <w:rFonts w:ascii="Calibri" w:hAnsi="Calibri" w:cs="Calibri"/>
          <w:iCs/>
          <w:sz w:val="24"/>
          <w:szCs w:val="24"/>
        </w:rPr>
        <w:t xml:space="preserve">No dia </w:t>
      </w:r>
      <w:r w:rsidR="00907F26">
        <w:rPr>
          <w:rFonts w:ascii="Calibri" w:hAnsi="Calibri" w:cs="Calibri"/>
          <w:iCs/>
          <w:sz w:val="24"/>
          <w:szCs w:val="24"/>
        </w:rPr>
        <w:t>17</w:t>
      </w:r>
      <w:r w:rsidRPr="007B370F">
        <w:rPr>
          <w:rFonts w:ascii="Calibri" w:hAnsi="Calibri" w:cs="Calibri"/>
          <w:iCs/>
          <w:sz w:val="24"/>
          <w:szCs w:val="24"/>
        </w:rPr>
        <w:t xml:space="preserve"> </w:t>
      </w:r>
      <w:r w:rsidRPr="007B370F">
        <w:rPr>
          <w:rFonts w:ascii="Calibri" w:hAnsi="Calibri" w:cs="Calibri"/>
          <w:sz w:val="24"/>
          <w:szCs w:val="24"/>
        </w:rPr>
        <w:t>de maio de 2024</w:t>
      </w:r>
      <w:r w:rsidRPr="007B370F">
        <w:rPr>
          <w:rFonts w:ascii="Calibri" w:hAnsi="Calibri" w:cs="Calibri"/>
          <w:iCs/>
          <w:sz w:val="24"/>
          <w:szCs w:val="24"/>
        </w:rPr>
        <w:t>,</w:t>
      </w:r>
      <w:r w:rsidRPr="007B370F">
        <w:rPr>
          <w:rFonts w:ascii="Calibri" w:hAnsi="Calibri" w:cs="Calibri"/>
          <w:sz w:val="24"/>
          <w:szCs w:val="24"/>
        </w:rPr>
        <w:t xml:space="preserve"> a Secretaria de Comércio Exterior (SECEX) </w:t>
      </w:r>
      <w:r w:rsidRPr="007B370F">
        <w:rPr>
          <w:rStyle w:val="nfase"/>
          <w:rFonts w:ascii="Calibri" w:hAnsi="Calibri" w:cs="Calibri"/>
          <w:sz w:val="24"/>
          <w:szCs w:val="24"/>
        </w:rPr>
        <w:t xml:space="preserve">publicou, no Diário Oficial da União, a Circular nº </w:t>
      </w:r>
      <w:r w:rsidR="00907F26">
        <w:rPr>
          <w:rStyle w:val="nfase"/>
          <w:rFonts w:ascii="Calibri" w:hAnsi="Calibri" w:cs="Calibri"/>
          <w:sz w:val="24"/>
          <w:szCs w:val="24"/>
        </w:rPr>
        <w:t>20</w:t>
      </w:r>
      <w:r w:rsidRPr="007B370F">
        <w:rPr>
          <w:rStyle w:val="nfase"/>
          <w:rFonts w:ascii="Calibri" w:hAnsi="Calibri" w:cs="Calibri"/>
          <w:sz w:val="24"/>
          <w:szCs w:val="24"/>
        </w:rPr>
        <w:t xml:space="preserve">, de 2024, que deu início à investigação de prática de dumping nas exportações para o Brasil de </w:t>
      </w:r>
      <w:bookmarkStart w:id="0" w:name="_Hlk12966754"/>
      <w:r>
        <w:rPr>
          <w:rStyle w:val="nfase"/>
          <w:rFonts w:ascii="Calibri" w:hAnsi="Calibri" w:cs="Calibri"/>
          <w:sz w:val="24"/>
          <w:szCs w:val="24"/>
        </w:rPr>
        <w:t>nebulizadores</w:t>
      </w:r>
      <w:r w:rsidRPr="007B370F">
        <w:rPr>
          <w:rStyle w:val="nfase"/>
          <w:rFonts w:ascii="Calibri" w:hAnsi="Calibri" w:cs="Calibri"/>
          <w:sz w:val="24"/>
          <w:szCs w:val="24"/>
        </w:rPr>
        <w:t xml:space="preserve">, comumente classificadas </w:t>
      </w:r>
      <w:r w:rsidRPr="007B370F">
        <w:rPr>
          <w:rFonts w:ascii="Calibri" w:hAnsi="Calibri" w:cs="Calibri"/>
          <w:sz w:val="24"/>
          <w:szCs w:val="24"/>
        </w:rPr>
        <w:t>no subite</w:t>
      </w:r>
      <w:r>
        <w:rPr>
          <w:rFonts w:ascii="Calibri" w:hAnsi="Calibri" w:cs="Calibri"/>
          <w:sz w:val="24"/>
          <w:szCs w:val="24"/>
        </w:rPr>
        <w:t>m</w:t>
      </w:r>
      <w:r w:rsidRPr="007B370F">
        <w:rPr>
          <w:rFonts w:ascii="Calibri" w:hAnsi="Calibri" w:cs="Calibri"/>
          <w:sz w:val="24"/>
          <w:szCs w:val="24"/>
        </w:rPr>
        <w:t xml:space="preserve"> 9019.20.20</w:t>
      </w:r>
      <w:r>
        <w:rPr>
          <w:rFonts w:ascii="Calibri" w:hAnsi="Calibri" w:cs="Calibri"/>
          <w:sz w:val="24"/>
          <w:szCs w:val="24"/>
        </w:rPr>
        <w:t xml:space="preserve"> </w:t>
      </w:r>
      <w:r w:rsidRPr="007B370F">
        <w:rPr>
          <w:rStyle w:val="nfase"/>
          <w:rFonts w:ascii="Calibri" w:hAnsi="Calibri" w:cs="Calibri"/>
          <w:sz w:val="24"/>
          <w:szCs w:val="24"/>
        </w:rPr>
        <w:t xml:space="preserve">da Nomenclatura Comum do Mercosul – NCM, </w:t>
      </w:r>
      <w:bookmarkEnd w:id="0"/>
      <w:r w:rsidRPr="007B370F">
        <w:rPr>
          <w:rStyle w:val="nfase"/>
          <w:rFonts w:ascii="Calibri" w:hAnsi="Calibri" w:cs="Calibri"/>
          <w:sz w:val="24"/>
          <w:szCs w:val="24"/>
        </w:rPr>
        <w:t xml:space="preserve">originárias </w:t>
      </w:r>
      <w:r w:rsidRPr="007B370F">
        <w:rPr>
          <w:rFonts w:ascii="Calibri" w:hAnsi="Calibri" w:cs="Calibri"/>
          <w:sz w:val="24"/>
          <w:szCs w:val="24"/>
        </w:rPr>
        <w:t xml:space="preserve">da </w:t>
      </w:r>
      <w:r>
        <w:rPr>
          <w:rFonts w:ascii="Calibri" w:hAnsi="Calibri" w:cs="Calibri"/>
          <w:sz w:val="24"/>
          <w:szCs w:val="24"/>
        </w:rPr>
        <w:t>China</w:t>
      </w:r>
      <w:r w:rsidRPr="007B370F">
        <w:rPr>
          <w:rStyle w:val="nfase"/>
          <w:rFonts w:ascii="Calibri" w:hAnsi="Calibri" w:cs="Calibri"/>
          <w:sz w:val="24"/>
          <w:szCs w:val="24"/>
        </w:rPr>
        <w:t>.</w:t>
      </w:r>
    </w:p>
    <w:p w14:paraId="029BB5BF" w14:textId="77777777" w:rsidR="007B370F" w:rsidRPr="007B370F" w:rsidRDefault="007B370F" w:rsidP="007B370F">
      <w:pPr>
        <w:autoSpaceDE w:val="0"/>
        <w:autoSpaceDN w:val="0"/>
        <w:adjustRightInd w:val="0"/>
        <w:spacing w:after="0" w:line="240" w:lineRule="auto"/>
        <w:jc w:val="both"/>
        <w:rPr>
          <w:rStyle w:val="nfase"/>
          <w:rFonts w:ascii="Calibri" w:hAnsi="Calibri" w:cs="Calibri"/>
          <w:i w:val="0"/>
          <w:sz w:val="24"/>
          <w:szCs w:val="24"/>
        </w:rPr>
      </w:pPr>
    </w:p>
    <w:p w14:paraId="2A98210D" w14:textId="1B3A67F9" w:rsidR="007B370F" w:rsidRPr="007B370F" w:rsidRDefault="007B370F" w:rsidP="007B37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B370F">
        <w:rPr>
          <w:rFonts w:ascii="Calibri" w:hAnsi="Calibri" w:cs="Calibri"/>
          <w:iCs/>
          <w:sz w:val="24"/>
          <w:szCs w:val="24"/>
        </w:rPr>
        <w:t>Foram</w:t>
      </w:r>
      <w:r w:rsidRPr="007B370F">
        <w:rPr>
          <w:rFonts w:ascii="Calibri" w:hAnsi="Calibri" w:cs="Calibri"/>
          <w:sz w:val="24"/>
          <w:szCs w:val="24"/>
        </w:rPr>
        <w:t xml:space="preserve"> apresentados elementos suficientes que indicam a prática de dumping nas exportações da </w:t>
      </w:r>
      <w:r>
        <w:rPr>
          <w:rFonts w:ascii="Calibri" w:hAnsi="Calibri" w:cs="Calibri"/>
          <w:sz w:val="24"/>
          <w:szCs w:val="24"/>
        </w:rPr>
        <w:t>China</w:t>
      </w:r>
      <w:r w:rsidRPr="007B370F">
        <w:rPr>
          <w:rFonts w:ascii="Calibri" w:hAnsi="Calibri" w:cs="Calibri"/>
          <w:sz w:val="24"/>
          <w:szCs w:val="24"/>
        </w:rPr>
        <w:t xml:space="preserve"> para o Brasil do produto objeto da investigação, e de dano à indústria doméstica resultante de tal prática.</w:t>
      </w:r>
      <w:r w:rsidRPr="007B370F">
        <w:rPr>
          <w:rFonts w:ascii="Calibri" w:hAnsi="Calibri" w:cs="Calibri"/>
          <w:iCs/>
          <w:sz w:val="24"/>
          <w:szCs w:val="24"/>
        </w:rPr>
        <w:t xml:space="preserve"> </w:t>
      </w:r>
      <w:r w:rsidRPr="007B370F">
        <w:rPr>
          <w:rFonts w:ascii="Calibri" w:hAnsi="Calibri" w:cs="Calibri"/>
          <w:sz w:val="24"/>
          <w:szCs w:val="24"/>
        </w:rPr>
        <w:t>A análise dos elementos de prova de dumping considerou o período de outubro de 2022 a setembro de 2023. Já o período de análise de dano considerou o período de outubro de 2018 a setembro de 2023.</w:t>
      </w:r>
    </w:p>
    <w:p w14:paraId="2938C033" w14:textId="77777777" w:rsidR="007B370F" w:rsidRPr="007B370F" w:rsidRDefault="007B370F" w:rsidP="007B370F">
      <w:pPr>
        <w:autoSpaceDE w:val="0"/>
        <w:autoSpaceDN w:val="0"/>
        <w:adjustRightInd w:val="0"/>
        <w:spacing w:after="0" w:line="240" w:lineRule="auto"/>
        <w:jc w:val="both"/>
        <w:rPr>
          <w:rStyle w:val="nfase"/>
          <w:rFonts w:ascii="Calibri" w:hAnsi="Calibri" w:cs="Calibri"/>
          <w:i w:val="0"/>
          <w:sz w:val="24"/>
          <w:szCs w:val="24"/>
        </w:rPr>
      </w:pPr>
    </w:p>
    <w:p w14:paraId="01323228" w14:textId="4D43E93A" w:rsidR="007B370F" w:rsidRPr="007B370F" w:rsidRDefault="007B370F" w:rsidP="007B37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B370F">
        <w:rPr>
          <w:rFonts w:ascii="Calibri" w:hAnsi="Calibri" w:cs="Calibri"/>
          <w:iCs/>
          <w:sz w:val="24"/>
          <w:szCs w:val="24"/>
        </w:rPr>
        <w:t xml:space="preserve">A presente investigação foi iniciada a partir da petição, protocolada em </w:t>
      </w:r>
      <w:r>
        <w:rPr>
          <w:rFonts w:ascii="Calibri" w:hAnsi="Calibri" w:cs="Calibri"/>
          <w:iCs/>
          <w:sz w:val="24"/>
          <w:szCs w:val="24"/>
        </w:rPr>
        <w:t>23</w:t>
      </w:r>
      <w:r w:rsidRPr="007B370F">
        <w:rPr>
          <w:rFonts w:ascii="Calibri" w:hAnsi="Calibri" w:cs="Calibri"/>
          <w:iCs/>
          <w:sz w:val="24"/>
          <w:szCs w:val="24"/>
        </w:rPr>
        <w:t xml:space="preserve"> de </w:t>
      </w:r>
      <w:r>
        <w:rPr>
          <w:rFonts w:ascii="Calibri" w:hAnsi="Calibri" w:cs="Calibri"/>
          <w:iCs/>
          <w:sz w:val="24"/>
          <w:szCs w:val="24"/>
        </w:rPr>
        <w:t>fevereiro</w:t>
      </w:r>
      <w:r w:rsidRPr="007B370F">
        <w:rPr>
          <w:rFonts w:ascii="Calibri" w:hAnsi="Calibri" w:cs="Calibri"/>
          <w:iCs/>
          <w:sz w:val="24"/>
          <w:szCs w:val="24"/>
        </w:rPr>
        <w:t xml:space="preserve"> de 2024, pela </w:t>
      </w:r>
      <w:proofErr w:type="spellStart"/>
      <w:r w:rsidRPr="007B370F">
        <w:rPr>
          <w:rFonts w:ascii="Calibri" w:hAnsi="Calibri" w:cs="Calibri"/>
          <w:iCs/>
          <w:sz w:val="24"/>
          <w:szCs w:val="24"/>
        </w:rPr>
        <w:t>Omron</w:t>
      </w:r>
      <w:proofErr w:type="spellEnd"/>
      <w:r w:rsidRPr="007B370F">
        <w:rPr>
          <w:rFonts w:ascii="Calibri" w:hAnsi="Calibri" w:cs="Calibri"/>
          <w:iCs/>
          <w:sz w:val="24"/>
          <w:szCs w:val="24"/>
        </w:rPr>
        <w:t xml:space="preserve"> Healthcare Brasil Indústria </w:t>
      </w:r>
      <w:r>
        <w:rPr>
          <w:rFonts w:ascii="Calibri" w:hAnsi="Calibri" w:cs="Calibri"/>
          <w:iCs/>
          <w:sz w:val="24"/>
          <w:szCs w:val="24"/>
        </w:rPr>
        <w:t>e</w:t>
      </w:r>
      <w:r w:rsidRPr="007B370F">
        <w:rPr>
          <w:rFonts w:ascii="Calibri" w:hAnsi="Calibri" w:cs="Calibri"/>
          <w:iCs/>
          <w:sz w:val="24"/>
          <w:szCs w:val="24"/>
        </w:rPr>
        <w:t xml:space="preserve"> Comércio </w:t>
      </w:r>
      <w:r>
        <w:rPr>
          <w:rFonts w:ascii="Calibri" w:hAnsi="Calibri" w:cs="Calibri"/>
          <w:iCs/>
          <w:sz w:val="24"/>
          <w:szCs w:val="24"/>
        </w:rPr>
        <w:t>d</w:t>
      </w:r>
      <w:r w:rsidRPr="007B370F">
        <w:rPr>
          <w:rFonts w:ascii="Calibri" w:hAnsi="Calibri" w:cs="Calibri"/>
          <w:iCs/>
          <w:sz w:val="24"/>
          <w:szCs w:val="24"/>
        </w:rPr>
        <w:t xml:space="preserve">e Produtos Médicos Ltda. Ao longo da fase de instrução, que poderá durar de 10 a 18 meses, espera-se contar com a participação das partes interessadas, que poderão se habilitar nos autos dos </w:t>
      </w:r>
      <w:r w:rsidRPr="007B370F">
        <w:rPr>
          <w:rFonts w:ascii="Calibri" w:hAnsi="Calibri" w:cs="Calibri"/>
          <w:sz w:val="24"/>
          <w:szCs w:val="24"/>
        </w:rPr>
        <w:t>Processos SEI/MDIC nº 19972.000225/2024-82  (confidencial) e nº 19972.000226/2024-27 (restrito)</w:t>
      </w:r>
      <w:r w:rsidRPr="007B370F">
        <w:rPr>
          <w:rFonts w:ascii="Calibri" w:hAnsi="Calibri" w:cs="Calibri"/>
          <w:iCs/>
          <w:sz w:val="24"/>
          <w:szCs w:val="24"/>
        </w:rPr>
        <w:t xml:space="preserve">, por meio do Sistema Eletrônico de Informações - SEI </w:t>
      </w:r>
      <w:bookmarkStart w:id="1" w:name="_Hlk79071875"/>
      <w:r w:rsidRPr="007B370F">
        <w:rPr>
          <w:rFonts w:ascii="Calibri" w:hAnsi="Calibri" w:cs="Calibri"/>
          <w:sz w:val="24"/>
          <w:szCs w:val="24"/>
        </w:rPr>
        <w:t xml:space="preserve">disponível em </w:t>
      </w:r>
      <w:hyperlink r:id="rId4" w:history="1">
        <w:r w:rsidRPr="007B370F">
          <w:rPr>
            <w:rStyle w:val="Hyperlink"/>
            <w:rFonts w:ascii="Calibri" w:hAnsi="Calibri" w:cs="Calibri"/>
            <w:sz w:val="24"/>
            <w:szCs w:val="24"/>
          </w:rPr>
          <w:t>https://www.gov.br/economia/pt-br/acesso-a-informacao/sei/usuario-externo-1</w:t>
        </w:r>
      </w:hyperlink>
      <w:r w:rsidRPr="007B370F">
        <w:rPr>
          <w:rFonts w:ascii="Calibri" w:hAnsi="Calibri" w:cs="Calibri"/>
          <w:sz w:val="24"/>
          <w:szCs w:val="24"/>
        </w:rPr>
        <w:t xml:space="preserve"> .</w:t>
      </w:r>
      <w:bookmarkEnd w:id="1"/>
    </w:p>
    <w:p w14:paraId="7DBAE2E6" w14:textId="77777777" w:rsidR="007B370F" w:rsidRPr="007B370F" w:rsidRDefault="007B370F" w:rsidP="007B37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059F7E81" w14:textId="77777777" w:rsidR="007B370F" w:rsidRPr="007B370F" w:rsidRDefault="007B370F" w:rsidP="007B37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  <w:r w:rsidRPr="007B370F">
        <w:rPr>
          <w:rFonts w:ascii="Calibri" w:hAnsi="Calibri" w:cs="Calibri"/>
          <w:iCs/>
          <w:sz w:val="24"/>
          <w:szCs w:val="24"/>
        </w:rPr>
        <w:t>Ressalta-se que a condução de processo administrativo de investigação antidumping assegura a todas as partes envolvidas (produtores domésticos, exportadores e importadores do produto investigado e os governos dos países envolvidos) o direito à ampla defesa e ao contraditório, nos termos do Decreto 8.058/2013 e do Acordo Antidumping da OMC.</w:t>
      </w:r>
    </w:p>
    <w:p w14:paraId="08FA5E10" w14:textId="77777777" w:rsidR="00A32755" w:rsidRPr="007B370F" w:rsidRDefault="00A32755">
      <w:pPr>
        <w:rPr>
          <w:rFonts w:ascii="Calibri" w:hAnsi="Calibri" w:cs="Calibri"/>
          <w:sz w:val="24"/>
          <w:szCs w:val="24"/>
        </w:rPr>
      </w:pPr>
    </w:p>
    <w:sectPr w:rsidR="00A32755" w:rsidRPr="007B3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0F"/>
    <w:rsid w:val="00106EBB"/>
    <w:rsid w:val="001A4FC8"/>
    <w:rsid w:val="002A06B1"/>
    <w:rsid w:val="006E47EE"/>
    <w:rsid w:val="007B20FE"/>
    <w:rsid w:val="007B370F"/>
    <w:rsid w:val="00907F26"/>
    <w:rsid w:val="00A32755"/>
    <w:rsid w:val="00D955B0"/>
    <w:rsid w:val="00F6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1D98"/>
  <w15:chartTrackingRefBased/>
  <w15:docId w15:val="{DAE8A777-1AE4-4D40-8308-9E656126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0F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B37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37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37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37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37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37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37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37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37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3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3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3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37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37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37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37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37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37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99"/>
    <w:qFormat/>
    <w:rsid w:val="007B3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99"/>
    <w:rsid w:val="007B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37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B3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370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B37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370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B37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3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37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37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7B370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B37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economia/pt-br/acesso-a-informacao/sei/usuario-externo-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Adriano da Silva</dc:creator>
  <cp:keywords/>
  <dc:description/>
  <cp:lastModifiedBy>Carlos Adriano da Silva</cp:lastModifiedBy>
  <cp:revision>3</cp:revision>
  <dcterms:created xsi:type="dcterms:W3CDTF">2024-05-16T16:45:00Z</dcterms:created>
  <dcterms:modified xsi:type="dcterms:W3CDTF">2024-05-21T12:30:00Z</dcterms:modified>
</cp:coreProperties>
</file>