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3329" w14:textId="39AF0AD1" w:rsidR="0025213B" w:rsidRDefault="0268119B" w:rsidP="6D4EF39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5580C11E">
        <w:rPr>
          <w:rFonts w:ascii="Times New Roman" w:eastAsia="Times New Roman" w:hAnsi="Times New Roman"/>
          <w:b/>
          <w:bCs/>
          <w:sz w:val="24"/>
          <w:szCs w:val="24"/>
        </w:rPr>
        <w:t>MODEL</w:t>
      </w:r>
      <w:r w:rsidR="0025213B">
        <w:rPr>
          <w:rFonts w:ascii="Times New Roman" w:eastAsia="Times New Roman" w:hAnsi="Times New Roman"/>
          <w:b/>
          <w:bCs/>
          <w:sz w:val="24"/>
          <w:szCs w:val="24"/>
        </w:rPr>
        <w:t>O 1</w:t>
      </w:r>
    </w:p>
    <w:p w14:paraId="01ADFDCC" w14:textId="77777777" w:rsidR="0025213B" w:rsidRDefault="0025213B" w:rsidP="6D4EF39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795253" w14:textId="4E8956A1" w:rsidR="51ACF700" w:rsidRDefault="0025213B" w:rsidP="6D4EF39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PARECER TÉCNICO</w:t>
      </w:r>
    </w:p>
    <w:p w14:paraId="3E4E8946" w14:textId="2AA96575" w:rsidR="43AB8C8D" w:rsidRDefault="43AB8C8D" w:rsidP="43AB8C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5E3ED" w14:textId="1EF465CB" w:rsidR="0848ADD2" w:rsidRDefault="0848ADD2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</w:t>
      </w:r>
      <w:r w:rsidRPr="644F14B6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:</w:t>
      </w:r>
    </w:p>
    <w:p w14:paraId="56EDBCFF" w14:textId="7662CC12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Esta minuta deve ser utilizada pela </w:t>
      </w:r>
      <w:r w:rsidRPr="644F14B6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área técnica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da Instituição Científica, Tecnológica e de Inovação (ICT) como requisito para a instrução processual</w:t>
      </w:r>
      <w:r w:rsidR="00E41CBE"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previamente à celebração de acordos de parceria para PD&amp;I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A necessidade da elaboração d</w:t>
      </w:r>
      <w:r w:rsidR="558071B0"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e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parecer técnico encontra-se prevista no</w:t>
      </w:r>
      <w:r w:rsidR="0085290F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s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parágrafo</w:t>
      </w:r>
      <w:r w:rsidR="0085290F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s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42 e seguintes do </w:t>
      </w:r>
      <w:hyperlink r:id="rId11">
        <w:r w:rsidRPr="644F14B6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 exarado pela Câmara Permanente da Ciência, Tecnologia e Inovação (CP-CT&amp;I), da Procuradoria-Geral Federal (PGF),</w:t>
      </w:r>
      <w:r w:rsidR="0085290F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que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312451D0"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indica a exigência de</w:t>
      </w:r>
      <w:r w:rsidRPr="644F14B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manifestação expressa sobre o mérito da proposta, em decorrência do princípio da motivação. </w:t>
      </w:r>
    </w:p>
    <w:p w14:paraId="5E2B611E" w14:textId="77777777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</w:t>
      </w:r>
      <w:proofErr w:type="spellStart"/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arts</w:t>
      </w:r>
      <w:proofErr w:type="spellEnd"/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2º e 50, ambos da Lei nº 9.784, de 29 de janeiro de 1999. </w:t>
      </w:r>
    </w:p>
    <w:p w14:paraId="72AA735E" w14:textId="5ECD0E6A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>Alguns itens receberão notas explicativas destacadas para</w:t>
      </w:r>
      <w:r w:rsidR="697B687A"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compreensão do agente ou setor responsável pela elaboração das minutas, </w:t>
      </w: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644F14B6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9F0C34" w:rsidRPr="009F0C34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A37501D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A5CF6" w14:textId="77777777" w:rsidR="000566FE" w:rsidRPr="009F0C34" w:rsidRDefault="005765A9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Parecer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 Técnic</w:t>
      </w:r>
      <w:r w:rsidRPr="009F0C34">
        <w:rPr>
          <w:rFonts w:ascii="Times New Roman" w:hAnsi="Times New Roman"/>
          <w:b/>
          <w:bCs/>
          <w:sz w:val="24"/>
          <w:szCs w:val="24"/>
        </w:rPr>
        <w:t>o</w:t>
      </w:r>
    </w:p>
    <w:p w14:paraId="5DAB6C7B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5C7F6" w14:textId="77777777" w:rsidR="000566FE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DO OBJETO </w:t>
      </w:r>
    </w:p>
    <w:p w14:paraId="02EB378F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9529A" w14:textId="5298831E" w:rsidR="005765A9" w:rsidRPr="009F0C34" w:rsidRDefault="00823AC1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D4EF394">
        <w:rPr>
          <w:rFonts w:ascii="Times New Roman" w:hAnsi="Times New Roman"/>
          <w:sz w:val="24"/>
          <w:szCs w:val="24"/>
        </w:rPr>
        <w:t>Parecer</w:t>
      </w:r>
      <w:r w:rsidR="000566FE" w:rsidRPr="6D4EF394">
        <w:rPr>
          <w:rFonts w:ascii="Times New Roman" w:hAnsi="Times New Roman"/>
          <w:sz w:val="24"/>
          <w:szCs w:val="24"/>
        </w:rPr>
        <w:t xml:space="preserve"> técnic</w:t>
      </w:r>
      <w:r w:rsidRPr="6D4EF394">
        <w:rPr>
          <w:rFonts w:ascii="Times New Roman" w:hAnsi="Times New Roman"/>
          <w:sz w:val="24"/>
          <w:szCs w:val="24"/>
        </w:rPr>
        <w:t>o</w:t>
      </w:r>
      <w:r w:rsidR="000566FE" w:rsidRPr="6D4EF394">
        <w:rPr>
          <w:rFonts w:ascii="Times New Roman" w:hAnsi="Times New Roman"/>
          <w:sz w:val="24"/>
          <w:szCs w:val="24"/>
        </w:rPr>
        <w:t xml:space="preserve"> sobre adequação </w:t>
      </w:r>
      <w:r w:rsidR="00436BA5" w:rsidRPr="6D4EF394">
        <w:rPr>
          <w:rFonts w:ascii="Times New Roman" w:hAnsi="Times New Roman"/>
          <w:sz w:val="24"/>
          <w:szCs w:val="24"/>
        </w:rPr>
        <w:t xml:space="preserve">do acordo de parceria em pesquisa, desenvolvimento e inovação entre </w:t>
      </w:r>
      <w:r w:rsidR="00436BA5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X (indicar</w:t>
      </w:r>
      <w:r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a ICT</w:t>
      </w:r>
      <w:r w:rsidR="2E896A8F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pública</w:t>
      </w:r>
      <w:r w:rsidR="00436BA5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)</w:t>
      </w:r>
      <w:r w:rsidR="00436BA5" w:rsidRPr="6D4EF394">
        <w:rPr>
          <w:rFonts w:ascii="Times New Roman" w:hAnsi="Times New Roman"/>
          <w:sz w:val="24"/>
          <w:szCs w:val="24"/>
        </w:rPr>
        <w:t xml:space="preserve"> e os parceiros (</w:t>
      </w:r>
      <w:r w:rsidR="00436BA5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indicar</w:t>
      </w:r>
      <w:r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os parceiros</w:t>
      </w:r>
      <w:r w:rsidR="00436BA5" w:rsidRPr="6D4EF394">
        <w:rPr>
          <w:rFonts w:ascii="Times New Roman" w:hAnsi="Times New Roman"/>
          <w:sz w:val="24"/>
          <w:szCs w:val="24"/>
        </w:rPr>
        <w:t>)</w:t>
      </w:r>
      <w:r w:rsidRPr="6D4EF394">
        <w:rPr>
          <w:rFonts w:ascii="Times New Roman" w:hAnsi="Times New Roman"/>
          <w:sz w:val="24"/>
          <w:szCs w:val="24"/>
        </w:rPr>
        <w:t xml:space="preserve">, tendo como objeto </w:t>
      </w:r>
      <w:r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(indicar o objeto do acordo de parceria)</w:t>
      </w:r>
      <w:r w:rsidRPr="6D4EF394">
        <w:rPr>
          <w:rFonts w:ascii="Times New Roman" w:hAnsi="Times New Roman"/>
          <w:sz w:val="24"/>
          <w:szCs w:val="24"/>
        </w:rPr>
        <w:t>.</w:t>
      </w:r>
    </w:p>
    <w:p w14:paraId="6A05A809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4A62C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DA ANÁLISE </w:t>
      </w:r>
    </w:p>
    <w:p w14:paraId="5A39BBE3" w14:textId="77777777" w:rsidR="005765A9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0BE12" w14:textId="545C5DE9" w:rsidR="005662E3" w:rsidRPr="00630666" w:rsidRDefault="005662E3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="001B123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hyperlink r:id="rId12">
        <w:r w:rsidRPr="644F14B6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="001B123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indica que,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tanto a legislação de regência 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(Lei nº 10.973, de 2 de dezembro de 2004, Decreto nº 9.283, de 7 de fevereiro de 2018; Lei nº 8.958, de 20 de dezembro de 1994</w:t>
      </w:r>
      <w:r w:rsidR="00D8426C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7.423, de 31 de dezembro de 2010)</w:t>
      </w:r>
      <w:r w:rsidR="7A97921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Pr="644F14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>quanto os aspectos elencados no regramento interno da instituição pública, no que couber, deverão ser apreciados pela área técnica ao tempo da elaboração do parecer.</w:t>
      </w:r>
      <w:r w:rsidR="006306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666" w:rsidRPr="006306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Os exatos 11 (onze) itens abaixo constam do </w:t>
      </w:r>
      <w:r w:rsidR="00BC7A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</w:t>
      </w:r>
      <w:r w:rsidR="00630666" w:rsidRPr="006306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C7A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43 do mencionado parecer da CP-CT&amp;I</w:t>
      </w:r>
      <w:r w:rsidR="00645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="00464DC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A ICT deverá se manifestar conclusivamente em relação a cada um dos itens, de acordo com as especificidades e natureza do projeto a ser executado.</w:t>
      </w:r>
    </w:p>
    <w:p w14:paraId="22BF7172" w14:textId="77777777" w:rsidR="00630666" w:rsidRPr="00630666" w:rsidRDefault="00630666" w:rsidP="00630666">
      <w:pPr>
        <w:rPr>
          <w:lang w:eastAsia="pt-BR" w:bidi="hi-IN"/>
        </w:rPr>
      </w:pPr>
    </w:p>
    <w:p w14:paraId="72A3D3EC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2355D" w14:textId="40302730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5F9BC0A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5F9BC0A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E84E06">
        <w:rPr>
          <w:rFonts w:ascii="Times New Roman" w:hAnsi="Times New Roman"/>
          <w:b/>
          <w:bCs/>
          <w:sz w:val="24"/>
          <w:szCs w:val="24"/>
        </w:rPr>
        <w:t>M</w:t>
      </w:r>
      <w:r w:rsidR="000566FE" w:rsidRPr="65F9BC0A">
        <w:rPr>
          <w:rFonts w:ascii="Times New Roman" w:hAnsi="Times New Roman"/>
          <w:b/>
          <w:bCs/>
          <w:sz w:val="24"/>
          <w:szCs w:val="24"/>
        </w:rPr>
        <w:t>érito da proposta, incluindo o interesse (oportunidade e conveniência) da instituição pública para a celebração do instrumento; a consecução de finalidades de interesse público e a análise da adequação do objeto à ciência, tecnologia e inovação.</w:t>
      </w:r>
    </w:p>
    <w:p w14:paraId="209A4866" w14:textId="77777777" w:rsidR="001D041F" w:rsidRPr="009F0C34" w:rsidRDefault="001D041F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63FD3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>O objetivo</w:t>
      </w:r>
      <w:r>
        <w:rPr>
          <w:rFonts w:ascii="Times New Roman" w:hAnsi="Times New Roman"/>
          <w:color w:val="0000FF"/>
          <w:sz w:val="24"/>
          <w:szCs w:val="24"/>
        </w:rPr>
        <w:t xml:space="preserve"> da presente proposta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é </w:t>
      </w:r>
      <w:r>
        <w:rPr>
          <w:rFonts w:ascii="Times New Roman" w:hAnsi="Times New Roman"/>
          <w:color w:val="0000FF"/>
          <w:sz w:val="24"/>
          <w:szCs w:val="24"/>
        </w:rPr>
        <w:t>que seja formalizado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um acordo de parceria para a realização d</w:t>
      </w:r>
      <w:r>
        <w:rPr>
          <w:rFonts w:ascii="Times New Roman" w:hAnsi="Times New Roman"/>
          <w:color w:val="0000FF"/>
          <w:sz w:val="24"/>
          <w:szCs w:val="24"/>
        </w:rPr>
        <w:t>o seguinte projeto: X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(descrever o objeto do acordo de parceria).</w:t>
      </w:r>
    </w:p>
    <w:p w14:paraId="7FBB40E4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4DB55BDB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>Em relação a este objeto, deve-se registrar que</w:t>
      </w:r>
      <w:r>
        <w:rPr>
          <w:rFonts w:ascii="Times New Roman" w:hAnsi="Times New Roman"/>
          <w:color w:val="0000FF"/>
          <w:sz w:val="24"/>
          <w:szCs w:val="24"/>
        </w:rPr>
        <w:t xml:space="preserve"> X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(apresentar e detalhar justificativas técnicas sobre o objeto, </w:t>
      </w:r>
      <w:r>
        <w:rPr>
          <w:rFonts w:ascii="Times New Roman" w:hAnsi="Times New Roman"/>
          <w:color w:val="0000FF"/>
          <w:sz w:val="24"/>
          <w:szCs w:val="24"/>
        </w:rPr>
        <w:t>tratando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>d</w:t>
      </w:r>
      <w:r w:rsidRPr="00403820">
        <w:rPr>
          <w:rFonts w:ascii="Times New Roman" w:hAnsi="Times New Roman"/>
          <w:color w:val="0000FF"/>
          <w:sz w:val="24"/>
          <w:szCs w:val="24"/>
        </w:rPr>
        <w:t>a adequação à ciência, tecnologia e inovação</w:t>
      </w:r>
      <w:r>
        <w:rPr>
          <w:rFonts w:ascii="Times New Roman" w:hAnsi="Times New Roman"/>
          <w:color w:val="0000FF"/>
          <w:sz w:val="24"/>
          <w:szCs w:val="24"/>
        </w:rPr>
        <w:t xml:space="preserve"> e apresentando as razões pelas quais é conveniente e oportuno para a instituição pública</w:t>
      </w:r>
      <w:r w:rsidRPr="00403820">
        <w:rPr>
          <w:rFonts w:ascii="Times New Roman" w:hAnsi="Times New Roman"/>
          <w:color w:val="0000FF"/>
          <w:sz w:val="24"/>
          <w:szCs w:val="24"/>
        </w:rPr>
        <w:t>).</w:t>
      </w:r>
    </w:p>
    <w:p w14:paraId="4191CDE1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11940B1B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 xml:space="preserve">O propósito é conduzir atividades de pesquisa científica e tecnológica, bem como desenvolver tecnologia, produtos, serviços ou processos voltados para a inovação, na </w:t>
      </w:r>
      <w:r>
        <w:rPr>
          <w:rFonts w:ascii="Times New Roman" w:hAnsi="Times New Roman"/>
          <w:color w:val="0000FF"/>
          <w:sz w:val="24"/>
          <w:szCs w:val="24"/>
        </w:rPr>
        <w:t>seguinte área do conhecimento: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X </w:t>
      </w:r>
      <w:r w:rsidRPr="00403820">
        <w:rPr>
          <w:rFonts w:ascii="Times New Roman" w:hAnsi="Times New Roman"/>
          <w:color w:val="0000FF"/>
          <w:sz w:val="24"/>
          <w:szCs w:val="24"/>
        </w:rPr>
        <w:t>(informar a área da pesquisa científica e tecnológica).</w:t>
      </w:r>
    </w:p>
    <w:p w14:paraId="777AC087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3B390450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 xml:space="preserve">Portanto, é </w:t>
      </w:r>
      <w:r>
        <w:rPr>
          <w:rFonts w:ascii="Times New Roman" w:hAnsi="Times New Roman"/>
          <w:color w:val="0000FF"/>
          <w:sz w:val="24"/>
          <w:szCs w:val="24"/>
        </w:rPr>
        <w:t>patente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>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interesse</w:t>
      </w:r>
      <w:r>
        <w:rPr>
          <w:rFonts w:ascii="Times New Roman" w:hAnsi="Times New Roman"/>
          <w:color w:val="0000FF"/>
          <w:sz w:val="24"/>
          <w:szCs w:val="24"/>
        </w:rPr>
        <w:t xml:space="preserve"> público na realização do projeto</w:t>
      </w:r>
      <w:r w:rsidRPr="00403820">
        <w:rPr>
          <w:rFonts w:ascii="Times New Roman" w:hAnsi="Times New Roman"/>
          <w:color w:val="0000FF"/>
          <w:sz w:val="24"/>
          <w:szCs w:val="24"/>
        </w:rPr>
        <w:t>,</w:t>
      </w:r>
      <w:r>
        <w:rPr>
          <w:rFonts w:ascii="Times New Roman" w:hAnsi="Times New Roman"/>
          <w:color w:val="0000FF"/>
          <w:sz w:val="24"/>
          <w:szCs w:val="24"/>
        </w:rPr>
        <w:t xml:space="preserve"> restando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conveni</w:t>
      </w:r>
      <w:r>
        <w:rPr>
          <w:rFonts w:ascii="Times New Roman" w:hAnsi="Times New Roman"/>
          <w:color w:val="0000FF"/>
          <w:sz w:val="24"/>
          <w:szCs w:val="24"/>
        </w:rPr>
        <w:t>ente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e oportun</w:t>
      </w:r>
      <w:r>
        <w:rPr>
          <w:rFonts w:ascii="Times New Roman" w:hAnsi="Times New Roman"/>
          <w:color w:val="0000FF"/>
          <w:sz w:val="24"/>
          <w:szCs w:val="24"/>
        </w:rPr>
        <w:t>a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a celebração deste acordo.</w:t>
      </w:r>
    </w:p>
    <w:p w14:paraId="3656B9AB" w14:textId="77777777" w:rsidR="00F209EE" w:rsidRPr="009F0C34" w:rsidRDefault="00F209EE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0D4BE0" w14:textId="77777777" w:rsidR="005A51CA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="00464DC9">
        <w:rPr>
          <w:rFonts w:ascii="Times New Roman" w:hAnsi="Times New Roman"/>
          <w:b/>
          <w:bCs/>
          <w:sz w:val="24"/>
          <w:szCs w:val="24"/>
        </w:rPr>
        <w:t>V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iabilidade da execução do acordo, incluindo manifestação quanto a: </w:t>
      </w:r>
    </w:p>
    <w:p w14:paraId="6994EA22" w14:textId="77777777" w:rsidR="00456C26" w:rsidRDefault="00456C26" w:rsidP="005A51C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F1CA3D" w14:textId="4248453C" w:rsidR="005A51CA" w:rsidRDefault="000566FE" w:rsidP="005A51C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a) viabilidade técnica dos meios a serem utilizados na consecução dos objetivos propostos; capacidade operacional da Instituição Pública; </w:t>
      </w:r>
    </w:p>
    <w:p w14:paraId="0D2AC73B" w14:textId="522476E3" w:rsidR="005765A9" w:rsidRPr="009F0C34" w:rsidRDefault="000566FE" w:rsidP="005A51C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b) exequibilidade das metas, das etapas e das fases nos prazos propostos, além dos parâmetros a serem utilizados para a aferição do cumprimento das metas, considerados os riscos inerentes aos projetos de pesquisa, desenvolvimento e inovação. </w:t>
      </w:r>
    </w:p>
    <w:p w14:paraId="45FB0818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8F77B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 exame 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 plano de trabalho,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constata-se a presença de atividades e de metas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que se mostram apropriad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s para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atingir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 objetivo proposto, levando em conta os riscos associados ao desenvolvimento de projetos de inovação.</w:t>
      </w:r>
    </w:p>
    <w:p w14:paraId="021B01E1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123C032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 forma semelhante, as metas, etapas e prazos estabelecidos no plano de trabalho são viáveis, considerando os parâmetros para medir o cumprimento das metas e os riscos inerentes.</w:t>
      </w:r>
    </w:p>
    <w:p w14:paraId="3391257E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2582FC2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Adicionalmente, a experiência da instituição pública responsável pela execução do projeto atende aos requisitos de capacidade operacional necessários,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que se vê pelo histórico de execução de projetos e pela experiência dos agentes envolvidos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</w:p>
    <w:p w14:paraId="6C2D0F46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7AFDC8E" w14:textId="77777777" w:rsidR="00F232B5" w:rsidRPr="009F0C34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Dessa forma, está demonstrada a capacidade operacional da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nome da ICT pública).</w:t>
      </w:r>
    </w:p>
    <w:p w14:paraId="4B99056E" w14:textId="77777777" w:rsidR="00F20E21" w:rsidRPr="009F0C34" w:rsidRDefault="00F20E21" w:rsidP="00F20E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5BB93C" w14:textId="6EF84540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ventual condicionante econômica, financeira ou relacionada a recursos humanos para a viabilidade da execução do objeto do acordo de parceria</w:t>
      </w:r>
      <w:r w:rsidR="000566FE" w:rsidRPr="009F0C34">
        <w:rPr>
          <w:rFonts w:ascii="Times New Roman" w:hAnsi="Times New Roman"/>
          <w:sz w:val="24"/>
          <w:szCs w:val="24"/>
        </w:rPr>
        <w:t xml:space="preserve">. </w:t>
      </w:r>
    </w:p>
    <w:p w14:paraId="1299C43A" w14:textId="77777777" w:rsidR="004F3A8E" w:rsidRDefault="004F3A8E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B22A9" w14:textId="77777777" w:rsidR="005325E3" w:rsidRPr="00403820" w:rsidRDefault="005325E3" w:rsidP="005325E3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Para assegurar a viabilidade da execução do objeto do acordo de parceria, o plano de trabalho apresentado aborda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(manifesta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r-se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sobre possíveis condicionantes econômicos, financeiros ou relacionados 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necessários para a execução do objeto do acordo).</w:t>
      </w:r>
    </w:p>
    <w:p w14:paraId="495D6F55" w14:textId="77777777" w:rsidR="005325E3" w:rsidRPr="00403820" w:rsidRDefault="005325E3" w:rsidP="005325E3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084E3BA" w14:textId="77777777" w:rsidR="005325E3" w:rsidRPr="009F0C34" w:rsidRDefault="005325E3" w:rsidP="005325E3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Assim, conclui-se que não há impedimentos relativos a este aspecto.</w:t>
      </w:r>
    </w:p>
    <w:p w14:paraId="09A27426" w14:textId="77777777" w:rsidR="005A51CA" w:rsidRPr="009F0C34" w:rsidRDefault="005A51C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DBACF" w14:textId="304F21E9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disponibilização pela </w:t>
      </w:r>
      <w:r w:rsidR="552CD3A1" w:rsidRPr="6D4EF394">
        <w:rPr>
          <w:rFonts w:ascii="Times New Roman" w:hAnsi="Times New Roman"/>
          <w:b/>
          <w:bCs/>
          <w:sz w:val="24"/>
          <w:szCs w:val="24"/>
        </w:rPr>
        <w:t>ICT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 pública de capital intelectual, serviços, equipamentos, materiais, propriedade intelectual, laboratórios, infraestrutura, entre outros. </w:t>
      </w:r>
    </w:p>
    <w:p w14:paraId="0FB78278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6C9F2" w14:textId="77777777" w:rsidR="005750EB" w:rsidRDefault="005750EB" w:rsidP="005750E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 respeito da disponibilização, pela(o) X (incluir o nome da ICT), de capital intelectual e de bens e serviços, registra-se que serão necessários X (detalhar quais os bens, serviços e qual será o capital intelectual, incluindo propriedade intelectual</w:t>
      </w: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 pessoal).</w:t>
      </w:r>
    </w:p>
    <w:p w14:paraId="0ADE1678" w14:textId="77777777" w:rsidR="005750EB" w:rsidRDefault="005750EB" w:rsidP="005750E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0510AD00" w14:textId="77777777" w:rsidR="005750EB" w:rsidRPr="009F0C34" w:rsidRDefault="005750EB" w:rsidP="005750E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Ademais, a ICT será devidamente ressarcida pela disponibilização de referidos ativos, conforme previsto no plano de trabalho X (identificar qual o item do plano de trabalho).</w:t>
      </w:r>
    </w:p>
    <w:p w14:paraId="5D3CEB16" w14:textId="77777777" w:rsidR="005A51CA" w:rsidRDefault="005A51CA" w:rsidP="005A51CA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738A65A" w14:textId="5B6B1390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participação de recursos humanos integrantes da </w:t>
      </w:r>
      <w:r w:rsidR="301FA24C" w:rsidRPr="6D4EF394">
        <w:rPr>
          <w:rFonts w:ascii="Times New Roman" w:hAnsi="Times New Roman"/>
          <w:b/>
          <w:bCs/>
          <w:sz w:val="24"/>
          <w:szCs w:val="24"/>
        </w:rPr>
        <w:t>ICT</w:t>
      </w:r>
      <w:r w:rsidR="65148EFE" w:rsidRPr="6D4EF394">
        <w:rPr>
          <w:rFonts w:ascii="Times New Roman" w:hAnsi="Times New Roman"/>
          <w:b/>
          <w:bCs/>
          <w:sz w:val="24"/>
          <w:szCs w:val="24"/>
        </w:rPr>
        <w:t xml:space="preserve"> pública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 para a realização das atividades conjuntas de pesquisa, desenvolvimento e inovação, inclusive para as atividades de apoio e de suporte. </w:t>
      </w:r>
    </w:p>
    <w:p w14:paraId="34CE0A41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17CD6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plano de trabalho apresentado contempla a participação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(informar nome da ICT pública) nas atividades conjuntas de pesquisa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científica e tecnológica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 O projeto será conduzido por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: X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os nomes dos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responsáveis pela execução do projeto, como coordenadores,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demais pesquisadores, técnicos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discentes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).</w:t>
      </w:r>
    </w:p>
    <w:p w14:paraId="0C3EF4D0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6428595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Conforme descrito no plano de trabalho,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esses membros da ICT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possuem o conhecimento e 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experiência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necessários para garantir a viabilidade da execução do objeto do acordo de parceria.</w:t>
      </w:r>
    </w:p>
    <w:p w14:paraId="210BA3E9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69BE202" w14:textId="77777777" w:rsidR="00554A45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pessoal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(informar nome da ICT pública), designado para as atividades,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está especificado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 item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 item) do plano de trabalho 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foi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autorizado a participar do projeto, conforme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o documento que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autoriza a participação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das pessoas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mencionad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 no plano de trabalho).</w:t>
      </w:r>
    </w:p>
    <w:p w14:paraId="34EB5F05" w14:textId="51F214F5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envolvimento de recursos humanos não-integrantes da </w:t>
      </w:r>
      <w:r w:rsidR="4BCB5E86" w:rsidRPr="6D4EF394">
        <w:rPr>
          <w:rFonts w:ascii="Times New Roman" w:hAnsi="Times New Roman"/>
          <w:b/>
          <w:bCs/>
          <w:sz w:val="24"/>
          <w:szCs w:val="24"/>
        </w:rPr>
        <w:t xml:space="preserve">ICT 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>pública.</w:t>
      </w:r>
    </w:p>
    <w:p w14:paraId="5997CC1D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E81E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Para a viabilidade da execução do objeto do acordo de parceria, não há a necessidade de envolvimento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não-integrante </w:t>
      </w:r>
      <w:r w:rsidRPr="00AF62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do(a) X </w:t>
      </w:r>
      <w:r w:rsidRPr="009F0C34">
        <w:rPr>
          <w:rFonts w:ascii="Times New Roman" w:hAnsi="Times New Roman"/>
          <w:sz w:val="24"/>
          <w:szCs w:val="24"/>
        </w:rPr>
        <w:t>(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informar nome da ICT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pública</w:t>
      </w:r>
      <w:r w:rsidRPr="009F0C34">
        <w:rPr>
          <w:rFonts w:ascii="Times New Roman" w:hAnsi="Times New Roman"/>
          <w:sz w:val="24"/>
          <w:szCs w:val="24"/>
        </w:rPr>
        <w:t>).</w:t>
      </w:r>
    </w:p>
    <w:p w14:paraId="0A1A89F6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72B6BA6" w14:textId="77777777" w:rsidR="00D02E8B" w:rsidRPr="00C016FE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</w:pPr>
      <w:r w:rsidRPr="00C016FE"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  <w:t>ou</w:t>
      </w:r>
    </w:p>
    <w:p w14:paraId="17CD8B82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436DC9A7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Para a viabilidade da execução do objeto do acordo de parceria, existe a necessidade de envolvimento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não-integrante </w:t>
      </w:r>
      <w:r w:rsidRPr="00AF62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do(a) X </w:t>
      </w:r>
      <w:r w:rsidRPr="009F0C34">
        <w:rPr>
          <w:rFonts w:ascii="Times New Roman" w:hAnsi="Times New Roman"/>
          <w:sz w:val="24"/>
          <w:szCs w:val="24"/>
        </w:rPr>
        <w:t>(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informar nome da ICT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pública</w:t>
      </w:r>
      <w:r w:rsidRPr="009F0C34">
        <w:rPr>
          <w:rFonts w:ascii="Times New Roman" w:hAnsi="Times New Roman"/>
          <w:sz w:val="24"/>
          <w:szCs w:val="24"/>
        </w:rPr>
        <w:t>).</w:t>
      </w:r>
    </w:p>
    <w:p w14:paraId="65DDD3D2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41C6C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Nesse sentido, conforme previsto no item X (indicar o item) do plano de trabalho, o projeto também será desenvolvido por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: X</w:t>
      </w: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e detalhar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pessoal</w:t>
      </w: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não-integrante da ICT pública). </w:t>
      </w:r>
    </w:p>
    <w:p w14:paraId="40931BBF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69C5749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Observa-se que pessoas externas à instituição pública poderão participar do projeto mediante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</w:t>
      </w: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a modalidade de contratação – CLT ou outra</w:t>
      </w: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) pela fundação de apoio, conforme estipulado no plano de trabalho (caso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pessoal </w:t>
      </w: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externo seja contratado pela fundação de apoio).</w:t>
      </w:r>
    </w:p>
    <w:p w14:paraId="47486781" w14:textId="77777777" w:rsidR="005A51CA" w:rsidRDefault="005A51CA" w:rsidP="005A51CA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7F39E27" w14:textId="77777777" w:rsidR="005B36BB" w:rsidRPr="009F0C34" w:rsidRDefault="005B36BB" w:rsidP="005B36BB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Também haverá a participação de pesquisadores externos mediante o recebimento de bolsas de estímulo à inovação por meio de fundação de apoio (art. 21-A c/c art. 9º, §1º, da Lei nº 10.973, de 2004), não pertencentes aos quadros da ICT pública (identificar se o pesquisador externo não possui vínculo com a ICT pública OU/E que possui vínculo com outra ICT pública e que não figurou como partícipe do projeto, devendo o texto ser adaptado, conforme o caso). Assim, a participação dos referidos pesquisadores externos se encontra regular, mediante o atendimento dos seguintes requisitos, a saber:</w:t>
      </w:r>
    </w:p>
    <w:p w14:paraId="08073EAC" w14:textId="77777777" w:rsidR="005B36BB" w:rsidRPr="009F0C34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Há necessidade de participação de pesquisador especialista sem vínculo com a ICT pública, tendo em vista que a instituição não dispõe de pessoal vinculado que atenda às necessidades do projeto;</w:t>
      </w:r>
    </w:p>
    <w:p w14:paraId="18FC13AB" w14:textId="77777777" w:rsidR="005B36BB" w:rsidRPr="009F0C34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O pesquisador externo não possui relação trabalhista com a parceira privada do acordo de parceria;</w:t>
      </w:r>
    </w:p>
    <w:p w14:paraId="198B5007" w14:textId="77777777" w:rsidR="005B36BB" w:rsidRPr="009F0C34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A atividade a ser executada no projeto pelo pesquisador externo é exclusivamente de pesquisa, desenvolvimento e inovação, não importando em contraprestação de serviços. Para tanto, encontra-se anexa a declaração, firmada pela coordenação do projeto, na qual há a descrição das atribuições do pesquisador externo no plano de trabalho e atestando que seriam atividades de pesquisa, desenvolvimento e inovação, não importando em contraprestação de serviços;</w:t>
      </w:r>
    </w:p>
    <w:p w14:paraId="24082802" w14:textId="52CA55A0" w:rsidR="005B36BB" w:rsidRPr="005B36BB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3015F1AC">
        <w:rPr>
          <w:rFonts w:ascii="Times New Roman" w:eastAsia="Times New Roman" w:hAnsi="Times New Roman"/>
          <w:color w:val="0000FF"/>
          <w:sz w:val="24"/>
          <w:szCs w:val="24"/>
        </w:rPr>
        <w:t>Foi realizado (ou será realizado) prévio processo seletivo para a escolha do pesquisador externo, conforme previsão no plano de trabalho.</w:t>
      </w:r>
    </w:p>
    <w:p w14:paraId="02D53174" w14:textId="77777777" w:rsidR="005A51CA" w:rsidRDefault="005A51CA" w:rsidP="005A51CA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CB2B811" w14:textId="42E3192A" w:rsidR="7403F79A" w:rsidRDefault="7403F79A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 1: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caso o pesquisador externo seja servidor de outra ICT pública, recomenda-se que a ICT respectiva seja inserida como partícipe do ajuste. A referida hipótese pode ser excepcionada caso comprovado nos autos que as atividades de pesquisa, desenvolvimento e inovação serão por ele realizadas sem utilização da infraestrutura física e de pessoal de sua ICT de origem e que o seu regime de trabalho permite essa atividade extra e sem prejuízo de suas atribuições funcionais regulares, mediante a comprovação das aprovações internas, caso necessárias, nos termos do estatuto que rege a sua carreira e das normas internas institucionais.</w:t>
      </w:r>
    </w:p>
    <w:p w14:paraId="5826E349" w14:textId="17B02AE3" w:rsidR="65F9BC0A" w:rsidRDefault="65F9BC0A" w:rsidP="65F9BC0A"/>
    <w:p w14:paraId="4CF8BE90" w14:textId="615B4068" w:rsidR="005765A9" w:rsidRPr="009F0C34" w:rsidRDefault="3515C2CD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 </w:t>
      </w:r>
      <w:r w:rsidR="1B426F85"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tendo em vista a possibilidade de vários pesquisadores externos possuírem qualificação adequada para executarem atividades de pesquisa, desenvolvimento e inovação nos projetos de acordo de parceria para PD&amp;I, e em franca aplicação dos princípios da impessoalidade e da isonomia (art. 37, caput, CF/88), é recomendável a realização de </w:t>
      </w:r>
      <w:r w:rsidRPr="644F14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prévio processo seletivo</w:t>
      </w:r>
      <w:r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para a escolha do pesquisador externo, o que deverá ser comprovado nos autos. Caso o pesquisador externo indicado no plano de trabalho tenha qualificações específicas e notoriedade na área de pesquisa, desenvolvimento e inovação aptas a justificar a sua escolha e dispensar o prévio processo seletivo, a referida singularidade deve ser devidamente explicitada e justificada no Plano de Trabalho adjacente ao acordo de parceria)</w:t>
      </w:r>
      <w:r w:rsidR="29FC0CA0"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79A6B325" w14:textId="4316395C" w:rsidR="005765A9" w:rsidRPr="009F0C34" w:rsidRDefault="005765A9" w:rsidP="6D4EF394"/>
    <w:p w14:paraId="08CE6F91" w14:textId="014EB936" w:rsidR="005765A9" w:rsidRPr="009F0C34" w:rsidRDefault="005765A9" w:rsidP="6D4EF394"/>
    <w:p w14:paraId="3AB6E9BB" w14:textId="5E71DF37" w:rsidR="005765A9" w:rsidRPr="009F0C34" w:rsidRDefault="005765A9" w:rsidP="6D4EF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12B99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concessão de bolsa de estímulo à inovação. </w:t>
      </w:r>
    </w:p>
    <w:p w14:paraId="61CDCEAD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A00B1" w14:textId="77777777" w:rsidR="00BE567C" w:rsidRPr="00D8426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Para a viabilidade da execução do objeto do acordo de parceria, não há a necessidade de concessão de bolsa de estímulo à inovação.</w:t>
      </w:r>
    </w:p>
    <w:p w14:paraId="49C97FD6" w14:textId="77777777" w:rsidR="00BE567C" w:rsidRPr="00D8426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23A0032" w14:textId="77777777" w:rsidR="00BE567C" w:rsidRPr="00C016FE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</w:pPr>
      <w:r w:rsidRPr="00C016FE"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  <w:t>ou</w:t>
      </w:r>
    </w:p>
    <w:p w14:paraId="162654A2" w14:textId="77777777" w:rsidR="00BE567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78995DB" w14:textId="77777777" w:rsidR="00BE567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Para garantir a execução do objeto do acordo de parceria, será necessário conceder bolsas de estímulo à inovação.</w:t>
      </w:r>
    </w:p>
    <w:p w14:paraId="5446C594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3A16A27F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Os membros da equipe do projeto perceberão bolsas a serem paga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com recursos financeiros provenientes do(a)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 parceiro que aportará os recursos financeiros para o pagamento das bolsas), conforme facultam a Lei nº 8.958, de 1994, os Decretos </w:t>
      </w:r>
      <w:proofErr w:type="spellStart"/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nºs</w:t>
      </w:r>
      <w:proofErr w:type="spellEnd"/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7.423, de 2010, e 9.283, de 2018, e os artigos 9º, § 1º e 4º, e 21-A, todos da Lei nº 10.973, de 2004.</w:t>
      </w:r>
    </w:p>
    <w:p w14:paraId="1164B2EA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5F306724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Portanto, a concessão de bolsas para o presente projeto, conforme o plano de trabalho estabelecido, está em conformidade com a legislação vigente.</w:t>
      </w:r>
    </w:p>
    <w:p w14:paraId="5043CB0F" w14:textId="77777777" w:rsidR="00AF62CF" w:rsidRDefault="00AF62CF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42F1276" w14:textId="77777777" w:rsidR="00AF62CF" w:rsidRDefault="00AF62CF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 artigo 9º, § 1º, da Lei nº 10.973, de 2004, e o artigo 35, § 1º, IV, e § 4º, do Decreto nº 9.283, de 2018, são categóricos ao estabelecer que, nos acordos de parceria, os servidores e os estudantes envolvidos nas respectivas atividades poderão receber bolsa diretamente da ICT a que estiverem vinculados, de fundação de apoio ou de agência de fomento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Desse modo, não é possível o pagamento direto de bolsa pelos parceiros privados (a não ser de estágio), em razão da limitação contida nos </w:t>
      </w:r>
      <w:proofErr w:type="spellStart"/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retrocitados</w:t>
      </w:r>
      <w:proofErr w:type="spellEnd"/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dispositivos da Lei nº 10.973, de 2004, e do Decreto que a regulamenta.</w:t>
      </w:r>
    </w:p>
    <w:p w14:paraId="07459315" w14:textId="77777777" w:rsidR="00AF62CF" w:rsidRDefault="00AF62CF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126F05F" w14:textId="1293D2A1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F12B99">
        <w:rPr>
          <w:rFonts w:ascii="Times New Roman" w:hAnsi="Times New Roman"/>
          <w:b/>
          <w:bCs/>
          <w:sz w:val="24"/>
          <w:szCs w:val="24"/>
        </w:rPr>
        <w:t>P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revisão de transferência de recursos financeiros para a instituição pública</w:t>
      </w:r>
      <w:r w:rsidR="000566FE" w:rsidRPr="009F0C34">
        <w:rPr>
          <w:rFonts w:ascii="Times New Roman" w:hAnsi="Times New Roman"/>
          <w:sz w:val="24"/>
          <w:szCs w:val="24"/>
        </w:rPr>
        <w:t xml:space="preserve">. </w:t>
      </w:r>
    </w:p>
    <w:p w14:paraId="6537F28F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D25A9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Está prevista a transferência de recursos financeiros para o(a) X (informar o nome da ICT pública), conforme especificado no item X do plano de trabalho e na cláusula X do acordo de parceria a ser celebrado. O repasse se dará por meio de fundação de apoio, que manterá, como exige a legislação, conta específica para o projeto (havendo a participação de fundação de apoio).</w:t>
      </w:r>
    </w:p>
    <w:p w14:paraId="58FABA7B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5D0E4B7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Os recursos financeiros a serem utilizados são os detalhados a seguir: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os valores dos recursos financeiros e os parceiros responsáveis pela transferência).</w:t>
      </w:r>
    </w:p>
    <w:p w14:paraId="59E306C3" w14:textId="77777777" w:rsidR="004031AB" w:rsidRDefault="004031AB" w:rsidP="004031AB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75874F36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Além disso, está prevista a alocação de recursos financeiros para o ressarcimento do(a) X (informar o nome da ICT pública) pelo uso de seus bens e serviços, conforme descrito no item X do plano de trabalho e na cláusula X do acordo de parceria a ser firmado.</w:t>
      </w:r>
    </w:p>
    <w:p w14:paraId="70DF9E56" w14:textId="77777777" w:rsidR="00A2371D" w:rsidRDefault="00A2371D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9F93D" w14:textId="77777777" w:rsidR="00A2371D" w:rsidRDefault="00A2371D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ressarcimento pelo uso da infraestrutura das IFES e demais </w:t>
      </w:r>
      <w:proofErr w:type="spellStart"/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ICTs</w:t>
      </w:r>
      <w:proofErr w:type="spellEnd"/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no âmbito de projetos apoiados por fundações de apoio tem previsão legal no art. 6º da Lei nº 8.958, de 20 de dezembro de 1994. 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Da análise do citado artigo, chega-se à conclusão segundo a qual, nos projetos de pesquisa, desenvolvimento e inovação, existem três cenários possíveis quanto ao ressarcimento pelo uso da infraestrutura: </w:t>
      </w:r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i)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 estabelecimento de previsão do ressarcimento no âmbito do projeto (art. 6º, </w:t>
      </w:r>
      <w:r w:rsidR="001C46E1" w:rsidRPr="644F14B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caput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); </w:t>
      </w:r>
      <w:proofErr w:type="spellStart"/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ii</w:t>
      </w:r>
      <w:proofErr w:type="spellEnd"/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contabilização do equivalente ao que seria o ressarcimento como contrapartida da instituição ao projeto, com a repercussão disso sobre a propriedade intelectual e os respectivos ganhos econômicos (§ 1º); ou </w:t>
      </w:r>
      <w:proofErr w:type="spellStart"/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iii</w:t>
      </w:r>
      <w:proofErr w:type="spellEnd"/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dispensa do ressarcimento, após justificativa circunstanciada no âmbito do projeto, a ser aprovada pelo Conselho Superior das IFES ou pelo órgão respectivo e competente no âmbito das demais </w:t>
      </w:r>
      <w:proofErr w:type="spellStart"/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ICTs</w:t>
      </w:r>
      <w:proofErr w:type="spellEnd"/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(§ 2º).</w:t>
      </w:r>
    </w:p>
    <w:p w14:paraId="44E871BC" w14:textId="77777777" w:rsidR="00A2371D" w:rsidRPr="009F0C34" w:rsidRDefault="00A2371D" w:rsidP="00A23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A5D23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B325B" w14:textId="60C2023C" w:rsidR="000566FE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7A1D82">
        <w:rPr>
          <w:rFonts w:ascii="Times New Roman" w:hAnsi="Times New Roman"/>
          <w:b/>
          <w:bCs/>
          <w:sz w:val="24"/>
          <w:szCs w:val="24"/>
        </w:rPr>
        <w:t>C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ompatibilidade do cronograma de desembolso previsto no plano de trabalho com os prazos previstos para a execução do objeto.</w:t>
      </w:r>
    </w:p>
    <w:p w14:paraId="738610EB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BB695" w14:textId="77777777" w:rsidR="001326B1" w:rsidRPr="009F0C34" w:rsidRDefault="001326B1" w:rsidP="001326B1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cronograma de desembolso estabelecido no plano de trabalho está alinhado com os prazos estabelecidos para a execução do objeto, bem como com a necessidade de despesas relacionadas à contratação de equipe e outras possíveis despesas. </w:t>
      </w:r>
    </w:p>
    <w:p w14:paraId="637805D2" w14:textId="77777777" w:rsidR="005765A9" w:rsidRPr="009F0C34" w:rsidRDefault="005765A9" w:rsidP="6D4EF39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AF3CFF7" w14:textId="05BBFB98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7A1D82">
        <w:rPr>
          <w:rFonts w:ascii="Times New Roman" w:hAnsi="Times New Roman"/>
          <w:b/>
          <w:bCs/>
          <w:sz w:val="24"/>
          <w:szCs w:val="24"/>
        </w:rPr>
        <w:t>D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escrição das atividades conjuntas a serem executadas com vistas ao atingimento dos resultados pretendidos.</w:t>
      </w:r>
    </w:p>
    <w:p w14:paraId="463F29E8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7EF4F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As atividades conjuntas de pesquisa científica e tecnológica, com vistas ao desenvolvimento de produto, serviço ou processo, restam devidamente descritas no plano de trabalho, e são suficientes ao atingimento dos objetivos colimados.</w:t>
      </w:r>
    </w:p>
    <w:p w14:paraId="21A49BAB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42F4AD3D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Nesse sentido, as atividades a serem desenvolvidas pelo parceiro são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(detalhar as atividades) e objetivam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os objetivos específicos relacionados).</w:t>
      </w:r>
    </w:p>
    <w:p w14:paraId="3FA6C6E4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7C28E879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Já as atividades da ICT pública são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(detalhas as atividades) e visam à obtenção dos seguintes resultados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: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(detalhar os resultados). </w:t>
      </w:r>
    </w:p>
    <w:p w14:paraId="3A0FF5F2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3F4AF" w14:textId="6924A304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7A1D82">
        <w:rPr>
          <w:rFonts w:ascii="Times New Roman" w:hAnsi="Times New Roman"/>
          <w:b/>
          <w:bCs/>
          <w:sz w:val="24"/>
          <w:szCs w:val="24"/>
        </w:rPr>
        <w:t>A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doção do procedimento de monitoramento e avaliação e de prestação de contas</w:t>
      </w:r>
      <w:r w:rsidR="000566FE" w:rsidRPr="009F0C34">
        <w:rPr>
          <w:rFonts w:ascii="Times New Roman" w:hAnsi="Times New Roman"/>
          <w:sz w:val="24"/>
          <w:szCs w:val="24"/>
        </w:rPr>
        <w:t>.</w:t>
      </w:r>
    </w:p>
    <w:p w14:paraId="5630AD66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40500" w14:textId="77777777" w:rsidR="003E0B49" w:rsidRDefault="003E0B49" w:rsidP="003E0B4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procedimento para monitoramento, avaliação e prestação de contas está detalhado no item X do plano de trabalho e na cláusula X da minuta do acordo de parceria.</w:t>
      </w:r>
    </w:p>
    <w:p w14:paraId="61829076" w14:textId="77777777" w:rsidR="005765A9" w:rsidRPr="009F0C34" w:rsidRDefault="005765A9" w:rsidP="6D4EF39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78B07F3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CONCLUSÃO </w:t>
      </w:r>
    </w:p>
    <w:p w14:paraId="2BA226A1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871A4" w14:textId="77777777" w:rsidR="00F524AE" w:rsidRDefault="00F524AE" w:rsidP="00F524AE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Após a análise da proposta de acordo de parceria entre a(o) X (indicar a ICT pública) e os parceiros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os parceiros), com o objet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ivo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de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 objet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do acordo de parceria), e do plano de trabalho, conclui-se que ela cumpre todos os requisitos necessários para sua celebração.</w:t>
      </w:r>
    </w:p>
    <w:p w14:paraId="308C776C" w14:textId="77777777" w:rsidR="00F524AE" w:rsidRDefault="00F524AE" w:rsidP="00F524AE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17CE401B" w14:textId="77777777" w:rsidR="00F524AE" w:rsidRDefault="00F524AE" w:rsidP="00F524AE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Dessa forma, considera-se conveniente e oportuna a formalização do acordo de parceria.</w:t>
      </w:r>
    </w:p>
    <w:p w14:paraId="6332E64F" w14:textId="77777777" w:rsidR="00A752D6" w:rsidRDefault="00A752D6" w:rsidP="6D4EF39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EFB0ED1" w14:textId="77777777" w:rsidR="00C016FE" w:rsidRPr="004F048C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dia de mês de ano. </w:t>
      </w:r>
    </w:p>
    <w:p w14:paraId="66204FF1" w14:textId="77777777" w:rsidR="00C016FE" w:rsidRPr="004F048C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</w:rPr>
      </w:pPr>
    </w:p>
    <w:p w14:paraId="2DBF0D7D" w14:textId="77777777" w:rsidR="00C016FE" w:rsidRPr="004F048C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4C08C03B" w14:textId="77777777" w:rsidR="00C016FE" w:rsidRPr="004F048C" w:rsidRDefault="00C016FE" w:rsidP="00C016FE">
      <w:pPr>
        <w:jc w:val="center"/>
        <w:rPr>
          <w:rFonts w:ascii="Times New Roman" w:hAnsi="Times New Roman"/>
          <w:sz w:val="24"/>
          <w:szCs w:val="24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 xml:space="preserve">Pelo(a) </w:t>
      </w:r>
      <w:r w:rsidRPr="004F048C">
        <w:rPr>
          <w:rFonts w:ascii="Times New Roman" w:hAnsi="Times New Roman"/>
          <w:b/>
          <w:bCs/>
          <w:color w:val="0000FF"/>
          <w:sz w:val="24"/>
          <w:szCs w:val="24"/>
        </w:rPr>
        <w:t>ICT</w:t>
      </w:r>
      <w:r w:rsidRPr="004F048C">
        <w:rPr>
          <w:rFonts w:ascii="Times New Roman" w:hAnsi="Times New Roman"/>
          <w:b/>
          <w:bCs/>
          <w:sz w:val="24"/>
          <w:szCs w:val="24"/>
        </w:rPr>
        <w:t>:</w:t>
      </w:r>
    </w:p>
    <w:p w14:paraId="5797B554" w14:textId="77777777" w:rsidR="00C016FE" w:rsidRPr="004F048C" w:rsidRDefault="00C016FE" w:rsidP="00C016FE">
      <w:pPr>
        <w:jc w:val="center"/>
        <w:rPr>
          <w:rFonts w:ascii="Times New Roman" w:hAnsi="Times New Roman"/>
          <w:sz w:val="24"/>
          <w:szCs w:val="24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 xml:space="preserve">Nome do responsável pela área técnica </w:t>
      </w:r>
    </w:p>
    <w:p w14:paraId="2A376584" w14:textId="77777777" w:rsidR="00C016FE" w:rsidRPr="004F048C" w:rsidRDefault="00C016FE" w:rsidP="00C016FE">
      <w:pPr>
        <w:jc w:val="center"/>
        <w:rPr>
          <w:rFonts w:ascii="Times New Roman" w:hAnsi="Times New Roman"/>
          <w:sz w:val="24"/>
          <w:szCs w:val="24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>cargo</w:t>
      </w:r>
    </w:p>
    <w:p w14:paraId="6B62F1B3" w14:textId="77777777" w:rsidR="00E1567F" w:rsidRPr="009F0C34" w:rsidRDefault="00E1567F" w:rsidP="00576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F2C34E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0A20E" w14:textId="77777777" w:rsidR="0055707F" w:rsidRDefault="0055707F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>Em obediência ao artigo 50, inciso VII, da Lei nº 9.784, de 1999, eventuais ressalvas apontadas no parecer técnico devem ser previamente saneadas pela autoridade competente ou, sendo o caso, apresentadas as devidas justificativas técnicas para sua manutenção ou exclusão total ou parcial. Incumbe à autoridade competente para celebrar o acordo de parceria manifestar-se conclusivamente acerca da análise contida no parecer técnico que subsidiará a sua decisão, aprovando-o ou motivando eventual discrepância.</w:t>
      </w:r>
    </w:p>
    <w:p w14:paraId="19219836" w14:textId="77777777" w:rsidR="0055707F" w:rsidRDefault="0055707F" w:rsidP="00E1567F">
      <w:pPr>
        <w:spacing w:after="48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96FEF7D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4423D" w14:textId="77777777" w:rsidR="00B05A73" w:rsidRDefault="00B05A73" w:rsidP="005765A9">
      <w:pPr>
        <w:spacing w:after="0" w:line="240" w:lineRule="auto"/>
      </w:pPr>
      <w:r>
        <w:separator/>
      </w:r>
    </w:p>
  </w:endnote>
  <w:endnote w:type="continuationSeparator" w:id="0">
    <w:p w14:paraId="6240135B" w14:textId="77777777" w:rsidR="00B05A73" w:rsidRDefault="00B05A73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A4E2E" w14:textId="77777777" w:rsidR="00B05A73" w:rsidRDefault="00B05A73" w:rsidP="005765A9">
      <w:pPr>
        <w:spacing w:after="0" w:line="240" w:lineRule="auto"/>
      </w:pPr>
      <w:r>
        <w:separator/>
      </w:r>
    </w:p>
  </w:footnote>
  <w:footnote w:type="continuationSeparator" w:id="0">
    <w:p w14:paraId="062C3C12" w14:textId="77777777" w:rsidR="00B05A73" w:rsidRDefault="00B05A73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99675"/>
    <w:multiLevelType w:val="hybridMultilevel"/>
    <w:tmpl w:val="63461416"/>
    <w:lvl w:ilvl="0" w:tplc="F1BA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CC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C3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A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0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6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8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EF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2D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52949"/>
    <w:rsid w:val="00054E1D"/>
    <w:rsid w:val="000566FE"/>
    <w:rsid w:val="00081648"/>
    <w:rsid w:val="000E1BD7"/>
    <w:rsid w:val="001326B1"/>
    <w:rsid w:val="001555F6"/>
    <w:rsid w:val="0015607E"/>
    <w:rsid w:val="00177A00"/>
    <w:rsid w:val="00181348"/>
    <w:rsid w:val="001A699B"/>
    <w:rsid w:val="001B123A"/>
    <w:rsid w:val="001C46E1"/>
    <w:rsid w:val="001D041F"/>
    <w:rsid w:val="002410C4"/>
    <w:rsid w:val="0025213B"/>
    <w:rsid w:val="002523E0"/>
    <w:rsid w:val="002A2FE3"/>
    <w:rsid w:val="002B5E46"/>
    <w:rsid w:val="00301F99"/>
    <w:rsid w:val="00360EE7"/>
    <w:rsid w:val="003E0B49"/>
    <w:rsid w:val="00400E15"/>
    <w:rsid w:val="004031AB"/>
    <w:rsid w:val="004206B6"/>
    <w:rsid w:val="00436BA5"/>
    <w:rsid w:val="00456C26"/>
    <w:rsid w:val="00464DC9"/>
    <w:rsid w:val="0048292A"/>
    <w:rsid w:val="004F048C"/>
    <w:rsid w:val="004F3A8E"/>
    <w:rsid w:val="005260AD"/>
    <w:rsid w:val="005325E3"/>
    <w:rsid w:val="00554A45"/>
    <w:rsid w:val="0055707F"/>
    <w:rsid w:val="005662E3"/>
    <w:rsid w:val="005750EB"/>
    <w:rsid w:val="005765A9"/>
    <w:rsid w:val="005A51CA"/>
    <w:rsid w:val="005B36BB"/>
    <w:rsid w:val="005F7601"/>
    <w:rsid w:val="006204F9"/>
    <w:rsid w:val="00630666"/>
    <w:rsid w:val="006327D3"/>
    <w:rsid w:val="00645C39"/>
    <w:rsid w:val="00684410"/>
    <w:rsid w:val="006F4B9A"/>
    <w:rsid w:val="00725F1E"/>
    <w:rsid w:val="007660F0"/>
    <w:rsid w:val="00773242"/>
    <w:rsid w:val="007A1D82"/>
    <w:rsid w:val="007E00B2"/>
    <w:rsid w:val="00814271"/>
    <w:rsid w:val="00823AC1"/>
    <w:rsid w:val="0085290F"/>
    <w:rsid w:val="008B2A4B"/>
    <w:rsid w:val="008C73AB"/>
    <w:rsid w:val="0097663D"/>
    <w:rsid w:val="0098536F"/>
    <w:rsid w:val="009F0C34"/>
    <w:rsid w:val="00A20A57"/>
    <w:rsid w:val="00A224B1"/>
    <w:rsid w:val="00A2371D"/>
    <w:rsid w:val="00A752D6"/>
    <w:rsid w:val="00A93CF1"/>
    <w:rsid w:val="00AA39B5"/>
    <w:rsid w:val="00AF62CF"/>
    <w:rsid w:val="00B05A73"/>
    <w:rsid w:val="00B334B3"/>
    <w:rsid w:val="00B35BFB"/>
    <w:rsid w:val="00B634F7"/>
    <w:rsid w:val="00BC7A99"/>
    <w:rsid w:val="00BD6F05"/>
    <w:rsid w:val="00BE567C"/>
    <w:rsid w:val="00C016FE"/>
    <w:rsid w:val="00CC5287"/>
    <w:rsid w:val="00CC6275"/>
    <w:rsid w:val="00D02E8B"/>
    <w:rsid w:val="00D57C7C"/>
    <w:rsid w:val="00D676DB"/>
    <w:rsid w:val="00D8426C"/>
    <w:rsid w:val="00DE6607"/>
    <w:rsid w:val="00E1567F"/>
    <w:rsid w:val="00E23CC4"/>
    <w:rsid w:val="00E32145"/>
    <w:rsid w:val="00E41CBE"/>
    <w:rsid w:val="00E84E06"/>
    <w:rsid w:val="00E87CD7"/>
    <w:rsid w:val="00EC6D2C"/>
    <w:rsid w:val="00F12AD0"/>
    <w:rsid w:val="00F12B99"/>
    <w:rsid w:val="00F209EE"/>
    <w:rsid w:val="00F20E21"/>
    <w:rsid w:val="00F232B5"/>
    <w:rsid w:val="00F524AE"/>
    <w:rsid w:val="00F93E8A"/>
    <w:rsid w:val="00F963AB"/>
    <w:rsid w:val="013DD710"/>
    <w:rsid w:val="0196E794"/>
    <w:rsid w:val="0268119B"/>
    <w:rsid w:val="02ACF4CB"/>
    <w:rsid w:val="03527E26"/>
    <w:rsid w:val="039BB0F2"/>
    <w:rsid w:val="056C5EC7"/>
    <w:rsid w:val="06322045"/>
    <w:rsid w:val="064A4C9B"/>
    <w:rsid w:val="064C9FD1"/>
    <w:rsid w:val="065020A0"/>
    <w:rsid w:val="071E251A"/>
    <w:rsid w:val="0848ADD2"/>
    <w:rsid w:val="0850906A"/>
    <w:rsid w:val="094DAAC4"/>
    <w:rsid w:val="095F9E20"/>
    <w:rsid w:val="0A167D4A"/>
    <w:rsid w:val="0B0C75D4"/>
    <w:rsid w:val="0C9E9C62"/>
    <w:rsid w:val="0CEEA092"/>
    <w:rsid w:val="0CFEA8C1"/>
    <w:rsid w:val="0DA0DF4C"/>
    <w:rsid w:val="0DB09206"/>
    <w:rsid w:val="0E1A980E"/>
    <w:rsid w:val="0E3EF773"/>
    <w:rsid w:val="0F251D6F"/>
    <w:rsid w:val="10C522FA"/>
    <w:rsid w:val="120D07BC"/>
    <w:rsid w:val="1234E3D9"/>
    <w:rsid w:val="1338678E"/>
    <w:rsid w:val="13ED8BB3"/>
    <w:rsid w:val="1540454B"/>
    <w:rsid w:val="168A3E24"/>
    <w:rsid w:val="1809E493"/>
    <w:rsid w:val="194A3684"/>
    <w:rsid w:val="19564FAE"/>
    <w:rsid w:val="1A5A807B"/>
    <w:rsid w:val="1A7D73D5"/>
    <w:rsid w:val="1ACC0DF5"/>
    <w:rsid w:val="1B426F85"/>
    <w:rsid w:val="1B87ED89"/>
    <w:rsid w:val="1BB2F279"/>
    <w:rsid w:val="1BDCDAF6"/>
    <w:rsid w:val="1BEC3001"/>
    <w:rsid w:val="1CDAF7D5"/>
    <w:rsid w:val="1E249BF7"/>
    <w:rsid w:val="1E2D8A45"/>
    <w:rsid w:val="1E597FA5"/>
    <w:rsid w:val="1E97CEB7"/>
    <w:rsid w:val="1EC366BD"/>
    <w:rsid w:val="1ED3A865"/>
    <w:rsid w:val="1F45B7BF"/>
    <w:rsid w:val="1F47FA81"/>
    <w:rsid w:val="1FFAF166"/>
    <w:rsid w:val="2060F2AB"/>
    <w:rsid w:val="21381377"/>
    <w:rsid w:val="21649CAF"/>
    <w:rsid w:val="218169EF"/>
    <w:rsid w:val="219D0A79"/>
    <w:rsid w:val="21F013A9"/>
    <w:rsid w:val="22AF4C25"/>
    <w:rsid w:val="243357CE"/>
    <w:rsid w:val="24541E3E"/>
    <w:rsid w:val="258167FC"/>
    <w:rsid w:val="26E17664"/>
    <w:rsid w:val="26F35D25"/>
    <w:rsid w:val="270201C0"/>
    <w:rsid w:val="270E8B58"/>
    <w:rsid w:val="2716514F"/>
    <w:rsid w:val="2799E837"/>
    <w:rsid w:val="29FC0CA0"/>
    <w:rsid w:val="2B897DC1"/>
    <w:rsid w:val="2B8D7E6A"/>
    <w:rsid w:val="2C283778"/>
    <w:rsid w:val="2C2E9DF4"/>
    <w:rsid w:val="2DADF369"/>
    <w:rsid w:val="2DCE6630"/>
    <w:rsid w:val="2E5C73B4"/>
    <w:rsid w:val="2E896A8F"/>
    <w:rsid w:val="2F427BD5"/>
    <w:rsid w:val="30125EBB"/>
    <w:rsid w:val="301FA24C"/>
    <w:rsid w:val="303333C2"/>
    <w:rsid w:val="312451D0"/>
    <w:rsid w:val="31F8E519"/>
    <w:rsid w:val="32BE17EE"/>
    <w:rsid w:val="32FED84E"/>
    <w:rsid w:val="33241AEA"/>
    <w:rsid w:val="336D7E0B"/>
    <w:rsid w:val="33C22874"/>
    <w:rsid w:val="34201C34"/>
    <w:rsid w:val="3515C2CD"/>
    <w:rsid w:val="36A71409"/>
    <w:rsid w:val="36F46142"/>
    <w:rsid w:val="37027C66"/>
    <w:rsid w:val="370E0107"/>
    <w:rsid w:val="3797842D"/>
    <w:rsid w:val="37AE2865"/>
    <w:rsid w:val="37B8B21F"/>
    <w:rsid w:val="37C16CE1"/>
    <w:rsid w:val="380D24CB"/>
    <w:rsid w:val="387A6235"/>
    <w:rsid w:val="397C9AAD"/>
    <w:rsid w:val="39ED5B59"/>
    <w:rsid w:val="3A0800F9"/>
    <w:rsid w:val="3A78B295"/>
    <w:rsid w:val="3B2A67FB"/>
    <w:rsid w:val="3BDE4400"/>
    <w:rsid w:val="3D3CB655"/>
    <w:rsid w:val="3E4ABF03"/>
    <w:rsid w:val="3EEEFBCA"/>
    <w:rsid w:val="3F2CE509"/>
    <w:rsid w:val="3FE7EC10"/>
    <w:rsid w:val="421ACB85"/>
    <w:rsid w:val="421B61E1"/>
    <w:rsid w:val="42CC2124"/>
    <w:rsid w:val="43AB8C8D"/>
    <w:rsid w:val="4421A978"/>
    <w:rsid w:val="445B37D2"/>
    <w:rsid w:val="448A5B26"/>
    <w:rsid w:val="4513656F"/>
    <w:rsid w:val="45517606"/>
    <w:rsid w:val="4551ACBC"/>
    <w:rsid w:val="4692CF40"/>
    <w:rsid w:val="47336B16"/>
    <w:rsid w:val="48560DEC"/>
    <w:rsid w:val="492070EB"/>
    <w:rsid w:val="499E81A2"/>
    <w:rsid w:val="49A788C0"/>
    <w:rsid w:val="4A9DD768"/>
    <w:rsid w:val="4AD3FC6E"/>
    <w:rsid w:val="4B480873"/>
    <w:rsid w:val="4B942FE3"/>
    <w:rsid w:val="4BCB5E86"/>
    <w:rsid w:val="4BCBDDD0"/>
    <w:rsid w:val="4BEAF01B"/>
    <w:rsid w:val="4C290215"/>
    <w:rsid w:val="4D7C0F46"/>
    <w:rsid w:val="4D87CDC3"/>
    <w:rsid w:val="4DA0184D"/>
    <w:rsid w:val="4E1B5565"/>
    <w:rsid w:val="4E5107B7"/>
    <w:rsid w:val="4EDEB99F"/>
    <w:rsid w:val="507021C4"/>
    <w:rsid w:val="50A23EB6"/>
    <w:rsid w:val="50D0C45A"/>
    <w:rsid w:val="511E4745"/>
    <w:rsid w:val="51476906"/>
    <w:rsid w:val="51ACF700"/>
    <w:rsid w:val="5256C1A3"/>
    <w:rsid w:val="525888FE"/>
    <w:rsid w:val="5356EA30"/>
    <w:rsid w:val="542688DB"/>
    <w:rsid w:val="544BBA04"/>
    <w:rsid w:val="54A1AD46"/>
    <w:rsid w:val="54D05822"/>
    <w:rsid w:val="552CD3A1"/>
    <w:rsid w:val="558071B0"/>
    <w:rsid w:val="5580C11E"/>
    <w:rsid w:val="55D4D0DB"/>
    <w:rsid w:val="5623F56C"/>
    <w:rsid w:val="56731736"/>
    <w:rsid w:val="5728F4EB"/>
    <w:rsid w:val="57FD15F8"/>
    <w:rsid w:val="587BEB5D"/>
    <w:rsid w:val="58BF19E5"/>
    <w:rsid w:val="5B656AB9"/>
    <w:rsid w:val="5B68E9DD"/>
    <w:rsid w:val="5C823B19"/>
    <w:rsid w:val="5D0CAEF7"/>
    <w:rsid w:val="5D770DEC"/>
    <w:rsid w:val="5DC5EB2B"/>
    <w:rsid w:val="6058133B"/>
    <w:rsid w:val="6109102F"/>
    <w:rsid w:val="6315FC27"/>
    <w:rsid w:val="63667D38"/>
    <w:rsid w:val="644F14B6"/>
    <w:rsid w:val="64D7C1C4"/>
    <w:rsid w:val="65148EFE"/>
    <w:rsid w:val="655A9223"/>
    <w:rsid w:val="656AA7BF"/>
    <w:rsid w:val="65C5269A"/>
    <w:rsid w:val="65F9BC0A"/>
    <w:rsid w:val="6659819E"/>
    <w:rsid w:val="66600F4F"/>
    <w:rsid w:val="66728421"/>
    <w:rsid w:val="66AECB0D"/>
    <w:rsid w:val="66D87CAF"/>
    <w:rsid w:val="6779571C"/>
    <w:rsid w:val="686DA936"/>
    <w:rsid w:val="68A9BFF3"/>
    <w:rsid w:val="697B687A"/>
    <w:rsid w:val="69A2260F"/>
    <w:rsid w:val="6B1F9C8C"/>
    <w:rsid w:val="6B221BBA"/>
    <w:rsid w:val="6B69B32B"/>
    <w:rsid w:val="6BCE8630"/>
    <w:rsid w:val="6D4EF394"/>
    <w:rsid w:val="6E18F702"/>
    <w:rsid w:val="6F0A0FF3"/>
    <w:rsid w:val="6F7E32EF"/>
    <w:rsid w:val="6F8E479B"/>
    <w:rsid w:val="70F44E12"/>
    <w:rsid w:val="71D412A1"/>
    <w:rsid w:val="72FD0DBD"/>
    <w:rsid w:val="739F3623"/>
    <w:rsid w:val="73F8037A"/>
    <w:rsid w:val="73F9B606"/>
    <w:rsid w:val="7403F79A"/>
    <w:rsid w:val="74298294"/>
    <w:rsid w:val="7495A99B"/>
    <w:rsid w:val="74C8182F"/>
    <w:rsid w:val="7502E875"/>
    <w:rsid w:val="75538C98"/>
    <w:rsid w:val="756AFDB2"/>
    <w:rsid w:val="75AB5709"/>
    <w:rsid w:val="7A50A030"/>
    <w:rsid w:val="7A914722"/>
    <w:rsid w:val="7A979211"/>
    <w:rsid w:val="7C2D2687"/>
    <w:rsid w:val="7C5188AF"/>
    <w:rsid w:val="7C51EEF8"/>
    <w:rsid w:val="7C5EE798"/>
    <w:rsid w:val="7C65DD3E"/>
    <w:rsid w:val="7DCAA003"/>
    <w:rsid w:val="7DE00D54"/>
    <w:rsid w:val="7E2BDE69"/>
    <w:rsid w:val="7EE39AEB"/>
    <w:rsid w:val="7FD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549E"/>
  <w15:chartTrackingRefBased/>
  <w15:docId w15:val="{695678C3-67E1-4953-A0F6-C0ED94A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82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5F4CF9D079664C8FCA563B46F2A7A7" ma:contentTypeVersion="13" ma:contentTypeDescription="Crie um novo documento." ma:contentTypeScope="" ma:versionID="dc6b7af59cc1728e5e2bccb1c5e85954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17b72d8bb71f83f72a15189f0043f954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311AB-75F2-48F3-9B21-0494596F9F68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2.xml><?xml version="1.0" encoding="utf-8"?>
<ds:datastoreItem xmlns:ds="http://schemas.openxmlformats.org/officeDocument/2006/customXml" ds:itemID="{0AA3A6EE-2D2E-486C-B103-A3F9D84C6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F7E82C-95AD-4C1B-ADC3-8F22B079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81FF2-ACB8-4B68-8373-CAA6C902E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2608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2024-08-23T16:59:00Z</dcterms:created>
  <dcterms:modified xsi:type="dcterms:W3CDTF">2024-08-23T16:59:00Z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