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76" w:lineRule="auto"/>
        <w:ind w:right="3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MINUTA DE EXTRATO DA OFERTA TECNOLÓGICA</w:t>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highlight w:val="white"/>
          <w:u w:val="single"/>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BASE NORMATIVA:</w:t>
            </w:r>
          </w:p>
          <w:p w:rsidR="00000000" w:rsidDel="00000000" w:rsidP="00000000" w:rsidRDefault="00000000" w:rsidRPr="00000000" w14:paraId="00000004">
            <w:pPr>
              <w:widowControl w:val="0"/>
              <w:spacing w:after="0" w:line="240" w:lineRule="auto"/>
              <w:jc w:val="both"/>
              <w:rPr>
                <w:rFonts w:ascii="Times New Roman" w:cs="Times New Roman" w:eastAsia="Times New Roman" w:hAnsi="Times New Roman"/>
                <w:b w:val="1"/>
                <w:i w:val="1"/>
                <w:sz w:val="24"/>
                <w:szCs w:val="24"/>
                <w:highlight w:val="yellow"/>
              </w:rPr>
            </w:pPr>
            <w:r w:rsidDel="00000000" w:rsidR="00000000" w:rsidRPr="00000000">
              <w:rPr>
                <w:rtl w:val="0"/>
              </w:rPr>
            </w:r>
          </w:p>
          <w:p w:rsidR="00000000" w:rsidDel="00000000" w:rsidP="00000000" w:rsidRDefault="00000000" w:rsidRPr="00000000" w14:paraId="00000005">
            <w:pPr>
              <w:widowControl w:val="0"/>
              <w:spacing w:after="0" w:lin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LEI 10.973/04</w:t>
            </w:r>
          </w:p>
          <w:p w:rsidR="00000000" w:rsidDel="00000000" w:rsidP="00000000" w:rsidRDefault="00000000" w:rsidRPr="00000000" w14:paraId="00000006">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6º É facultado à ICT pública celebrar contrato de transferência de tecnologia e de licenciamento para outorga de direito de uso ou de exploração de criação por ela desenvolvida isoladamente ou por meio de parceria. (Redação pela Lei nº 13.243, de 2016)</w:t>
            </w:r>
          </w:p>
          <w:p w:rsidR="00000000" w:rsidDel="00000000" w:rsidP="00000000" w:rsidRDefault="00000000" w:rsidRPr="00000000" w14:paraId="00000008">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1º A contratação com cláusula de exclusividade, para os fins de que trata o caput, deve ser precedida da publicação de extrato da oferta tecnológica em sítio eletrônico oficial da ICT, na forma estabelecida em sua política de inovação.</w:t>
            </w:r>
          </w:p>
          <w:p w:rsidR="00000000" w:rsidDel="00000000" w:rsidP="00000000" w:rsidRDefault="00000000" w:rsidRPr="00000000" w14:paraId="0000000A">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B">
            <w:pPr>
              <w:widowControl w:val="0"/>
              <w:spacing w:after="0" w:lin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PORTARIA INSA No 71, DE 25 DE JUNHO DE 2021 - POLÍTICA DE INOVAÇÃO</w:t>
            </w:r>
          </w:p>
          <w:p w:rsidR="00000000" w:rsidDel="00000000" w:rsidP="00000000" w:rsidRDefault="00000000" w:rsidRPr="00000000" w14:paraId="0000000C">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21. O licenciamento com exclusividade de direitos sobre criações de titularidade do INSA deve ser precedido da publicação de extrato da oferta tecnológica em sítio eletrônico oficial.</w:t>
            </w:r>
          </w:p>
          <w:p w:rsidR="00000000" w:rsidDel="00000000" w:rsidP="00000000" w:rsidRDefault="00000000" w:rsidRPr="00000000" w14:paraId="0000000D">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§1o As modalidades de oferta passíveis de utilização poderão incluir a concorrência pública, a negociação direta, dentre outras.</w:t>
            </w:r>
          </w:p>
          <w:p w:rsidR="00000000" w:rsidDel="00000000" w:rsidP="00000000" w:rsidRDefault="00000000" w:rsidRPr="00000000" w14:paraId="0000000F">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§2o A modalidade de oferta e os critérios e condições para a escolha da contratação mais vantajosa, serão previamente justificados em decisão fundamentada.</w:t>
            </w:r>
          </w:p>
        </w:tc>
      </w:tr>
    </w:tbl>
    <w:p w:rsidR="00000000" w:rsidDel="00000000" w:rsidP="00000000" w:rsidRDefault="00000000" w:rsidRPr="00000000" w14:paraId="00000011">
      <w:pPr>
        <w:spacing w:line="276" w:lineRule="auto"/>
        <w:jc w:val="both"/>
        <w:rPr>
          <w:rFonts w:ascii="Times New Roman" w:cs="Times New Roman" w:eastAsia="Times New Roman" w:hAnsi="Times New Roman"/>
          <w:b w:val="1"/>
          <w:sz w:val="24"/>
          <w:szCs w:val="24"/>
          <w:highlight w:val="white"/>
          <w:u w:val="single"/>
        </w:rPr>
      </w:pPr>
      <w:r w:rsidDel="00000000" w:rsidR="00000000" w:rsidRPr="00000000">
        <w:rPr>
          <w:rtl w:val="0"/>
        </w:rPr>
      </w:r>
    </w:p>
    <w:tbl>
      <w:tblPr>
        <w:tblStyle w:val="Table2"/>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90"/>
        <w:tblGridChange w:id="0">
          <w:tblGrid>
            <w:gridCol w:w="909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spacing w:after="14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CONSIDERAÇÕES GERAIS:</w:t>
            </w:r>
          </w:p>
          <w:p w:rsidR="00000000" w:rsidDel="00000000" w:rsidP="00000000" w:rsidRDefault="00000000" w:rsidRPr="00000000" w14:paraId="00000013">
            <w:pPr>
              <w:spacing w:after="120" w:line="276"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presente modelo de </w:t>
            </w:r>
            <w:r w:rsidDel="00000000" w:rsidR="00000000" w:rsidRPr="00000000">
              <w:rPr>
                <w:rFonts w:ascii="Times New Roman" w:cs="Times New Roman" w:eastAsia="Times New Roman" w:hAnsi="Times New Roman"/>
                <w:b w:val="1"/>
                <w:sz w:val="24"/>
                <w:szCs w:val="24"/>
                <w:rtl w:val="0"/>
              </w:rPr>
              <w:t xml:space="preserve">Extrato Da Oferta Tecnológica</w:t>
            </w:r>
            <w:r w:rsidDel="00000000" w:rsidR="00000000" w:rsidRPr="00000000">
              <w:rPr>
                <w:rFonts w:ascii="Times New Roman" w:cs="Times New Roman" w:eastAsia="Times New Roman" w:hAnsi="Times New Roman"/>
                <w:sz w:val="24"/>
                <w:szCs w:val="24"/>
                <w:rtl w:val="0"/>
              </w:rPr>
              <w:t xml:space="preserve"> é o instrumento formal utilizado para dar visibilidade aos critérios técnicos e financeiros da qualificação das propostas, bem como esclarecem informações sobre prazo e formato de envio das propostas pelas empresas interessadas em licenciar a tecnologia com exclusividade.</w:t>
            </w:r>
          </w:p>
          <w:p w:rsidR="00000000" w:rsidDel="00000000" w:rsidP="00000000" w:rsidRDefault="00000000" w:rsidRPr="00000000" w14:paraId="00000014">
            <w:pPr>
              <w:spacing w:after="120" w:line="276"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Para Licenciamento para outorga de direito de uso ou de exploração de criação protegida </w:t>
            </w:r>
            <w:r w:rsidDel="00000000" w:rsidR="00000000" w:rsidRPr="00000000">
              <w:rPr>
                <w:rFonts w:ascii="Times New Roman" w:cs="Times New Roman" w:eastAsia="Times New Roman" w:hAnsi="Times New Roman"/>
                <w:i w:val="1"/>
                <w:sz w:val="24"/>
                <w:szCs w:val="24"/>
                <w:rtl w:val="0"/>
              </w:rPr>
              <w:t xml:space="preserve">vide </w:t>
            </w:r>
            <w:r w:rsidDel="00000000" w:rsidR="00000000" w:rsidRPr="00000000">
              <w:rPr>
                <w:rFonts w:ascii="Times New Roman" w:cs="Times New Roman" w:eastAsia="Times New Roman" w:hAnsi="Times New Roman"/>
                <w:sz w:val="24"/>
                <w:szCs w:val="24"/>
                <w:rtl w:val="0"/>
              </w:rPr>
              <w:t xml:space="preserve">minuta.</w:t>
            </w:r>
          </w:p>
          <w:p w:rsidR="00000000" w:rsidDel="00000000" w:rsidP="00000000" w:rsidRDefault="00000000" w:rsidRPr="00000000" w14:paraId="00000015">
            <w:pPr>
              <w:spacing w:after="120" w:line="276"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Faz-se necessário anexar a esta minuta:</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ANEXO I - Cronograma; (este cronograma deve ser publicado no site do INSA e deve ser elaborado pela instituição contendo as etapas do processo, dentre elas: envio dos documentos listados na cláusula quarta, análise de regularidade das empresas, recebimento das propostas, assinatura do termo de sigilo, agendamento da reunião de negociação, resultados parcial, final e recursos)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ANEXO II - Formulário de Proposta de licença de direito de uso e/ou de exploração exclusiva de criação protegida e transferência de tecnologia de pedido de patente de titularidade do INSA;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ANEXO III - Pedido de patente publicado; (documento do INPI)</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ANEXO IV - Minuta de contrato de licenciamento.  (vide minuta)</w:t>
            </w:r>
            <w:r w:rsidDel="00000000" w:rsidR="00000000" w:rsidRPr="00000000">
              <w:rPr>
                <w:rtl w:val="0"/>
              </w:rPr>
            </w:r>
          </w:p>
        </w:tc>
      </w:tr>
    </w:tbl>
    <w:p w:rsidR="00000000" w:rsidDel="00000000" w:rsidP="00000000" w:rsidRDefault="00000000" w:rsidRPr="00000000" w14:paraId="0000001A">
      <w:pPr>
        <w:pStyle w:val="Heading1"/>
        <w:keepNext w:val="0"/>
        <w:keepLines w:val="0"/>
        <w:widowControl w:val="0"/>
        <w:spacing w:after="0" w:before="30" w:line="276" w:lineRule="auto"/>
        <w:ind w:right="30"/>
        <w:jc w:val="both"/>
        <w:rPr>
          <w:rFonts w:ascii="Times New Roman" w:cs="Times New Roman" w:eastAsia="Times New Roman" w:hAnsi="Times New Roman"/>
          <w:sz w:val="24"/>
          <w:szCs w:val="24"/>
        </w:rPr>
      </w:pPr>
      <w:bookmarkStart w:colFirst="0" w:colLast="0" w:name="_heading=h.l2m027wtqf5d" w:id="0"/>
      <w:bookmarkEnd w:id="0"/>
      <w:r w:rsidDel="00000000" w:rsidR="00000000" w:rsidRPr="00000000">
        <w:rPr>
          <w:rtl w:val="0"/>
        </w:rPr>
      </w:r>
    </w:p>
    <w:tbl>
      <w:tblPr>
        <w:tblStyle w:val="Table3"/>
        <w:tblW w:w="9060.0" w:type="dxa"/>
        <w:jc w:val="left"/>
        <w:tblInd w:w="14.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B">
            <w:pPr>
              <w:pStyle w:val="Heading2"/>
              <w:keepNext w:val="0"/>
              <w:keepLines w:val="0"/>
              <w:widowControl w:val="0"/>
              <w:spacing w:after="0" w:before="215" w:line="276" w:lineRule="auto"/>
              <w:ind w:right="30"/>
              <w:jc w:val="both"/>
              <w:rPr>
                <w:rFonts w:ascii="Times New Roman" w:cs="Times New Roman" w:eastAsia="Times New Roman" w:hAnsi="Times New Roman"/>
                <w:i w:val="1"/>
                <w:sz w:val="24"/>
                <w:szCs w:val="24"/>
              </w:rPr>
            </w:pPr>
            <w:bookmarkStart w:colFirst="0" w:colLast="0" w:name="_heading=h.5607bn7pzy1j" w:id="1"/>
            <w:bookmarkEnd w:id="1"/>
            <w:r w:rsidDel="00000000" w:rsidR="00000000" w:rsidRPr="00000000">
              <w:rPr>
                <w:rFonts w:ascii="Times New Roman" w:cs="Times New Roman" w:eastAsia="Times New Roman" w:hAnsi="Times New Roman"/>
                <w:i w:val="1"/>
                <w:sz w:val="24"/>
                <w:szCs w:val="24"/>
                <w:rtl w:val="0"/>
              </w:rPr>
              <w:t xml:space="preserve">NOTAS EXPLICATIVAS:</w:t>
            </w:r>
          </w:p>
          <w:p w:rsidR="00000000" w:rsidDel="00000000" w:rsidP="00000000" w:rsidRDefault="00000000" w:rsidRPr="00000000" w14:paraId="0000001C">
            <w:pPr>
              <w:spacing w:before="90" w:line="276" w:lineRule="auto"/>
              <w:ind w:right="30"/>
              <w:jc w:val="both"/>
              <w:rPr>
                <w:rFonts w:ascii="Times New Roman" w:cs="Times New Roman" w:eastAsia="Times New Roman" w:hAnsi="Times New Roman"/>
                <w:i w:val="1"/>
                <w:sz w:val="24"/>
                <w:szCs w:val="24"/>
              </w:rPr>
            </w:pPr>
            <w:bookmarkStart w:colFirst="0" w:colLast="0" w:name="_heading=h.gjdgxs" w:id="2"/>
            <w:bookmarkEnd w:id="2"/>
            <w:r w:rsidDel="00000000" w:rsidR="00000000" w:rsidRPr="00000000">
              <w:rPr>
                <w:rFonts w:ascii="Times New Roman" w:cs="Times New Roman" w:eastAsia="Times New Roman" w:hAnsi="Times New Roman"/>
                <w:i w:val="1"/>
                <w:sz w:val="24"/>
                <w:szCs w:val="24"/>
                <w:rtl w:val="0"/>
              </w:rPr>
              <w:t xml:space="preserve">Os itens deste modelo de </w:t>
            </w:r>
            <w:r w:rsidDel="00000000" w:rsidR="00000000" w:rsidRPr="00000000">
              <w:rPr>
                <w:rFonts w:ascii="Times New Roman" w:cs="Times New Roman" w:eastAsia="Times New Roman" w:hAnsi="Times New Roman"/>
                <w:b w:val="1"/>
                <w:i w:val="1"/>
                <w:rtl w:val="0"/>
              </w:rPr>
              <w:t xml:space="preserve">Extrato Da Oferta Tecnológica</w:t>
            </w:r>
            <w:r w:rsidDel="00000000" w:rsidR="00000000" w:rsidRPr="00000000">
              <w:rPr>
                <w:rFonts w:ascii="Times New Roman" w:cs="Times New Roman" w:eastAsia="Times New Roman" w:hAnsi="Times New Roman"/>
                <w:i w:val="1"/>
                <w:sz w:val="24"/>
                <w:szCs w:val="24"/>
                <w:rtl w:val="0"/>
              </w:rPr>
              <w:t xml:space="preserve">, destacados em </w:t>
            </w:r>
            <w:r w:rsidDel="00000000" w:rsidR="00000000" w:rsidRPr="00000000">
              <w:rPr>
                <w:rFonts w:ascii="Times New Roman" w:cs="Times New Roman" w:eastAsia="Times New Roman" w:hAnsi="Times New Roman"/>
                <w:b w:val="1"/>
                <w:i w:val="1"/>
                <w:color w:val="ff0000"/>
                <w:sz w:val="24"/>
                <w:szCs w:val="24"/>
                <w:rtl w:val="0"/>
              </w:rPr>
              <w:t xml:space="preserve">Vermelho </w:t>
            </w:r>
            <w:r w:rsidDel="00000000" w:rsidR="00000000" w:rsidRPr="00000000">
              <w:rPr>
                <w:rFonts w:ascii="Times New Roman" w:cs="Times New Roman" w:eastAsia="Times New Roman" w:hAnsi="Times New Roman"/>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1D">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1E">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Os itens na cor </w:t>
            </w:r>
            <w:r w:rsidDel="00000000" w:rsidR="00000000" w:rsidRPr="00000000">
              <w:rPr>
                <w:rFonts w:ascii="Times New Roman" w:cs="Times New Roman" w:eastAsia="Times New Roman" w:hAnsi="Times New Roman"/>
                <w:b w:val="1"/>
                <w:i w:val="1"/>
                <w:sz w:val="24"/>
                <w:szCs w:val="24"/>
                <w:rtl w:val="0"/>
              </w:rPr>
              <w:t xml:space="preserve">Preta </w:t>
            </w:r>
            <w:r w:rsidDel="00000000" w:rsidR="00000000" w:rsidRPr="00000000">
              <w:rPr>
                <w:rFonts w:ascii="Times New Roman" w:cs="Times New Roman" w:eastAsia="Times New Roman" w:hAnsi="Times New Roman"/>
                <w:i w:val="1"/>
                <w:sz w:val="24"/>
                <w:szCs w:val="24"/>
                <w:rtl w:val="0"/>
              </w:rPr>
              <w:t xml:space="preserve">devem ser mantidos, podendo eventualmente ser alterados ou excluídos diante do caso concreto.</w:t>
            </w:r>
          </w:p>
          <w:p w:rsidR="00000000" w:rsidDel="00000000" w:rsidP="00000000" w:rsidRDefault="00000000" w:rsidRPr="00000000" w14:paraId="0000001F">
            <w:pPr>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Os itens redigidos ou destacados na cor </w:t>
            </w:r>
            <w:r w:rsidDel="00000000" w:rsidR="00000000" w:rsidRPr="00000000">
              <w:rPr>
                <w:rFonts w:ascii="Times New Roman" w:cs="Times New Roman" w:eastAsia="Times New Roman" w:hAnsi="Times New Roman"/>
                <w:b w:val="1"/>
                <w:i w:val="1"/>
                <w:color w:val="0000ff"/>
                <w:sz w:val="24"/>
                <w:szCs w:val="24"/>
                <w:rtl w:val="0"/>
              </w:rPr>
              <w:t xml:space="preserve">Azul </w:t>
            </w:r>
            <w:r w:rsidDel="00000000" w:rsidR="00000000" w:rsidRPr="00000000">
              <w:rPr>
                <w:rFonts w:ascii="Times New Roman" w:cs="Times New Roman" w:eastAsia="Times New Roman" w:hAnsi="Times New Roman"/>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p w:rsidR="00000000" w:rsidDel="00000000" w:rsidP="00000000" w:rsidRDefault="00000000" w:rsidRPr="00000000" w14:paraId="00000020">
      <w:pPr>
        <w:pStyle w:val="Heading1"/>
        <w:keepNext w:val="0"/>
        <w:keepLines w:val="0"/>
        <w:widowControl w:val="0"/>
        <w:spacing w:after="0" w:before="30" w:line="276" w:lineRule="auto"/>
        <w:ind w:right="30"/>
        <w:jc w:val="both"/>
        <w:rPr>
          <w:rFonts w:ascii="Times New Roman" w:cs="Times New Roman" w:eastAsia="Times New Roman" w:hAnsi="Times New Roman"/>
          <w:sz w:val="24"/>
          <w:szCs w:val="24"/>
        </w:rPr>
      </w:pPr>
      <w:bookmarkStart w:colFirst="0" w:colLast="0" w:name="_heading=h.e0kcbciehpu6" w:id="3"/>
      <w:bookmarkEnd w:id="3"/>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keepNext w:val="0"/>
        <w:keepLines w:val="0"/>
        <w:widowControl w:val="0"/>
        <w:spacing w:after="0" w:before="30" w:line="276" w:lineRule="auto"/>
        <w:ind w:right="30"/>
        <w:jc w:val="both"/>
        <w:rPr>
          <w:rFonts w:ascii="Times New Roman" w:cs="Times New Roman" w:eastAsia="Times New Roman" w:hAnsi="Times New Roman"/>
        </w:rPr>
      </w:pPr>
      <w:bookmarkStart w:colFirst="0" w:colLast="0" w:name="_heading=h.x93gbtsrpin8" w:id="4"/>
      <w:bookmarkEnd w:id="4"/>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EXTRATO DA OFERTA TECNOLÓGICA N </w:t>
      </w:r>
      <w:r w:rsidDel="00000000" w:rsidR="00000000" w:rsidRPr="00000000">
        <w:rPr>
          <w:rFonts w:ascii="Times New Roman" w:cs="Times New Roman" w:eastAsia="Times New Roman" w:hAnsi="Times New Roman"/>
          <w:b w:val="1"/>
          <w:color w:val="ff0000"/>
          <w:sz w:val="24"/>
          <w:szCs w:val="24"/>
          <w:rtl w:val="0"/>
        </w:rPr>
        <w:t xml:space="preserve">XXXXX</w:t>
      </w:r>
    </w:p>
    <w:p w:rsidR="00000000" w:rsidDel="00000000" w:rsidP="00000000" w:rsidRDefault="00000000" w:rsidRPr="00000000" w14:paraId="00000030">
      <w:pPr>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Núcleo de Inovação Tecnológica do Instituto Nacional do Semiárido - NIT/INSA, </w:t>
      </w:r>
      <w:r w:rsidDel="00000000" w:rsidR="00000000" w:rsidRPr="00000000">
        <w:rPr>
          <w:rFonts w:ascii="Times New Roman" w:cs="Times New Roman" w:eastAsia="Times New Roman" w:hAnsi="Times New Roman"/>
          <w:sz w:val="24"/>
          <w:szCs w:val="24"/>
          <w:rtl w:val="0"/>
        </w:rPr>
        <w:t xml:space="preserve">no uso de suas atribuições legais, e considerando: </w:t>
      </w:r>
    </w:p>
    <w:p w:rsidR="00000000" w:rsidDel="00000000" w:rsidP="00000000" w:rsidRDefault="00000000" w:rsidRPr="00000000" w14:paraId="00000032">
      <w:pPr>
        <w:jc w:val="both"/>
        <w:rPr>
          <w:rFonts w:ascii="Times New Roman" w:cs="Times New Roman" w:eastAsia="Times New Roman" w:hAnsi="Times New Roman"/>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✔a Lei nº 10.973, de 02 de dezembro de 2004, atualizada;  </w:t>
          </w:r>
        </w:sdtContent>
      </w:sdt>
    </w:p>
    <w:p w:rsidR="00000000" w:rsidDel="00000000" w:rsidP="00000000" w:rsidRDefault="00000000" w:rsidRPr="00000000" w14:paraId="00000033">
      <w:pPr>
        <w:jc w:val="both"/>
        <w:rPr>
          <w:rFonts w:ascii="Times New Roman" w:cs="Times New Roman" w:eastAsia="Times New Roman" w:hAnsi="Times New Roman"/>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✔a Lei nº 13.243, de 11 de janeiro de 2016.  </w:t>
          </w:r>
        </w:sdtContent>
      </w:sdt>
    </w:p>
    <w:p w:rsidR="00000000" w:rsidDel="00000000" w:rsidP="00000000" w:rsidRDefault="00000000" w:rsidRPr="00000000" w14:paraId="00000034">
      <w:pPr>
        <w:jc w:val="both"/>
        <w:rPr>
          <w:rFonts w:ascii="Times New Roman" w:cs="Times New Roman" w:eastAsia="Times New Roman" w:hAnsi="Times New Roman"/>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✔o Decreto nº 9.283, de 07 de fevereiro de 2018; e </w:t>
          </w:r>
        </w:sdtContent>
      </w:sdt>
    </w:p>
    <w:p w:rsidR="00000000" w:rsidDel="00000000" w:rsidP="00000000" w:rsidRDefault="00000000" w:rsidRPr="00000000" w14:paraId="00000035">
      <w:pPr>
        <w:jc w:val="both"/>
        <w:rPr>
          <w:rFonts w:ascii="Times New Roman" w:cs="Times New Roman" w:eastAsia="Times New Roman" w:hAnsi="Times New Roman"/>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✔a Política de Inovação do INSA, instituída pela Portaria nº 71, de 25 de junho de 2021.   </w:t>
          </w:r>
        </w:sdtContent>
      </w:sdt>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Torna público o presente </w:t>
      </w:r>
      <w:r w:rsidDel="00000000" w:rsidR="00000000" w:rsidRPr="00000000">
        <w:rPr>
          <w:rFonts w:ascii="Times New Roman" w:cs="Times New Roman" w:eastAsia="Times New Roman" w:hAnsi="Times New Roman"/>
          <w:b w:val="1"/>
          <w:sz w:val="24"/>
          <w:szCs w:val="24"/>
          <w:rtl w:val="0"/>
        </w:rPr>
        <w:t xml:space="preserve">EXTRATO DE OFERTA TECNOLÓGICA</w:t>
      </w:r>
      <w:r w:rsidDel="00000000" w:rsidR="00000000" w:rsidRPr="00000000">
        <w:rPr>
          <w:rFonts w:ascii="Times New Roman" w:cs="Times New Roman" w:eastAsia="Times New Roman" w:hAnsi="Times New Roman"/>
          <w:sz w:val="24"/>
          <w:szCs w:val="24"/>
          <w:rtl w:val="0"/>
        </w:rPr>
        <w:t xml:space="preserve"> com a finalidade de            selecionar empresa interessada em adquirir direitos exclusivos de uso e exploração de tecnologia             desenvolvida pelo INSA, conforme segue: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Style w:val="Title"/>
        <w:jc w:val="both"/>
        <w:rPr>
          <w:sz w:val="24"/>
          <w:szCs w:val="24"/>
        </w:rPr>
      </w:pPr>
      <w:bookmarkStart w:colFirst="0" w:colLast="0" w:name="_heading=h.m2sr8h4hn44a" w:id="5"/>
      <w:bookmarkEnd w:id="5"/>
      <w:r w:rsidDel="00000000" w:rsidR="00000000" w:rsidRPr="00000000">
        <w:rPr>
          <w:sz w:val="24"/>
          <w:szCs w:val="24"/>
          <w:rtl w:val="0"/>
        </w:rPr>
        <w:t xml:space="preserve">CLÁUSULA PRIMEIRA - </w:t>
      </w:r>
      <w:r w:rsidDel="00000000" w:rsidR="00000000" w:rsidRPr="00000000">
        <w:rPr>
          <w:sz w:val="24"/>
          <w:szCs w:val="24"/>
          <w:rtl w:val="0"/>
        </w:rPr>
        <w:t xml:space="preserve">OBJETO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O presente extrato de oferta tecnológica tem por objeto a seleção de proposta de empresa habilitada jurídica, econômica e tecnicamente para a aquisição do direito de uso e de exploração de tecnologia desenvolvida descrita no Cláusula segunda por meio de celebração de instrumento de licenciamento e/ou fornecimento de tecnologia. </w:t>
      </w:r>
    </w:p>
    <w:p w:rsidR="00000000" w:rsidDel="00000000" w:rsidP="00000000" w:rsidRDefault="00000000" w:rsidRPr="00000000" w14:paraId="000000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Integram o presente extrato os seguintes documentos: </w:t>
      </w:r>
    </w:p>
    <w:p w:rsidR="00000000" w:rsidDel="00000000" w:rsidP="00000000" w:rsidRDefault="00000000" w:rsidRPr="00000000" w14:paraId="0000003D">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 - ANEXO I - Cronograma; </w:t>
      </w:r>
    </w:p>
    <w:p w:rsidR="00000000" w:rsidDel="00000000" w:rsidP="00000000" w:rsidRDefault="00000000" w:rsidRPr="00000000" w14:paraId="0000003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 - ANEXO II - Formulário de Proposta de licença de direito de uso e/ou de exploração exclusiva de criação protegida e transferência de tecnologia de pedido de patente de titularidade do INSA; </w:t>
      </w:r>
    </w:p>
    <w:p w:rsidR="00000000" w:rsidDel="00000000" w:rsidP="00000000" w:rsidRDefault="00000000" w:rsidRPr="00000000" w14:paraId="0000003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III - ANEXO III - Pedido de patente publicado; </w:t>
      </w:r>
    </w:p>
    <w:p w:rsidR="00000000" w:rsidDel="00000000" w:rsidP="00000000" w:rsidRDefault="00000000" w:rsidRPr="00000000" w14:paraId="00000040">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IX - ANEXO IV - Minuta de contrato de licenciamento.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Style w:val="Title"/>
        <w:ind w:left="0" w:firstLine="0"/>
        <w:jc w:val="both"/>
        <w:rPr>
          <w:sz w:val="24"/>
          <w:szCs w:val="24"/>
        </w:rPr>
      </w:pPr>
      <w:bookmarkStart w:colFirst="0" w:colLast="0" w:name="_heading=h.9e8uj5wwerjr" w:id="6"/>
      <w:bookmarkEnd w:id="6"/>
      <w:r w:rsidDel="00000000" w:rsidR="00000000" w:rsidRPr="00000000">
        <w:rPr>
          <w:sz w:val="24"/>
          <w:szCs w:val="24"/>
          <w:rtl w:val="0"/>
        </w:rPr>
        <w:t xml:space="preserve">CLÁUSULA SEGUNDA - </w:t>
      </w:r>
      <w:r w:rsidDel="00000000" w:rsidR="00000000" w:rsidRPr="00000000">
        <w:rPr>
          <w:sz w:val="24"/>
          <w:szCs w:val="24"/>
          <w:rtl w:val="0"/>
        </w:rPr>
        <w:t xml:space="preserve">TECNOLOGIA OFERTADA E CONDIÇÕES INICIAIS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Descrição da tecnologia ofertada e respectivos requerimentos de propriedade intelectual: </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tbl>
      <w:tblPr>
        <w:tblStyle w:val="Table4"/>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Pedidos de patente de invenção (INPI):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Datas de depósito dos pedidos de patente: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Titulares: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Descrição resumida: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Vantagens:</w:t>
            </w:r>
          </w:p>
        </w:tc>
      </w:tr>
    </w:tbl>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Se dará o FORNECIMENTO DE TECNOLOGIA no Estado da técnica, utilizada na pesquisa que resultou no desenvolvimento do PEDIDO DE REGISTRO, conforme definições do parágrafo primeiro da Cláusula segunda. </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I - A tecnologia referenciada na Tabela 1, encontra-se publicada no site do Instituto Nacional de Propriedade Intelectual (INPI) para consulta acesse www.inpi.br 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verifique o Anexo II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w:t>
      </w:r>
      <w:r w:rsidDel="00000000" w:rsidR="00000000" w:rsidRPr="00000000">
        <w:rPr>
          <w:rFonts w:ascii="Times New Roman" w:cs="Times New Roman" w:eastAsia="Times New Roman" w:hAnsi="Times New Roman"/>
          <w:color w:val="0000ff"/>
          <w:sz w:val="24"/>
          <w:szCs w:val="24"/>
          <w:rtl w:val="0"/>
        </w:rPr>
        <w:t xml:space="preserve">-  Ao atender o presente Extrato de Oferta Tecnológica, a empresa declara interesse em obter a licença e/ou fornecimento de tecnologia com exclusividade para explorar o objeto para sublicenciamento, produção e/ou comercialização, no Brasil e exterior, do produto mediante remuneração a ser paga pela </w:t>
      </w:r>
      <w:r w:rsidDel="00000000" w:rsidR="00000000" w:rsidRPr="00000000">
        <w:rPr>
          <w:rFonts w:ascii="Times New Roman" w:cs="Times New Roman" w:eastAsia="Times New Roman" w:hAnsi="Times New Roman"/>
          <w:b w:val="1"/>
          <w:color w:val="0000ff"/>
          <w:sz w:val="24"/>
          <w:szCs w:val="24"/>
          <w:rtl w:val="0"/>
        </w:rPr>
        <w:t xml:space="preserve">LICENCIADA </w:t>
      </w:r>
      <w:r w:rsidDel="00000000" w:rsidR="00000000" w:rsidRPr="00000000">
        <w:rPr>
          <w:rFonts w:ascii="Times New Roman" w:cs="Times New Roman" w:eastAsia="Times New Roman" w:hAnsi="Times New Roman"/>
          <w:color w:val="0000ff"/>
          <w:sz w:val="24"/>
          <w:szCs w:val="24"/>
          <w:rtl w:val="0"/>
        </w:rPr>
        <w:t xml:space="preserve">a </w:t>
      </w:r>
      <w:r w:rsidDel="00000000" w:rsidR="00000000" w:rsidRPr="00000000">
        <w:rPr>
          <w:rFonts w:ascii="Times New Roman" w:cs="Times New Roman" w:eastAsia="Times New Roman" w:hAnsi="Times New Roman"/>
          <w:b w:val="1"/>
          <w:color w:val="0000ff"/>
          <w:sz w:val="24"/>
          <w:szCs w:val="24"/>
          <w:rtl w:val="0"/>
        </w:rPr>
        <w:t xml:space="preserve">LICENCIANTE, </w:t>
      </w:r>
      <w:r w:rsidDel="00000000" w:rsidR="00000000" w:rsidRPr="00000000">
        <w:rPr>
          <w:rFonts w:ascii="Times New Roman" w:cs="Times New Roman" w:eastAsia="Times New Roman" w:hAnsi="Times New Roman"/>
          <w:color w:val="0000ff"/>
          <w:sz w:val="24"/>
          <w:szCs w:val="24"/>
          <w:rtl w:val="0"/>
        </w:rPr>
        <w:t xml:space="preserve">exclusivamente para a aplicação original da tecnologia, ou seja, 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função da tecnologia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Ao atender o presente Extrato de Oferta Tecnológica, a empresa declara interesse em obter a licença e/ou fornecimento de tecnologia com exclusividade para explorar o objeto em sua área de aplicação original e declara ciência de que não existem conclusões definitivas sobre os processos no INPI supracitados e que o contrato de licenciamento não implica em qualquer garantia por parte do INSA na concessão dos direitos de propriedade. </w:t>
      </w:r>
    </w:p>
    <w:p w:rsidR="00000000" w:rsidDel="00000000" w:rsidP="00000000" w:rsidRDefault="00000000" w:rsidRPr="00000000" w14:paraId="00000055">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I - Fica expressamente consignado que o INSA tomará todas as medidas administrativas cabíveis para a concessão e plena vigência dos direitos de propriedade intelectual envolvidos e em eventual situação de indeferimento definitivo na esfera administrativa, INSA e empresa poderão: </w:t>
      </w:r>
    </w:p>
    <w:p w:rsidR="00000000" w:rsidDel="00000000" w:rsidP="00000000" w:rsidRDefault="00000000" w:rsidRPr="00000000" w14:paraId="00000056">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a) discutir a pertinência e viabilidade de ingresso em ação judicial para a concessão e garantia dos direitos; </w:t>
      </w:r>
    </w:p>
    <w:p w:rsidR="00000000" w:rsidDel="00000000" w:rsidP="00000000" w:rsidRDefault="00000000" w:rsidRPr="00000000" w14:paraId="00000057">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b) mediante concordância da empresa, prosseguir com o licenciamento/fornecimento de tecnologia independentemente da concessão e vigência dos direitos de propriedade intelectual.</w:t>
      </w:r>
    </w:p>
    <w:p w:rsidR="00000000" w:rsidDel="00000000" w:rsidP="00000000" w:rsidRDefault="00000000" w:rsidRPr="00000000" w14:paraId="00000058">
      <w:pPr>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59">
      <w:pPr>
        <w:pStyle w:val="Title"/>
        <w:jc w:val="both"/>
        <w:rPr>
          <w:sz w:val="24"/>
          <w:szCs w:val="24"/>
        </w:rPr>
      </w:pPr>
      <w:bookmarkStart w:colFirst="0" w:colLast="0" w:name="_heading=h.e5i8wmubx57o" w:id="7"/>
      <w:bookmarkEnd w:id="7"/>
      <w:r w:rsidDel="00000000" w:rsidR="00000000" w:rsidRPr="00000000">
        <w:rPr>
          <w:sz w:val="24"/>
          <w:szCs w:val="24"/>
          <w:rtl w:val="0"/>
        </w:rPr>
        <w:t xml:space="preserve">CLÁUSULA TERCEIRA - </w:t>
      </w:r>
      <w:r w:rsidDel="00000000" w:rsidR="00000000" w:rsidRPr="00000000">
        <w:rPr>
          <w:sz w:val="24"/>
          <w:szCs w:val="24"/>
          <w:rtl w:val="0"/>
        </w:rPr>
        <w:t xml:space="preserve">MODALIDADE DE OFERTA E PROCEDIMENTOS </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w:t>
      </w:r>
      <w:r w:rsidDel="00000000" w:rsidR="00000000" w:rsidRPr="00000000">
        <w:rPr>
          <w:rFonts w:ascii="Times New Roman" w:cs="Times New Roman" w:eastAsia="Times New Roman" w:hAnsi="Times New Roman"/>
          <w:sz w:val="24"/>
          <w:szCs w:val="24"/>
          <w:rtl w:val="0"/>
        </w:rPr>
        <w:t xml:space="preserve"> A modalidade deste extrato de oferta tecnológica é a Negociação Direta, justificada pela natureza da contratação ora tratada e especificidades contidas na legislação nacional sobre inovação, de maneira a proporcionar a oportunidade para a obtenção da melhor proposta e sua adequação aos parâmetros técnicos necessários para satisfatória utilização da tecnologia. </w:t>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 Procedimento da Negociação Direta será composto pelas seguintes etapas: </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Análise da regularidade jurídica, trabalhista, fiscal e econômica da proponente; e </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Qualificação técnica e negociação. </w:t>
      </w:r>
    </w:p>
    <w:p w:rsidR="00000000" w:rsidDel="00000000" w:rsidP="00000000" w:rsidRDefault="00000000" w:rsidRPr="00000000" w14:paraId="0000005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São obrigações da empresa interessada, doravante denominada </w:t>
      </w:r>
      <w:r w:rsidDel="00000000" w:rsidR="00000000" w:rsidRPr="00000000">
        <w:rPr>
          <w:rFonts w:ascii="Times New Roman" w:cs="Times New Roman" w:eastAsia="Times New Roman" w:hAnsi="Times New Roman"/>
          <w:b w:val="1"/>
          <w:sz w:val="24"/>
          <w:szCs w:val="24"/>
          <w:rtl w:val="0"/>
        </w:rPr>
        <w:t xml:space="preserve">PROPONENTE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Tomar ciência de todas as informações e condições deste extrato e seus anexos. </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Preencher de forma completa o Anexo IV – Modelo de Proposta. </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 propostas, atendendo aos critérios de proposta mais vantajosa, serão recebidas na segunda etapa do processo, em data a ser divulgada após a análise de regularidade da empresa, conforme Anexo I - Cronograma da presente oferta. </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Providenciar todos os documentos descritos no Cláusula quarta deste extrato. </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Enviar, até às 23:59 (horário de Brasília), da data estabelecida no Anexo I - Cronograma, para o e-mail pi@insa.gov.br, os documentos completos descritos no Cláusula quarta junto à Proposta. </w:t>
      </w:r>
    </w:p>
    <w:p w:rsidR="00000000" w:rsidDel="00000000" w:rsidP="00000000" w:rsidRDefault="00000000" w:rsidRPr="00000000" w14:paraId="0000006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Apenas as PROPONENTES que atenderem ao disposto no parágrafo terceiro da Cláusula terceira e forem consideradas regulares pela Comissão de Avaliação serão habilitadas para a fase de qualificação técnica e negociação. </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No caso de recebimento de apenas uma proposta, as negociações serão iniciadas imediatamente após o decurso do prazo de entrega da melhor proposta. </w:t>
      </w:r>
    </w:p>
    <w:p w:rsidR="00000000" w:rsidDel="00000000" w:rsidP="00000000" w:rsidRDefault="00000000" w:rsidRPr="00000000" w14:paraId="0000006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As empresas habilitadas serão convidadas a assinar o termo de sigilo bem como agendar a reunião de negociação, de acordo com prazos definidos no Anexo I - Cronograma. </w:t>
      </w:r>
    </w:p>
    <w:p w:rsidR="00000000" w:rsidDel="00000000" w:rsidP="00000000" w:rsidRDefault="00000000" w:rsidRPr="00000000" w14:paraId="0000006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sexto -</w:t>
      </w:r>
      <w:r w:rsidDel="00000000" w:rsidR="00000000" w:rsidRPr="00000000">
        <w:rPr>
          <w:rFonts w:ascii="Times New Roman" w:cs="Times New Roman" w:eastAsia="Times New Roman" w:hAnsi="Times New Roman"/>
          <w:sz w:val="24"/>
          <w:szCs w:val="24"/>
          <w:rtl w:val="0"/>
        </w:rPr>
        <w:t xml:space="preserve">  A fase de qualificação técnica e negociação direta terá como objetivo a análise e negociação da proposta, em reunião, entre a PROPONENTE e a Comissão de Avaliação. </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As PROPONENTES serão convocadas individualmente para a negociação. </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Os representantes legais da PROPONENTE deverão identificar-se e, se for o caso, comprovar a existência dos necessários poderes para apresentação de propostas e prática dos demais atos inerentes à reunião. </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 PROPONENTE poderá adequar sua proposta, em reunião, conforme demanda e análise da Comissão de Avaliação. </w:t>
      </w:r>
    </w:p>
    <w:p w:rsidR="00000000" w:rsidDel="00000000" w:rsidP="00000000" w:rsidRDefault="00000000" w:rsidRPr="00000000" w14:paraId="0000007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sétimo -</w:t>
      </w:r>
      <w:r w:rsidDel="00000000" w:rsidR="00000000" w:rsidRPr="00000000">
        <w:rPr>
          <w:rFonts w:ascii="Times New Roman" w:cs="Times New Roman" w:eastAsia="Times New Roman" w:hAnsi="Times New Roman"/>
          <w:sz w:val="24"/>
          <w:szCs w:val="24"/>
          <w:rtl w:val="0"/>
        </w:rPr>
        <w:t xml:space="preserve">  Da reunião de negociação será lavrada Ata consubstanciada que será assinada pelos presentes. </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Caso seja realizada reunião virtual, a mesma poderá ser gravada pelo </w:t>
      </w:r>
      <w:r w:rsidDel="00000000" w:rsidR="00000000" w:rsidRPr="00000000">
        <w:rPr>
          <w:rFonts w:ascii="Times New Roman" w:cs="Times New Roman" w:eastAsia="Times New Roman" w:hAnsi="Times New Roman"/>
          <w:b w:val="1"/>
          <w:sz w:val="24"/>
          <w:szCs w:val="24"/>
          <w:rtl w:val="0"/>
        </w:rPr>
        <w:t xml:space="preserve">Núcleo de Inovação Tecnológica - NIT INSA</w:t>
      </w:r>
      <w:r w:rsidDel="00000000" w:rsidR="00000000" w:rsidRPr="00000000">
        <w:rPr>
          <w:rFonts w:ascii="Times New Roman" w:cs="Times New Roman" w:eastAsia="Times New Roman" w:hAnsi="Times New Roman"/>
          <w:sz w:val="24"/>
          <w:szCs w:val="24"/>
          <w:rtl w:val="0"/>
        </w:rPr>
        <w:t xml:space="preserve">, ou será a ata enviada por e-mail aos presentes, com expressa concordância dos participantes sobre o seu teor, que comporá o acervo documental do processo de seleção, sendo a gravação tratada com o sigilo cabível. </w:t>
      </w:r>
    </w:p>
    <w:p w:rsidR="00000000" w:rsidDel="00000000" w:rsidP="00000000" w:rsidRDefault="00000000" w:rsidRPr="00000000" w14:paraId="0000007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oitavo -</w:t>
      </w:r>
      <w:r w:rsidDel="00000000" w:rsidR="00000000" w:rsidRPr="00000000">
        <w:rPr>
          <w:rFonts w:ascii="Times New Roman" w:cs="Times New Roman" w:eastAsia="Times New Roman" w:hAnsi="Times New Roman"/>
          <w:sz w:val="24"/>
          <w:szCs w:val="24"/>
          <w:rtl w:val="0"/>
        </w:rPr>
        <w:t xml:space="preserve">  O não comparecimento dos interessados na reunião de negociação será entendido pela Comissão de Avaliação como renúncia à proposta apresentada sendo a mesma desclassificada, sem a possibilidade de interposição de recursos. </w:t>
      </w:r>
    </w:p>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nono -</w:t>
      </w:r>
      <w:r w:rsidDel="00000000" w:rsidR="00000000" w:rsidRPr="00000000">
        <w:rPr>
          <w:rFonts w:ascii="Times New Roman" w:cs="Times New Roman" w:eastAsia="Times New Roman" w:hAnsi="Times New Roman"/>
          <w:sz w:val="24"/>
          <w:szCs w:val="24"/>
          <w:rtl w:val="0"/>
        </w:rPr>
        <w:t xml:space="preserve">  Os resultados parcial, final e prazos serão disponibilizados no site do INSA de acordo com os prazos estabelecidos no Anexo I - Cronograma. </w:t>
      </w:r>
    </w:p>
    <w:p w:rsidR="00000000" w:rsidDel="00000000" w:rsidP="00000000" w:rsidRDefault="00000000" w:rsidRPr="00000000" w14:paraId="0000007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w:t>
      </w:r>
      <w:r w:rsidDel="00000000" w:rsidR="00000000" w:rsidRPr="00000000">
        <w:rPr>
          <w:rFonts w:ascii="Times New Roman" w:cs="Times New Roman" w:eastAsia="Times New Roman" w:hAnsi="Times New Roman"/>
          <w:sz w:val="24"/>
          <w:szCs w:val="24"/>
          <w:rtl w:val="0"/>
        </w:rPr>
        <w:t xml:space="preserve">  Eventuais recursos administrativos contra qualquer resultado deverão ser apresentados pela PROPONENTE de forma fundamentada por meio de envio ao e-mail pi@insa.gov.br exclusivamente nos prazos estabelecidos no Anexo I - Cronograma. </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Style w:val="Title"/>
        <w:jc w:val="both"/>
        <w:rPr>
          <w:sz w:val="24"/>
          <w:szCs w:val="24"/>
        </w:rPr>
      </w:pPr>
      <w:bookmarkStart w:colFirst="0" w:colLast="0" w:name="_heading=h.qs3iyyneuv74" w:id="8"/>
      <w:bookmarkEnd w:id="8"/>
      <w:r w:rsidDel="00000000" w:rsidR="00000000" w:rsidRPr="00000000">
        <w:rPr>
          <w:sz w:val="24"/>
          <w:szCs w:val="24"/>
          <w:rtl w:val="0"/>
        </w:rPr>
        <w:t xml:space="preserve">CLÁUSULA QUARTA - </w:t>
      </w:r>
      <w:r w:rsidDel="00000000" w:rsidR="00000000" w:rsidRPr="00000000">
        <w:rPr>
          <w:sz w:val="24"/>
          <w:szCs w:val="24"/>
          <w:rtl w:val="0"/>
        </w:rPr>
        <w:t xml:space="preserve">DOS DOCUMENTOS PARA A HABILITAÇÃO JURÍDICA, FISCAL, ECONÔMICA E TÉCNICA </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w:t>
      </w:r>
      <w:r w:rsidDel="00000000" w:rsidR="00000000" w:rsidRPr="00000000">
        <w:rPr>
          <w:rFonts w:ascii="Times New Roman" w:cs="Times New Roman" w:eastAsia="Times New Roman" w:hAnsi="Times New Roman"/>
          <w:sz w:val="24"/>
          <w:szCs w:val="24"/>
          <w:rtl w:val="0"/>
        </w:rPr>
        <w:t xml:space="preserve"> Dos documentos para habilitação:</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Ato constitutivo da instituição pública e/ou privada (Contrato Social, Estatuto, etc.); </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Prova de inscrição no Cadastro Nacional de Pessoas Jurídicas (CNPJ); </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Prova de inscrição no Cadastro de Contribuintes Estadual ou Municipal, relativo à sede ou domicílio do interessado, pertinente ao seu ramo de atividade e compatível com o objeto do certame; </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Certificado de regularidade do Fundo de Garantia por Tempo de Serviço (CRF – FGTS); </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Certidão negativa, ou positiva com efeitos de negativa, de débitos trabalhistas (CNDT); </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Certidão negativa, ou positiva com efeitos de negativa, de débitos relativos a Créditos Tributários Federais e à Dívida Ativa da União; </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Certidão de regularidade de débito tributários com a Fazenda Estadual da sede ou domicílio do interessado; </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Certidão emitida pela Fazenda Municipal da sede ou domicílio do interessado; e </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Inscrição do ato constitutivo, no caso de sociedades simples, acompanhada de prova do registro da ata da eleição da diretoria em exercício (Registro Civil de Pessoas Jurídicas). </w:t>
      </w:r>
    </w:p>
    <w:p w:rsidR="00000000" w:rsidDel="00000000" w:rsidP="00000000" w:rsidRDefault="00000000" w:rsidRPr="00000000" w14:paraId="0000008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Para comprovação da qualificação econômica deverá ser apresentada demonstração contábil referente ao último exercício social. </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 caso de empresa constituída no exercício social vigente, admite-se a apresentação de balanço patrimonial e demonstrações contábeis referentes ao período de existência da sociedade. </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É admissível o balanço intermediário, se decorrer de lei ou contrato social/estatuto social. </w:t>
      </w:r>
    </w:p>
    <w:p w:rsidR="00000000" w:rsidDel="00000000" w:rsidP="00000000" w:rsidRDefault="00000000" w:rsidRPr="00000000" w14:paraId="0000008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As empresas não estabelecidas no Brasil, tanto quanto possível, atenderão às exigências deste extrato mediante documentos equivalentes autenticados e traduzidos na forma da legislação, devendo ter representação legal no Brasil, com poderes para resolver quaisquer questões e receber citação judicial pela sociedade. </w:t>
      </w:r>
    </w:p>
    <w:p w:rsidR="00000000" w:rsidDel="00000000" w:rsidP="00000000" w:rsidRDefault="00000000" w:rsidRPr="00000000" w14:paraId="0000008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Caso queira, a empresa poderá apresentar declaração contendo demais documentos que julgar pertinentes, de forma a corroborar e complementar as informações constantes dos documentos da habilitação jurídica. </w:t>
      </w:r>
    </w:p>
    <w:p w:rsidR="00000000" w:rsidDel="00000000" w:rsidP="00000000" w:rsidRDefault="00000000" w:rsidRPr="00000000" w14:paraId="0000008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Para a habilitação técnica a PROPONENTE e os CNAEs que constam no Cadastro do CNPJ devem ser compatíveis com a exploração da tecnologia em questão e devem ainda ser apresentados: </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Currículo das pessoas vinculadas à empresa que sejam sócios(as), que atuem em nível gerencial e das que atuem em atividades de programação; </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Documento de comprovação da maior titulação acadêmica das pessoas apresentadas de acordo com o item anterior; </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Atestado de capacidade técnica que comprove sua atuação neste ramo de atividade; </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Demais documentos que possam auxiliar a verificação da capacidade técnica da empresa em explorar a tecnologia.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Title"/>
        <w:jc w:val="both"/>
        <w:rPr>
          <w:sz w:val="24"/>
          <w:szCs w:val="24"/>
        </w:rPr>
      </w:pPr>
      <w:bookmarkStart w:colFirst="0" w:colLast="0" w:name="_heading=h.kkfjtgcy6btn" w:id="9"/>
      <w:bookmarkEnd w:id="9"/>
      <w:r w:rsidDel="00000000" w:rsidR="00000000" w:rsidRPr="00000000">
        <w:rPr>
          <w:sz w:val="24"/>
          <w:szCs w:val="24"/>
          <w:rtl w:val="0"/>
        </w:rPr>
        <w:t xml:space="preserve">CLÁUSULA QUINTA - </w:t>
      </w:r>
      <w:r w:rsidDel="00000000" w:rsidR="00000000" w:rsidRPr="00000000">
        <w:rPr>
          <w:sz w:val="24"/>
          <w:szCs w:val="24"/>
          <w:rtl w:val="0"/>
        </w:rPr>
        <w:t xml:space="preserve"> CRITÉRIOS PARA QUALIFICAÇÃO DA CONTRATAÇÃO MAIS VANTAJOSA </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w:t>
      </w:r>
      <w:r w:rsidDel="00000000" w:rsidR="00000000" w:rsidRPr="00000000">
        <w:rPr>
          <w:rFonts w:ascii="Times New Roman" w:cs="Times New Roman" w:eastAsia="Times New Roman" w:hAnsi="Times New Roman"/>
          <w:sz w:val="24"/>
          <w:szCs w:val="24"/>
          <w:rtl w:val="0"/>
        </w:rPr>
        <w:t xml:space="preserve"> As empresas interessadas serão avaliadas de acordo com os critérios e pontuações abaixo:</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tbl>
      <w:tblPr>
        <w:tblStyle w:val="Table5"/>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
        <w:gridCol w:w="1509"/>
        <w:gridCol w:w="1896"/>
        <w:gridCol w:w="2267"/>
        <w:gridCol w:w="2267"/>
        <w:tblGridChange w:id="0">
          <w:tblGrid>
            <w:gridCol w:w="1133"/>
            <w:gridCol w:w="1509"/>
            <w:gridCol w:w="1896"/>
            <w:gridCol w:w="2267"/>
            <w:gridCol w:w="2267"/>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Comprovação</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Pontos</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Pontuação máxima</w:t>
            </w:r>
          </w:p>
        </w:tc>
      </w:tr>
      <w:tr>
        <w:trPr>
          <w:cantSplit w:val="0"/>
          <w:trHeight w:val="1369" w:hRule="atLeast"/>
          <w:tblHeader w:val="0"/>
        </w:trPr>
        <w:tc>
          <w:tcPr>
            <w:gridSpan w:val="2"/>
            <w:vMerge w:val="restart"/>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Tempo de atuação na atividade econômica relacionada</w:t>
            </w:r>
            <w:r w:rsidDel="00000000" w:rsidR="00000000" w:rsidRPr="00000000">
              <w:rPr>
                <w:rFonts w:ascii="Times New Roman" w:cs="Times New Roman" w:eastAsia="Times New Roman" w:hAnsi="Times New Roman"/>
                <w:sz w:val="24"/>
                <w:szCs w:val="24"/>
                <w:rtl w:val="0"/>
              </w:rPr>
              <w:t xml:space="preserve"> a, ou que fará uso da tecnologia objeto deste Extrato em que tem interesse. No caso de consórcio, tempo da empresa mais antiga nessa atividade econômica</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Documento que comprove tempo de atuação, na atividade econômica relacionada</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Menos de 1 ano: 1 ponto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pontos</w:t>
            </w:r>
          </w:p>
        </w:tc>
      </w:tr>
      <w:tr>
        <w:trPr>
          <w:cantSplit w:val="0"/>
          <w:trHeight w:val="1369" w:hRule="atLeast"/>
          <w:tblHeader w:val="0"/>
        </w:trPr>
        <w:tc>
          <w:tcPr>
            <w:gridSpan w:val="2"/>
            <w:vMerge w:val="continue"/>
            <w:shd w:fill="auto" w:val="clear"/>
            <w:tcMar>
              <w:top w:w="100.0" w:type="dxa"/>
              <w:left w:w="100.0" w:type="dxa"/>
              <w:bottom w:w="100.0" w:type="dxa"/>
              <w:right w:w="10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de 1 ano: 2 pontos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Possuir corpo técnico especializado</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Doutor</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Comprovação do vínculo dos membros da equipe técnica e cópias dos títulos (apresentar apenas a maior titulação);</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pontos por Membro</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Pontos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Mestre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pontos por Membro</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Graduado</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pontos por Membro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Técnico</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pontos por Membro</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 </w:t>
            </w:r>
            <w:r w:rsidDel="00000000" w:rsidR="00000000" w:rsidRPr="00000000">
              <w:rPr>
                <w:rFonts w:ascii="Times New Roman" w:cs="Times New Roman" w:eastAsia="Times New Roman" w:hAnsi="Times New Roman"/>
                <w:b w:val="1"/>
                <w:sz w:val="24"/>
                <w:szCs w:val="24"/>
                <w:rtl w:val="0"/>
              </w:rPr>
              <w:t xml:space="preserve">Microempresa ou Empresa de Pequeno Porte</w:t>
            </w:r>
            <w:r w:rsidDel="00000000" w:rsidR="00000000" w:rsidRPr="00000000">
              <w:rPr>
                <w:rFonts w:ascii="Times New Roman" w:cs="Times New Roman" w:eastAsia="Times New Roman" w:hAnsi="Times New Roman"/>
                <w:sz w:val="24"/>
                <w:szCs w:val="24"/>
                <w:rtl w:val="0"/>
              </w:rPr>
              <w:t xml:space="preserve">. No caso de consórcio, basta uma empresa apresentar declaração.</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Indicação da condição de Microempresa ou Empresa de pequeno porte no formulário de proposta</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pontos</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Pontos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Demonstração de conhecimento na área pelos membros da empresa.</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Relacionar a produção científica e tecnológica na área do conhecimento, tais como registro de programas, publicações e projetos relacionados a área.</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ponto por Produto</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Pontos</w:t>
            </w:r>
          </w:p>
        </w:tc>
      </w:tr>
      <w:tr>
        <w:trPr>
          <w:cantSplit w:val="0"/>
          <w:trHeight w:val="1601" w:hRule="atLeast"/>
          <w:tblHeader w:val="0"/>
        </w:trPr>
        <w:tc>
          <w:tcPr>
            <w:gridSpan w:val="2"/>
            <w:vMerge w:val="restart"/>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Tempo para desenvolvimento e início da comercialização.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Documento descrevendo o tempo estimado de desenvolvimento e estratégia de comercialização ou documento de comprovação da obtenção do investimento/ financiamento.</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Demonstrar coerência e viabilidade da capacidade de comercialização 0 – 5 pontos</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1" w:hRule="atLeast"/>
          <w:tblHeader w:val="0"/>
        </w:trPr>
        <w:tc>
          <w:tcPr>
            <w:gridSpan w:val="2"/>
            <w:vMerge w:val="continue"/>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Comprovação da aprovação prévia de investimentos de órgãos de fomento ou investidores 0 - 10 pontos.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Tempo de duração do Contrato</w:t>
            </w:r>
            <w:r w:rsidDel="00000000" w:rsidR="00000000" w:rsidRPr="00000000">
              <w:rPr>
                <w:rFonts w:ascii="Times New Roman" w:cs="Times New Roman" w:eastAsia="Times New Roman" w:hAnsi="Times New Roman"/>
                <w:sz w:val="24"/>
                <w:szCs w:val="24"/>
                <w:rtl w:val="0"/>
              </w:rPr>
              <w:t xml:space="preserve"> que a Empresa pretende contratar com a Universidade Federal de Alagoas para uso e exploração do programa de computador.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Parâmetro</w:t>
            </w:r>
            <w:r w:rsidDel="00000000" w:rsidR="00000000" w:rsidRPr="00000000">
              <w:rPr>
                <w:rFonts w:ascii="Times New Roman" w:cs="Times New Roman" w:eastAsia="Times New Roman" w:hAnsi="Times New Roman"/>
                <w:sz w:val="24"/>
                <w:szCs w:val="24"/>
                <w:rtl w:val="0"/>
              </w:rPr>
              <w:t xml:space="preserve">: Propostas deverão considerar o período mínimo de 2 anos.</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ponto a cada 2 anos </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a diferença entre o tempo mínimo aceito pela UFAL e a oferta feita pela empresa</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Proposta de percentual de royalties</w:t>
            </w:r>
            <w:r w:rsidDel="00000000" w:rsidR="00000000" w:rsidRPr="00000000">
              <w:rPr>
                <w:rFonts w:ascii="Times New Roman" w:cs="Times New Roman" w:eastAsia="Times New Roman" w:hAnsi="Times New Roman"/>
                <w:sz w:val="24"/>
                <w:szCs w:val="24"/>
                <w:rtl w:val="0"/>
              </w:rPr>
              <w:t xml:space="preserve"> Após o lançamento do produto no mercado baseado no faturamento líquido mensal das vendas, obtido com a comercialização dos produtos fabricados em razão do presente licenciamento.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Parâmetro</w:t>
            </w:r>
            <w:r w:rsidDel="00000000" w:rsidR="00000000" w:rsidRPr="00000000">
              <w:rPr>
                <w:rFonts w:ascii="Times New Roman" w:cs="Times New Roman" w:eastAsia="Times New Roman" w:hAnsi="Times New Roman"/>
                <w:sz w:val="24"/>
                <w:szCs w:val="24"/>
                <w:rtl w:val="0"/>
              </w:rPr>
              <w:t xml:space="preserve">: Propostas deverão considerar o percentual mínimo de 2,0% sobre o faturamento bruto.</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ponto a cada 2,0%</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a diferença entre o percentual mínimo aceito pela UFAL e a oferta feita pela empresa.</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Pontos </w:t>
            </w:r>
          </w:p>
        </w:tc>
      </w:tr>
      <w:tr>
        <w:trPr>
          <w:cantSplit w:val="0"/>
          <w:trHeight w:val="4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Pontuação total </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 Pontos</w:t>
            </w:r>
          </w:p>
        </w:tc>
      </w:tr>
    </w:tbl>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Style w:val="Title"/>
        <w:jc w:val="both"/>
        <w:rPr>
          <w:sz w:val="24"/>
          <w:szCs w:val="24"/>
        </w:rPr>
      </w:pPr>
      <w:bookmarkStart w:colFirst="0" w:colLast="0" w:name="_heading=h.m2l0akkjr5d9" w:id="10"/>
      <w:bookmarkEnd w:id="10"/>
      <w:r w:rsidDel="00000000" w:rsidR="00000000" w:rsidRPr="00000000">
        <w:rPr>
          <w:sz w:val="24"/>
          <w:szCs w:val="24"/>
          <w:rtl w:val="0"/>
        </w:rPr>
        <w:t xml:space="preserve">CLÁUSULA SEXTA - </w:t>
      </w:r>
      <w:r w:rsidDel="00000000" w:rsidR="00000000" w:rsidRPr="00000000">
        <w:rPr>
          <w:sz w:val="24"/>
          <w:szCs w:val="24"/>
          <w:rtl w:val="0"/>
        </w:rPr>
        <w:t xml:space="preserve">DO JULGAMENTO E HABILITAÇÃO </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 </w:t>
      </w:r>
      <w:r w:rsidDel="00000000" w:rsidR="00000000" w:rsidRPr="00000000">
        <w:rPr>
          <w:rFonts w:ascii="Times New Roman" w:cs="Times New Roman" w:eastAsia="Times New Roman" w:hAnsi="Times New Roman"/>
          <w:sz w:val="24"/>
          <w:szCs w:val="24"/>
          <w:rtl w:val="0"/>
        </w:rPr>
        <w:t xml:space="preserve">O julgamento e habilitação das propostas serão feitos por uma Comissão de Avaliação designada pelo INSA, composta por no mínimo três membros. </w:t>
      </w:r>
    </w:p>
    <w:p w:rsidR="00000000" w:rsidDel="00000000" w:rsidP="00000000" w:rsidRDefault="00000000" w:rsidRPr="00000000" w14:paraId="000000E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As propostas receberão pontuação de acordo com o quadro de critérios exposto no Cláusula quinta. Na fase de julgamento, será aprovada a proposta que for habilitada jurídica, fiscal, econômica e tecnicamente, obtiver o maior número de pontos de acordo com a tabela do Cláusula quinta. </w:t>
      </w:r>
    </w:p>
    <w:p w:rsidR="00000000" w:rsidDel="00000000" w:rsidP="00000000" w:rsidRDefault="00000000" w:rsidRPr="00000000" w14:paraId="000000E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Em caso de empate, será considerada vencedora a empresa que obtiver melhor pontuação isolada no critério “Proposta de percentual de royalties”. Caso persista o empate, será considerada a vencedora empresa que obtiver melhor pontuação isolada no quesito “Tempo para desenvolvimento e início da comercialização” e por último “Demonstração de conhecimento na área pelos membros da empresa”. </w:t>
      </w:r>
    </w:p>
    <w:p w:rsidR="00000000" w:rsidDel="00000000" w:rsidP="00000000" w:rsidRDefault="00000000" w:rsidRPr="00000000" w14:paraId="000000E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Serão previamente desclassificadas as propostas de proponentes que: </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não apresentarem as informações e documentos solicitados neste Extrato de Oferta Tecnológica; </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contiverem vícios insanáveis, inconsistências, emendas ou rasuras em campo relevante; </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omitirem qualquer elemento solicitado; e </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o interessado ou seu representante não comparecer na reunião de negociação.</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Style w:val="Title"/>
        <w:jc w:val="both"/>
        <w:rPr>
          <w:sz w:val="24"/>
          <w:szCs w:val="24"/>
        </w:rPr>
      </w:pPr>
      <w:bookmarkStart w:colFirst="0" w:colLast="0" w:name="_heading=h.gbqkllssf2uk" w:id="11"/>
      <w:bookmarkEnd w:id="11"/>
      <w:r w:rsidDel="00000000" w:rsidR="00000000" w:rsidRPr="00000000">
        <w:rPr>
          <w:sz w:val="24"/>
          <w:szCs w:val="24"/>
          <w:rtl w:val="0"/>
        </w:rPr>
        <w:t xml:space="preserve">CLÁUSULA SÉTIMA - </w:t>
      </w:r>
      <w:r w:rsidDel="00000000" w:rsidR="00000000" w:rsidRPr="00000000">
        <w:rPr>
          <w:sz w:val="24"/>
          <w:szCs w:val="24"/>
          <w:rtl w:val="0"/>
        </w:rPr>
        <w:t xml:space="preserve"> DOS RESULTADOS </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w:t>
      </w:r>
      <w:r w:rsidDel="00000000" w:rsidR="00000000" w:rsidRPr="00000000">
        <w:rPr>
          <w:rFonts w:ascii="Times New Roman" w:cs="Times New Roman" w:eastAsia="Times New Roman" w:hAnsi="Times New Roman"/>
          <w:sz w:val="24"/>
          <w:szCs w:val="24"/>
          <w:rtl w:val="0"/>
        </w:rPr>
        <w:t xml:space="preserve"> Os resultados parcial e final serão publicados no site do INSA (https://www.gov.br/insa/) conforme estabelecido no Anexo I - Cronograma deste Extrato de Oferta Tecnológica. </w:t>
      </w:r>
    </w:p>
    <w:p w:rsidR="00000000" w:rsidDel="00000000" w:rsidP="00000000" w:rsidRDefault="00000000" w:rsidRPr="00000000" w14:paraId="000000E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Nos prazos estabelecidos no Anexo I - Cronograma, os recursos deverão ser interpostos dentro dos parâmetros exigidos no Cláusula oitava. </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Style w:val="Title"/>
        <w:jc w:val="both"/>
        <w:rPr>
          <w:sz w:val="24"/>
          <w:szCs w:val="24"/>
        </w:rPr>
      </w:pPr>
      <w:bookmarkStart w:colFirst="0" w:colLast="0" w:name="_heading=h.4vfr6ss4hxhy" w:id="12"/>
      <w:bookmarkEnd w:id="12"/>
      <w:r w:rsidDel="00000000" w:rsidR="00000000" w:rsidRPr="00000000">
        <w:rPr>
          <w:sz w:val="24"/>
          <w:szCs w:val="24"/>
          <w:rtl w:val="0"/>
        </w:rPr>
        <w:t xml:space="preserve">CLÁUSULA OITAVA - </w:t>
      </w:r>
      <w:r w:rsidDel="00000000" w:rsidR="00000000" w:rsidRPr="00000000">
        <w:rPr>
          <w:sz w:val="24"/>
          <w:szCs w:val="24"/>
          <w:rtl w:val="0"/>
        </w:rPr>
        <w:t xml:space="preserve">DOS RECURSOS </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w:t>
      </w:r>
      <w:r w:rsidDel="00000000" w:rsidR="00000000" w:rsidRPr="00000000">
        <w:rPr>
          <w:rFonts w:ascii="Times New Roman" w:cs="Times New Roman" w:eastAsia="Times New Roman" w:hAnsi="Times New Roman"/>
          <w:sz w:val="24"/>
          <w:szCs w:val="24"/>
          <w:rtl w:val="0"/>
        </w:rPr>
        <w:t xml:space="preserve"> Poderá ser interposto recurso administrativo, devidamente motivado, contra resultado parcial ou final no prazo de 3 (três) dias corridos contados da disponibilização dos respectivos resultados no site do INSA. </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Os interessados poderão interpor recurso por escrito, contendo a assinatura e identificação do emissor, devendo encaminhá-lo obrigatoriamente por e-mail para o endereço: pi@insa.gov.br indicando no assunto o texto: RECURSO - Extrato de Oferta Tecnológica n°</w:t>
      </w:r>
      <w:r w:rsidDel="00000000" w:rsidR="00000000" w:rsidRPr="00000000">
        <w:rPr>
          <w:rFonts w:ascii="Times New Roman" w:cs="Times New Roman" w:eastAsia="Times New Roman" w:hAnsi="Times New Roman"/>
          <w:color w:val="ff0000"/>
          <w:sz w:val="24"/>
          <w:szCs w:val="24"/>
          <w:rtl w:val="0"/>
        </w:rPr>
        <w:t xml:space="preserve">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ano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 Comissão de Avaliação decidirá de modo fundamentado acerca da reconsideração ou não de sua decisão. Em caso negativo, os autos serão encaminhados ao Diretor Executivo da Inova para decisão. </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 decisão do recurso será disponibilizada por meio de publicação no site da Agência de Inovação. </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Os recursos interpostos fora do prazo não serão conhecidos. </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Style w:val="Title"/>
        <w:jc w:val="both"/>
        <w:rPr>
          <w:sz w:val="24"/>
          <w:szCs w:val="24"/>
        </w:rPr>
      </w:pPr>
      <w:bookmarkStart w:colFirst="0" w:colLast="0" w:name="_heading=h.zdcie2xhvi0k" w:id="13"/>
      <w:bookmarkEnd w:id="13"/>
      <w:r w:rsidDel="00000000" w:rsidR="00000000" w:rsidRPr="00000000">
        <w:rPr>
          <w:sz w:val="24"/>
          <w:szCs w:val="24"/>
          <w:rtl w:val="0"/>
        </w:rPr>
        <w:t xml:space="preserve">CLÁUSULA NONA - </w:t>
      </w:r>
      <w:r w:rsidDel="00000000" w:rsidR="00000000" w:rsidRPr="00000000">
        <w:rPr>
          <w:sz w:val="24"/>
          <w:szCs w:val="24"/>
          <w:rtl w:val="0"/>
        </w:rPr>
        <w:t xml:space="preserve"> CONSIDERAÇÕES FINAIS </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w:t>
      </w:r>
      <w:r w:rsidDel="00000000" w:rsidR="00000000" w:rsidRPr="00000000">
        <w:rPr>
          <w:rFonts w:ascii="Times New Roman" w:cs="Times New Roman" w:eastAsia="Times New Roman" w:hAnsi="Times New Roman"/>
          <w:sz w:val="24"/>
          <w:szCs w:val="24"/>
          <w:rtl w:val="0"/>
        </w:rPr>
        <w:t xml:space="preserve"> A empresa poderá contratar o INSA para realizar atividades de pesquisa e desenvolvimento adicionais de forma a adequar, adaptar ou ampliar o grau de maturidade tecnológica da tecnologia licenciada ao processo produtivo e aos demais requisitos técnicos da empresa. </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As atividades previstas no caput deverão ser acordadas em instrumento jurídico à parte e não compõem o objeto deste Extrato de Oferta Tecnológica. </w:t>
      </w:r>
    </w:p>
    <w:p w:rsidR="00000000" w:rsidDel="00000000" w:rsidP="00000000" w:rsidRDefault="00000000" w:rsidRPr="00000000" w14:paraId="000000F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A empresa terá 15 (quinze) dias, a partir da convocação feita pelo INSA, para assinar o contrato. </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Caso a empresa proponente vencedora não formalize o contrato no prazo supracitado, será considerada como desistente e automaticamente será convocada a empresa seguinte da lista de classificação. </w:t>
      </w:r>
    </w:p>
    <w:p w:rsidR="00000000" w:rsidDel="00000000" w:rsidP="00000000" w:rsidRDefault="00000000" w:rsidRPr="00000000" w14:paraId="000000F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O envio de proposta para seleção importa em irrevogável adesão do interessado aos termos deste Extrato de Oferta Tecnológica. Os participantes se obrigam ao integral cumprimento de sua proposta, sob pena de serem aplicadas as sanções previstas em lei. </w:t>
      </w:r>
    </w:p>
    <w:p w:rsidR="00000000" w:rsidDel="00000000" w:rsidP="00000000" w:rsidRDefault="00000000" w:rsidRPr="00000000" w14:paraId="0000010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Nos termos do parágrafo 2º do art. 13 do Decreto 8.538/2015, a empresa deverá declarar por meio do Formulário de Proposta, sob as penas da lei, de que cumpre os requisitos legais para qualificação como microempresa ou empresa de pequeno porte. </w:t>
      </w:r>
    </w:p>
    <w:p w:rsidR="00000000" w:rsidDel="00000000" w:rsidP="00000000" w:rsidRDefault="00000000" w:rsidRPr="00000000" w14:paraId="0000010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Os erros materiais relevantes referentes às propostas poderão ser solucionadas a critério da Comissão de Avaliação designada pelo INSA. </w:t>
      </w:r>
    </w:p>
    <w:p w:rsidR="00000000" w:rsidDel="00000000" w:rsidP="00000000" w:rsidRDefault="00000000" w:rsidRPr="00000000" w14:paraId="0000010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sexto -</w:t>
      </w:r>
      <w:r w:rsidDel="00000000" w:rsidR="00000000" w:rsidRPr="00000000">
        <w:rPr>
          <w:rFonts w:ascii="Times New Roman" w:cs="Times New Roman" w:eastAsia="Times New Roman" w:hAnsi="Times New Roman"/>
          <w:sz w:val="24"/>
          <w:szCs w:val="24"/>
          <w:rtl w:val="0"/>
        </w:rPr>
        <w:t xml:space="preserve"> A Comissão de Avaliação poderá rejeitar as propostas em caso de não preenchimento correto das condições e especificações nesse Extrato de Oferta Tecnológica. </w:t>
      </w:r>
    </w:p>
    <w:p w:rsidR="00000000" w:rsidDel="00000000" w:rsidP="00000000" w:rsidRDefault="00000000" w:rsidRPr="00000000" w14:paraId="0000010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sétimo -</w:t>
      </w:r>
      <w:r w:rsidDel="00000000" w:rsidR="00000000" w:rsidRPr="00000000">
        <w:rPr>
          <w:rFonts w:ascii="Times New Roman" w:cs="Times New Roman" w:eastAsia="Times New Roman" w:hAnsi="Times New Roman"/>
          <w:sz w:val="24"/>
          <w:szCs w:val="24"/>
          <w:rtl w:val="0"/>
        </w:rPr>
        <w:t xml:space="preserve"> A Comissão de Avaliação poderá, em qualquer fase do procedimento de escolha da contratada, promover diligência, a seu exclusivo critério, para obter esclarecimentos ou informações complementares. </w:t>
      </w:r>
    </w:p>
    <w:p w:rsidR="00000000" w:rsidDel="00000000" w:rsidP="00000000" w:rsidRDefault="00000000" w:rsidRPr="00000000" w14:paraId="0000010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oitavo -</w:t>
      </w:r>
      <w:r w:rsidDel="00000000" w:rsidR="00000000" w:rsidRPr="00000000">
        <w:rPr>
          <w:rFonts w:ascii="Times New Roman" w:cs="Times New Roman" w:eastAsia="Times New Roman" w:hAnsi="Times New Roman"/>
          <w:sz w:val="24"/>
          <w:szCs w:val="24"/>
          <w:rtl w:val="0"/>
        </w:rPr>
        <w:t xml:space="preserve"> A empresa vencedora deverá arcar com todos os custos, taxas e emolumentos referentes à manutenção das patentes relacionadas neste Extrato de Oferta Tecnológica e novos pedidos decorrentes destes, a partir da data de assinatura do contrato de licenciamento. </w:t>
      </w:r>
    </w:p>
    <w:p w:rsidR="00000000" w:rsidDel="00000000" w:rsidP="00000000" w:rsidRDefault="00000000" w:rsidRPr="00000000" w14:paraId="0000010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nono-</w:t>
      </w:r>
      <w:r w:rsidDel="00000000" w:rsidR="00000000" w:rsidRPr="00000000">
        <w:rPr>
          <w:rFonts w:ascii="Times New Roman" w:cs="Times New Roman" w:eastAsia="Times New Roman" w:hAnsi="Times New Roman"/>
          <w:sz w:val="24"/>
          <w:szCs w:val="24"/>
          <w:rtl w:val="0"/>
        </w:rPr>
        <w:t xml:space="preserve"> Na eventualidade de entrega de qualquer documento de maneira presencial, esta deve ser previamente agendada pelo e-mail pi@insa.gov.br. </w:t>
      </w:r>
    </w:p>
    <w:p w:rsidR="00000000" w:rsidDel="00000000" w:rsidP="00000000" w:rsidRDefault="00000000" w:rsidRPr="00000000" w14:paraId="000001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w:t>
      </w:r>
      <w:r w:rsidDel="00000000" w:rsidR="00000000" w:rsidRPr="00000000">
        <w:rPr>
          <w:rFonts w:ascii="Times New Roman" w:cs="Times New Roman" w:eastAsia="Times New Roman" w:hAnsi="Times New Roman"/>
          <w:sz w:val="24"/>
          <w:szCs w:val="24"/>
          <w:rtl w:val="0"/>
        </w:rPr>
        <w:t xml:space="preserve"> As condições do contrato de licenciamento serão negociadas após o encerramento do procedimento de oferta somente com a empresa vencedora, sendo que o contrato pode ser ajustado para adequação ao caso concreto, conforme apontado pela Comissão de Avaliação. </w:t>
      </w:r>
    </w:p>
    <w:p w:rsidR="00000000" w:rsidDel="00000000" w:rsidP="00000000" w:rsidRDefault="00000000" w:rsidRPr="00000000" w14:paraId="0000010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primeiro -</w:t>
      </w:r>
      <w:r w:rsidDel="00000000" w:rsidR="00000000" w:rsidRPr="00000000">
        <w:rPr>
          <w:rFonts w:ascii="Times New Roman" w:cs="Times New Roman" w:eastAsia="Times New Roman" w:hAnsi="Times New Roman"/>
          <w:sz w:val="24"/>
          <w:szCs w:val="24"/>
          <w:rtl w:val="0"/>
        </w:rPr>
        <w:t xml:space="preserve"> O presente Extrato poderá ser alterado, anulado ou revogado, a critério do INSA, não cabendo à mesma indenizar ou compensar empresas proponentes. </w:t>
      </w:r>
    </w:p>
    <w:p w:rsidR="00000000" w:rsidDel="00000000" w:rsidP="00000000" w:rsidRDefault="00000000" w:rsidRPr="00000000" w14:paraId="00000111">
      <w:pPr>
        <w:widowControl w:val="0"/>
        <w:spacing w:after="0" w:before="1" w:line="276" w:lineRule="auto"/>
        <w:ind w:right="3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2">
      <w:pPr>
        <w:widowControl w:val="0"/>
        <w:spacing w:after="0" w:before="1" w:line="276" w:lineRule="auto"/>
        <w:ind w:right="3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3">
      <w:pPr>
        <w:widowControl w:val="0"/>
        <w:spacing w:after="0" w:before="1" w:line="276" w:lineRule="auto"/>
        <w:ind w:right="3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widowControl w:val="0"/>
        <w:spacing w:after="0" w:before="1" w:line="276" w:lineRule="auto"/>
        <w:ind w:right="30"/>
        <w:jc w:val="both"/>
        <w:rPr>
          <w:rFonts w:ascii="Times New Roman" w:cs="Times New Roman" w:eastAsia="Times New Roman" w:hAnsi="Times New Roman"/>
          <w:color w:val="ff0000"/>
          <w:sz w:val="24"/>
          <w:szCs w:val="24"/>
        </w:rPr>
      </w:pPr>
      <w:r w:rsidDel="00000000" w:rsidR="00000000" w:rsidRPr="00000000">
        <w:rPr>
          <w:rtl w:val="0"/>
        </w:rPr>
      </w:r>
    </w:p>
    <w:sdt>
      <w:sdtPr>
        <w:tag w:val="goog_rdk_4"/>
      </w:sdtPr>
      <w:sdtContent>
        <w:p w:rsidR="00000000" w:rsidDel="00000000" w:rsidP="00000000" w:rsidRDefault="00000000" w:rsidRPr="00000000" w14:paraId="00000116">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5"/>
      </w:sdtPr>
      <w:sdtContent>
        <w:p w:rsidR="00000000" w:rsidDel="00000000" w:rsidP="00000000" w:rsidRDefault="00000000" w:rsidRPr="00000000" w14:paraId="00000117">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bookmarkStart w:colFirst="0" w:colLast="0" w:name="_heading=h.x85cr0coj8lg" w:id="14"/>
          <w:bookmarkEnd w:id="14"/>
          <w:r w:rsidDel="00000000" w:rsidR="00000000" w:rsidRPr="00000000">
            <w:rPr>
              <w:rFonts w:ascii="Times New Roman" w:cs="Times New Roman" w:eastAsia="Times New Roman" w:hAnsi="Times New Roman"/>
              <w:sz w:val="24"/>
              <w:szCs w:val="24"/>
              <w:rtl w:val="0"/>
            </w:rPr>
            <w:t xml:space="preserve">Pelo INSA:</w:t>
          </w:r>
        </w:p>
      </w:sdtContent>
    </w:sdt>
    <w:p w:rsidR="00000000" w:rsidDel="00000000" w:rsidP="00000000" w:rsidRDefault="00000000" w:rsidRPr="00000000" w14:paraId="00000118">
      <w:pPr>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Mônica Tejo Cavalcanti</w:t>
      </w:r>
    </w:p>
    <w:p w:rsidR="00000000" w:rsidDel="00000000" w:rsidP="00000000" w:rsidRDefault="00000000" w:rsidRPr="00000000" w14:paraId="00000119">
      <w:pPr>
        <w:spacing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Diretora</w:t>
      </w:r>
    </w:p>
    <w:sectPr>
      <w:headerReference r:id="rId7" w:type="default"/>
      <w:footerReference r:id="rId8" w:type="default"/>
      <w:pgSz w:h="16838" w:w="11906" w:orient="portrait"/>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676275</wp:posOffset>
          </wp:positionH>
          <wp:positionV relativeFrom="paragraph">
            <wp:posOffset>-380997</wp:posOffset>
          </wp:positionV>
          <wp:extent cx="4401312" cy="606552"/>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790575</wp:posOffset>
          </wp:positionH>
          <wp:positionV relativeFrom="paragraph">
            <wp:posOffset>-286384</wp:posOffset>
          </wp:positionV>
          <wp:extent cx="3803906" cy="616374"/>
          <wp:effectExtent b="0" l="0" r="0" t="0"/>
          <wp:wrapNone/>
          <wp:docPr id="15" name="image2.png"/>
          <a:graphic>
            <a:graphicData uri="http://schemas.openxmlformats.org/drawingml/2006/picture">
              <pic:pic>
                <pic:nvPicPr>
                  <pic:cNvPr id="0" name="image2.png"/>
                  <pic:cNvPicPr preferRelativeResize="0"/>
                </pic:nvPicPr>
                <pic:blipFill>
                  <a:blip r:embed="rId1"/>
                  <a:srcRect b="23513" l="-11969" r="10292" t="22561"/>
                  <a:stretch>
                    <a:fillRect/>
                  </a:stretch>
                </pic:blipFill>
                <pic:spPr>
                  <a:xfrm>
                    <a:off x="0" y="0"/>
                    <a:ext cx="3803906" cy="616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both"/>
    </w:pPr>
    <w:rPr>
      <w:rFonts w:ascii="Times New Roman" w:cs="Times New Roman" w:eastAsia="Times New Roman" w:hAnsi="Times New Roman"/>
      <w:b w:val="1"/>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3A47B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A47BD"/>
  </w:style>
  <w:style w:type="paragraph" w:styleId="Rodap">
    <w:name w:val="footer"/>
    <w:basedOn w:val="Normal"/>
    <w:link w:val="RodapChar"/>
    <w:uiPriority w:val="99"/>
    <w:unhideWhenUsed w:val="1"/>
    <w:rsid w:val="003A47BD"/>
    <w:pPr>
      <w:tabs>
        <w:tab w:val="center" w:pos="4252"/>
        <w:tab w:val="right" w:pos="8504"/>
      </w:tabs>
      <w:spacing w:after="0" w:line="240" w:lineRule="auto"/>
    </w:pPr>
  </w:style>
  <w:style w:type="character" w:styleId="RodapChar" w:customStyle="1">
    <w:name w:val="Rodapé Char"/>
    <w:basedOn w:val="Fontepargpadro"/>
    <w:link w:val="Rodap"/>
    <w:uiPriority w:val="99"/>
    <w:rsid w:val="003A47BD"/>
  </w:style>
  <w:style w:type="paragraph" w:styleId="Textodebalo">
    <w:name w:val="Balloon Text"/>
    <w:basedOn w:val="Normal"/>
    <w:link w:val="TextodebaloChar"/>
    <w:uiPriority w:val="99"/>
    <w:semiHidden w:val="1"/>
    <w:unhideWhenUsed w:val="1"/>
    <w:rsid w:val="00E56EF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56EFC"/>
    <w:rPr>
      <w:rFonts w:ascii="Tahoma" w:cs="Tahoma" w:hAnsi="Tahoma"/>
      <w:sz w:val="16"/>
      <w:szCs w:val="16"/>
    </w:rPr>
  </w:style>
  <w:style w:type="paragraph" w:styleId="NormalWeb">
    <w:name w:val="Normal (Web)"/>
    <w:basedOn w:val="Normal"/>
    <w:uiPriority w:val="99"/>
    <w:semiHidden w:val="1"/>
    <w:unhideWhenUsed w:val="1"/>
    <w:rsid w:val="00AC6963"/>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AC6963"/>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gnqU6t4Vog+xQ2DEhtHTWeOJbg==">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2022-06-20T12:14:00Z</dcterms:created>
  <dc:creator>wedscley.melo</dc:creator>
</cp:coreProperties>
</file>