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BA" w:rsidRPr="009B06E3" w:rsidRDefault="00A565BA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759"/>
        <w:jc w:val="center"/>
      </w:pPr>
      <w:r w:rsidRPr="009B06E3">
        <w:rPr>
          <w:noProof/>
        </w:rPr>
        <w:drawing>
          <wp:anchor distT="0" distB="0" distL="114300" distR="114300" simplePos="0" relativeHeight="251659264" behindDoc="0" locked="0" layoutInCell="1" allowOverlap="0" wp14:anchorId="166E3AC1" wp14:editId="1DD0C8BF">
            <wp:simplePos x="0" y="0"/>
            <wp:positionH relativeFrom="column">
              <wp:posOffset>-283210</wp:posOffset>
            </wp:positionH>
            <wp:positionV relativeFrom="paragraph">
              <wp:posOffset>-128905</wp:posOffset>
            </wp:positionV>
            <wp:extent cx="3219450" cy="942975"/>
            <wp:effectExtent l="0" t="0" r="0" b="9525"/>
            <wp:wrapSquare wrapText="bothSides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6E3">
        <w:rPr>
          <w:b/>
          <w:sz w:val="32"/>
        </w:rPr>
        <w:t>FICHA TÉCNICA DE REGISTRO DE INDICAÇÃO GEOGRÁFICA</w:t>
      </w: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3" w:firstLine="0"/>
        <w:jc w:val="center"/>
      </w:pPr>
      <w:r>
        <w:rPr>
          <w:b/>
          <w:sz w:val="32"/>
        </w:rPr>
        <w:t xml:space="preserve"> </w:t>
      </w: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</w:pPr>
      <w:r>
        <w:rPr>
          <w:b/>
        </w:rPr>
        <w:t xml:space="preserve">1. INDICAÇÃO GEOGRÁFICA </w:t>
      </w: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" w:line="259" w:lineRule="auto"/>
        <w:ind w:left="12" w:right="0" w:firstLine="0"/>
        <w:jc w:val="left"/>
      </w:pPr>
      <w:r>
        <w:rPr>
          <w:b/>
        </w:rPr>
        <w:t xml:space="preserve"> </w:t>
      </w:r>
    </w:p>
    <w:p w:rsidR="006D0446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t>País de origem: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6D0446" w:rsidTr="006D0446">
        <w:tc>
          <w:tcPr>
            <w:tcW w:w="9900" w:type="dxa"/>
          </w:tcPr>
          <w:p w:rsidR="006D0446" w:rsidRDefault="00A52F9F" w:rsidP="006D0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t>Brasil</w:t>
            </w:r>
          </w:p>
        </w:tc>
      </w:tr>
    </w:tbl>
    <w:p w:rsidR="006D0446" w:rsidRPr="00A565BA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sz w:val="10"/>
          <w:szCs w:val="10"/>
        </w:rPr>
      </w:pPr>
    </w:p>
    <w:p w:rsidR="006D0446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t>Nome da Indicação Geográfica:</w:t>
      </w:r>
      <w:r w:rsidRPr="006D0446">
        <w:rPr>
          <w:b/>
        </w:rP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6D0446" w:rsidTr="00AE3F1F">
        <w:tc>
          <w:tcPr>
            <w:tcW w:w="9900" w:type="dxa"/>
          </w:tcPr>
          <w:p w:rsidR="006D0446" w:rsidRDefault="00A52F9F" w:rsidP="00E46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t>Campo das Vertentes</w:t>
            </w:r>
          </w:p>
        </w:tc>
      </w:tr>
    </w:tbl>
    <w:p w:rsidR="006D0446" w:rsidRPr="00A565BA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sz w:val="10"/>
          <w:szCs w:val="10"/>
        </w:rPr>
      </w:pPr>
    </w:p>
    <w:p w:rsidR="00EB4683" w:rsidRDefault="006D0446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t xml:space="preserve">Espécie: </w:t>
      </w:r>
      <w:r>
        <w:rPr>
          <w:b/>
        </w:rPr>
        <w:tab/>
        <w:t>(</w:t>
      </w:r>
      <w:r w:rsidR="00A52F9F">
        <w:rPr>
          <w:b/>
        </w:rPr>
        <w:t>X</w:t>
      </w:r>
      <w:r>
        <w:rPr>
          <w:b/>
        </w:rPr>
        <w:t xml:space="preserve">) </w:t>
      </w:r>
      <w:proofErr w:type="gramStart"/>
      <w:r>
        <w:rPr>
          <w:b/>
        </w:rPr>
        <w:t xml:space="preserve">IP  </w:t>
      </w:r>
      <w:r>
        <w:rPr>
          <w:b/>
        </w:rPr>
        <w:tab/>
      </w:r>
      <w:proofErr w:type="gramEnd"/>
      <w:r>
        <w:rPr>
          <w:b/>
        </w:rPr>
        <w:t xml:space="preserve">(  </w:t>
      </w:r>
      <w:r w:rsidR="00C7443D">
        <w:rPr>
          <w:b/>
        </w:rPr>
        <w:t xml:space="preserve">) DO </w:t>
      </w:r>
    </w:p>
    <w:p w:rsidR="00A565BA" w:rsidRPr="00A565BA" w:rsidRDefault="00A565BA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  <w:sz w:val="10"/>
          <w:szCs w:val="10"/>
        </w:rPr>
      </w:pPr>
    </w:p>
    <w:p w:rsidR="006D0446" w:rsidRDefault="00C7443D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t>Número do registro no Brasil:</w:t>
      </w:r>
      <w: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6D0446" w:rsidTr="00AE3F1F">
        <w:tc>
          <w:tcPr>
            <w:tcW w:w="9900" w:type="dxa"/>
          </w:tcPr>
          <w:p w:rsidR="006D0446" w:rsidRDefault="00A52F9F" w:rsidP="00AE3F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 w:rsidRPr="00A52F9F">
              <w:t>BR402019000013-5</w:t>
            </w:r>
          </w:p>
        </w:tc>
      </w:tr>
    </w:tbl>
    <w:p w:rsidR="006D0446" w:rsidRPr="00A565BA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sz w:val="10"/>
          <w:szCs w:val="10"/>
        </w:rPr>
      </w:pPr>
    </w:p>
    <w:p w:rsidR="006D0446" w:rsidRDefault="00C7443D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t>Data de concessão do registro:</w:t>
      </w:r>
      <w: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6D0446" w:rsidTr="00AE3F1F">
        <w:tc>
          <w:tcPr>
            <w:tcW w:w="9900" w:type="dxa"/>
          </w:tcPr>
          <w:p w:rsidR="006D0446" w:rsidRDefault="00A52F9F" w:rsidP="001662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t>24/11/2020</w:t>
            </w:r>
          </w:p>
        </w:tc>
      </w:tr>
    </w:tbl>
    <w:p w:rsidR="006D0446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sz w:val="10"/>
          <w:szCs w:val="10"/>
        </w:rPr>
      </w:pPr>
    </w:p>
    <w:p w:rsidR="001662D3" w:rsidRDefault="007470AC" w:rsidP="00166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t>Data da ú</w:t>
      </w:r>
      <w:r w:rsidR="001662D3">
        <w:rPr>
          <w:b/>
        </w:rPr>
        <w:t>ltima alteração de registro deferida:</w:t>
      </w:r>
      <w:r w:rsidR="001662D3"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1662D3" w:rsidTr="00270A53">
        <w:tc>
          <w:tcPr>
            <w:tcW w:w="9900" w:type="dxa"/>
          </w:tcPr>
          <w:p w:rsidR="001662D3" w:rsidRDefault="00A52F9F" w:rsidP="00270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t>05/05/2026</w:t>
            </w:r>
          </w:p>
        </w:tc>
      </w:tr>
    </w:tbl>
    <w:p w:rsidR="001662D3" w:rsidRPr="00A565BA" w:rsidRDefault="001662D3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sz w:val="10"/>
          <w:szCs w:val="10"/>
        </w:rPr>
      </w:pPr>
    </w:p>
    <w:p w:rsidR="006D0446" w:rsidRDefault="001662D3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t>Publicação do deferimento da última alteração d</w:t>
      </w:r>
      <w:r w:rsidR="007470AC">
        <w:rPr>
          <w:b/>
        </w:rPr>
        <w:t>e</w:t>
      </w:r>
      <w:r>
        <w:rPr>
          <w:b/>
        </w:rPr>
        <w:t xml:space="preserve"> registro</w:t>
      </w:r>
      <w:r w:rsidR="00C7443D">
        <w:rPr>
          <w:b/>
        </w:rPr>
        <w:t>:</w:t>
      </w:r>
      <w:r w:rsidR="00C7443D"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6D0446" w:rsidTr="00AE3F1F">
        <w:tc>
          <w:tcPr>
            <w:tcW w:w="9900" w:type="dxa"/>
          </w:tcPr>
          <w:p w:rsidR="006D0446" w:rsidRPr="007470AC" w:rsidRDefault="00A52F9F" w:rsidP="00AE3F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 w:rsidRPr="00A52F9F">
              <w:t>https://revistas.inpi.gov.br/pdf/Indicacoes_Geograficas2887.pdf</w:t>
            </w:r>
          </w:p>
        </w:tc>
      </w:tr>
    </w:tbl>
    <w:p w:rsidR="006D0446" w:rsidRPr="00A565BA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sz w:val="10"/>
          <w:szCs w:val="10"/>
        </w:rPr>
      </w:pPr>
    </w:p>
    <w:p w:rsidR="006D0446" w:rsidRDefault="00C7443D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t>Caderno de Especificações Técnicas:</w:t>
      </w:r>
      <w: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6D0446" w:rsidTr="00AE3F1F">
        <w:tc>
          <w:tcPr>
            <w:tcW w:w="9900" w:type="dxa"/>
          </w:tcPr>
          <w:p w:rsidR="006D0446" w:rsidRDefault="00A52F9F" w:rsidP="00747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 w:rsidRPr="00A52F9F">
              <w:t>https://www.gov.br/inpi/pt-br/servicos/indicacoes-geograficas/arquivos/cadernos-de-especificacoes-tecnicas/copy_of_CampodasVertentes.pdf</w:t>
            </w:r>
          </w:p>
        </w:tc>
      </w:tr>
    </w:tbl>
    <w:p w:rsidR="006D0446" w:rsidRPr="00A565BA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sz w:val="10"/>
          <w:szCs w:val="10"/>
        </w:rPr>
      </w:pP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133"/>
        </w:tabs>
        <w:spacing w:after="19" w:line="259" w:lineRule="auto"/>
        <w:ind w:left="-3" w:right="0" w:firstLine="0"/>
        <w:jc w:val="left"/>
      </w:pPr>
      <w:r>
        <w:rPr>
          <w:b/>
        </w:rPr>
        <w:t xml:space="preserve">Representação figurativa/gráfica:   </w:t>
      </w:r>
      <w:proofErr w:type="gramStart"/>
      <w:r>
        <w:rPr>
          <w:b/>
        </w:rPr>
        <w:tab/>
        <w:t xml:space="preserve">(  </w:t>
      </w:r>
      <w:proofErr w:type="gramEnd"/>
      <w:r>
        <w:rPr>
          <w:b/>
        </w:rPr>
        <w:t xml:space="preserve"> ) Não se aplica</w:t>
      </w:r>
      <w:r>
        <w:t xml:space="preserve"> </w:t>
      </w:r>
    </w:p>
    <w:p w:rsidR="006B59ED" w:rsidRDefault="00A52F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133"/>
        </w:tabs>
        <w:spacing w:after="19" w:line="259" w:lineRule="auto"/>
        <w:ind w:left="-3" w:right="0" w:firstLine="0"/>
        <w:jc w:val="left"/>
        <w:rPr>
          <w:noProof/>
        </w:rPr>
      </w:pPr>
      <w:r w:rsidRPr="00A52F9F">
        <w:drawing>
          <wp:anchor distT="0" distB="0" distL="114300" distR="114300" simplePos="0" relativeHeight="251658240" behindDoc="0" locked="0" layoutInCell="1" allowOverlap="1" wp14:anchorId="661BB3DD">
            <wp:simplePos x="0" y="0"/>
            <wp:positionH relativeFrom="column">
              <wp:posOffset>130175</wp:posOffset>
            </wp:positionH>
            <wp:positionV relativeFrom="paragraph">
              <wp:posOffset>159385</wp:posOffset>
            </wp:positionV>
            <wp:extent cx="1725930" cy="1562100"/>
            <wp:effectExtent l="0" t="0" r="762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B1C" w:rsidRDefault="008E4B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133"/>
        </w:tabs>
        <w:spacing w:after="19" w:line="259" w:lineRule="auto"/>
        <w:ind w:left="-3" w:right="0" w:firstLine="0"/>
        <w:jc w:val="left"/>
      </w:pPr>
    </w:p>
    <w:p w:rsidR="006D0446" w:rsidRDefault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" w:line="259" w:lineRule="auto"/>
        <w:ind w:left="12" w:right="0" w:firstLine="0"/>
        <w:jc w:val="left"/>
        <w:rPr>
          <w:b/>
        </w:rPr>
      </w:pPr>
    </w:p>
    <w:p w:rsidR="006D0446" w:rsidRDefault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" w:line="259" w:lineRule="auto"/>
        <w:ind w:left="12" w:right="0" w:firstLine="0"/>
        <w:jc w:val="left"/>
        <w:rPr>
          <w:b/>
        </w:rPr>
      </w:pPr>
    </w:p>
    <w:p w:rsidR="006D0446" w:rsidRDefault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" w:line="259" w:lineRule="auto"/>
        <w:ind w:left="12" w:right="0" w:firstLine="0"/>
        <w:jc w:val="left"/>
        <w:rPr>
          <w:b/>
        </w:rPr>
      </w:pPr>
    </w:p>
    <w:p w:rsidR="008E4B1C" w:rsidRDefault="008E4B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" w:line="259" w:lineRule="auto"/>
        <w:ind w:left="12" w:right="0" w:firstLine="0"/>
        <w:jc w:val="left"/>
        <w:rPr>
          <w:b/>
        </w:rPr>
      </w:pPr>
    </w:p>
    <w:p w:rsidR="00A52F9F" w:rsidRDefault="00A52F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" w:line="259" w:lineRule="auto"/>
        <w:ind w:left="12" w:right="0" w:firstLine="0"/>
        <w:jc w:val="left"/>
        <w:rPr>
          <w:b/>
        </w:rPr>
      </w:pP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2" w:right="0" w:firstLine="0"/>
        <w:jc w:val="left"/>
      </w:pPr>
      <w:r>
        <w:rPr>
          <w:b/>
        </w:rPr>
        <w:t xml:space="preserve"> </w:t>
      </w:r>
    </w:p>
    <w:p w:rsidR="008E4B1C" w:rsidRDefault="008E4B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" w:line="259" w:lineRule="auto"/>
        <w:ind w:left="12" w:right="0" w:firstLine="0"/>
        <w:jc w:val="left"/>
        <w:rPr>
          <w:b/>
        </w:rPr>
      </w:pP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" w:line="259" w:lineRule="auto"/>
        <w:ind w:left="12" w:right="0" w:firstLine="0"/>
        <w:jc w:val="left"/>
      </w:pPr>
      <w:r>
        <w:rPr>
          <w:b/>
        </w:rPr>
        <w:t xml:space="preserve"> </w:t>
      </w:r>
    </w:p>
    <w:p w:rsidR="00EB4683" w:rsidRDefault="00C7443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right="0" w:hanging="240"/>
        <w:jc w:val="left"/>
      </w:pPr>
      <w:r>
        <w:rPr>
          <w:b/>
        </w:rPr>
        <w:t>REQUERENTE DO REGISTRO</w:t>
      </w: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" w:line="259" w:lineRule="auto"/>
        <w:ind w:left="12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2701" w:tblpY="-33"/>
        <w:tblOverlap w:val="never"/>
        <w:tblW w:w="7247" w:type="dxa"/>
        <w:tblInd w:w="0" w:type="dxa"/>
        <w:tblCellMar>
          <w:top w:w="3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247"/>
      </w:tblGrid>
      <w:tr w:rsidR="00EB4683">
        <w:trPr>
          <w:trHeight w:val="324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83" w:rsidRDefault="00A52F9F" w:rsidP="00E46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 w:rsidRPr="00200070">
              <w:rPr>
                <w:bCs/>
              </w:rPr>
              <w:t>Associação dos Cafeicultores do Campo das Vertentes</w:t>
            </w:r>
          </w:p>
        </w:tc>
      </w:tr>
    </w:tbl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</w:pPr>
      <w:r>
        <w:rPr>
          <w:b/>
        </w:rPr>
        <w:t>Nome ou razão social:</w:t>
      </w:r>
      <w:r>
        <w:t xml:space="preserve"> </w:t>
      </w:r>
    </w:p>
    <w:p w:rsidR="00EB4683" w:rsidRPr="008E4B1C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8" w:line="259" w:lineRule="auto"/>
        <w:ind w:left="140" w:right="0" w:firstLine="0"/>
        <w:jc w:val="center"/>
        <w:rPr>
          <w:sz w:val="6"/>
          <w:szCs w:val="6"/>
        </w:rPr>
      </w:pPr>
      <w:r w:rsidRPr="00A565BA">
        <w:rPr>
          <w:sz w:val="10"/>
          <w:szCs w:val="10"/>
        </w:rPr>
        <w:t xml:space="preserve"> </w:t>
      </w:r>
    </w:p>
    <w:tbl>
      <w:tblPr>
        <w:tblStyle w:val="TableGrid"/>
        <w:tblpPr w:vertAnchor="text" w:tblpX="2701" w:tblpY="-36"/>
        <w:tblOverlap w:val="never"/>
        <w:tblW w:w="7247" w:type="dxa"/>
        <w:tblInd w:w="0" w:type="dxa"/>
        <w:tblCellMar>
          <w:top w:w="3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247"/>
      </w:tblGrid>
      <w:tr w:rsidR="00EB4683">
        <w:trPr>
          <w:trHeight w:val="326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83" w:rsidRDefault="00A52F9F" w:rsidP="008E4B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 w:rsidRPr="00E34805">
              <w:t>29</w:t>
            </w:r>
            <w:r>
              <w:t>.</w:t>
            </w:r>
            <w:r w:rsidRPr="00E34805">
              <w:t>089</w:t>
            </w:r>
            <w:r>
              <w:t>.</w:t>
            </w:r>
            <w:r w:rsidRPr="00E34805">
              <w:t>100</w:t>
            </w:r>
            <w:r>
              <w:t>/</w:t>
            </w:r>
            <w:r w:rsidRPr="00E34805">
              <w:t>0001</w:t>
            </w:r>
            <w:r>
              <w:t>-</w:t>
            </w:r>
            <w:r w:rsidRPr="00E34805">
              <w:t>18</w:t>
            </w:r>
          </w:p>
        </w:tc>
      </w:tr>
    </w:tbl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</w:pPr>
      <w:r>
        <w:rPr>
          <w:b/>
        </w:rPr>
        <w:t>CPF / CNPJ:</w:t>
      </w:r>
      <w:r>
        <w:t xml:space="preserve"> </w:t>
      </w:r>
    </w:p>
    <w:p w:rsidR="00EB4683" w:rsidRPr="00A565BA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6" w:line="259" w:lineRule="auto"/>
        <w:ind w:left="140" w:right="0" w:firstLine="0"/>
        <w:jc w:val="center"/>
        <w:rPr>
          <w:sz w:val="10"/>
          <w:szCs w:val="10"/>
        </w:rPr>
      </w:pPr>
      <w:r>
        <w:rPr>
          <w:sz w:val="20"/>
        </w:rPr>
        <w:t xml:space="preserve"> </w:t>
      </w:r>
    </w:p>
    <w:tbl>
      <w:tblPr>
        <w:tblStyle w:val="TableGrid"/>
        <w:tblpPr w:vertAnchor="text" w:tblpX="2701" w:tblpY="-33"/>
        <w:tblOverlap w:val="never"/>
        <w:tblW w:w="7247" w:type="dxa"/>
        <w:tblInd w:w="0" w:type="dxa"/>
        <w:tblCellMar>
          <w:top w:w="3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247"/>
      </w:tblGrid>
      <w:tr w:rsidR="00EB4683">
        <w:trPr>
          <w:trHeight w:val="324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83" w:rsidRDefault="00A52F9F" w:rsidP="00E46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 w:rsidRPr="00E34805">
              <w:t xml:space="preserve">Rua José Carlos de Carvalho, </w:t>
            </w:r>
            <w:proofErr w:type="gramStart"/>
            <w:r>
              <w:t>18 ,</w:t>
            </w:r>
            <w:proofErr w:type="gramEnd"/>
            <w:r>
              <w:t xml:space="preserve"> Centro</w:t>
            </w:r>
          </w:p>
        </w:tc>
      </w:tr>
    </w:tbl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</w:pPr>
      <w:r>
        <w:rPr>
          <w:b/>
        </w:rPr>
        <w:t>Endereço:</w:t>
      </w:r>
      <w:r>
        <w:t xml:space="preserve"> </w:t>
      </w:r>
    </w:p>
    <w:p w:rsidR="00EB4683" w:rsidRPr="00A565BA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6" w:line="259" w:lineRule="auto"/>
        <w:ind w:left="140" w:right="0" w:firstLine="0"/>
        <w:jc w:val="center"/>
        <w:rPr>
          <w:sz w:val="10"/>
          <w:szCs w:val="10"/>
        </w:rPr>
      </w:pPr>
      <w:r>
        <w:rPr>
          <w:b/>
          <w:sz w:val="20"/>
        </w:rPr>
        <w:t xml:space="preserve"> </w:t>
      </w:r>
    </w:p>
    <w:tbl>
      <w:tblPr>
        <w:tblStyle w:val="TableGrid"/>
        <w:tblpPr w:vertAnchor="text" w:tblpX="2701" w:tblpY="-34"/>
        <w:tblOverlap w:val="never"/>
        <w:tblW w:w="7247" w:type="dxa"/>
        <w:tblInd w:w="0" w:type="dxa"/>
        <w:tblCellMar>
          <w:top w:w="3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672"/>
        <w:gridCol w:w="1153"/>
        <w:gridCol w:w="2422"/>
      </w:tblGrid>
      <w:tr w:rsidR="00EB4683">
        <w:trPr>
          <w:trHeight w:val="32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83" w:rsidRDefault="00A52F9F" w:rsidP="00E46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proofErr w:type="gramStart"/>
            <w:r w:rsidRPr="00E34805">
              <w:lastRenderedPageBreak/>
              <w:t>Santo Antônio</w:t>
            </w:r>
            <w:proofErr w:type="gramEnd"/>
            <w:r w:rsidRPr="00E34805">
              <w:t xml:space="preserve"> do Amparo/MG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4683" w:rsidRDefault="00C744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>CEP: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83" w:rsidRDefault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t>37262-000</w:t>
            </w:r>
          </w:p>
        </w:tc>
      </w:tr>
    </w:tbl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</w:pPr>
      <w:r>
        <w:rPr>
          <w:b/>
        </w:rPr>
        <w:t xml:space="preserve">Cidade/UF: </w:t>
      </w:r>
      <w:r>
        <w:t xml:space="preserve"> </w:t>
      </w:r>
    </w:p>
    <w:p w:rsidR="00EB4683" w:rsidRPr="00A565BA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376"/>
          <w:tab w:val="right" w:pos="2613"/>
        </w:tabs>
        <w:spacing w:after="48" w:line="259" w:lineRule="auto"/>
        <w:ind w:left="140" w:right="0" w:firstLine="0"/>
        <w:jc w:val="left"/>
        <w:rPr>
          <w:sz w:val="10"/>
          <w:szCs w:val="10"/>
        </w:rPr>
      </w:pPr>
      <w:r>
        <w:rPr>
          <w:sz w:val="20"/>
        </w:rPr>
        <w:tab/>
      </w:r>
      <w:r w:rsidR="00C7443D">
        <w:rPr>
          <w:sz w:val="20"/>
        </w:rPr>
        <w:t xml:space="preserve"> </w:t>
      </w:r>
      <w:r w:rsidRPr="00A565BA">
        <w:rPr>
          <w:sz w:val="10"/>
          <w:szCs w:val="10"/>
        </w:rPr>
        <w:tab/>
      </w:r>
    </w:p>
    <w:tbl>
      <w:tblPr>
        <w:tblStyle w:val="TableGrid"/>
        <w:tblpPr w:vertAnchor="text" w:tblpX="2701" w:tblpY="-36"/>
        <w:tblOverlap w:val="never"/>
        <w:tblW w:w="7247" w:type="dxa"/>
        <w:tblInd w:w="0" w:type="dxa"/>
        <w:tblCellMar>
          <w:top w:w="36" w:type="dxa"/>
          <w:left w:w="72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672"/>
        <w:gridCol w:w="1153"/>
        <w:gridCol w:w="2422"/>
      </w:tblGrid>
      <w:tr w:rsidR="00EB4683">
        <w:trPr>
          <w:trHeight w:val="32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83" w:rsidRDefault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 w:rsidRPr="00200070">
              <w:rPr>
                <w:bCs/>
              </w:rPr>
              <w:t xml:space="preserve">+55 </w:t>
            </w:r>
            <w:r>
              <w:rPr>
                <w:bCs/>
              </w:rPr>
              <w:t>35</w:t>
            </w:r>
            <w:r w:rsidRPr="00200070">
              <w:rPr>
                <w:bCs/>
              </w:rPr>
              <w:t xml:space="preserve"> </w:t>
            </w:r>
            <w:r>
              <w:rPr>
                <w:bCs/>
              </w:rPr>
              <w:t>99983</w:t>
            </w:r>
            <w:r w:rsidRPr="00200070">
              <w:rPr>
                <w:bCs/>
              </w:rPr>
              <w:t>-</w:t>
            </w:r>
            <w:r>
              <w:rPr>
                <w:bCs/>
              </w:rPr>
              <w:t>9244 // 35 999936-1796 /</w:t>
            </w:r>
            <w:proofErr w:type="gramStart"/>
            <w:r>
              <w:rPr>
                <w:bCs/>
              </w:rPr>
              <w:t xml:space="preserve">/  </w:t>
            </w:r>
            <w:r>
              <w:t>21</w:t>
            </w:r>
            <w:proofErr w:type="gramEnd"/>
            <w:r>
              <w:t xml:space="preserve"> 2533-1678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4683" w:rsidRDefault="00C744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>Fax: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4683" w:rsidRDefault="00EB4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</w:p>
        </w:tc>
      </w:tr>
    </w:tbl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</w:pPr>
      <w:r>
        <w:rPr>
          <w:b/>
        </w:rPr>
        <w:t>Telefone:</w:t>
      </w:r>
      <w:r>
        <w:t xml:space="preserve"> </w:t>
      </w:r>
    </w:p>
    <w:p w:rsidR="00A52F9F" w:rsidRDefault="00A52F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6" w:line="259" w:lineRule="auto"/>
        <w:ind w:left="140" w:right="0" w:firstLine="0"/>
        <w:jc w:val="center"/>
        <w:rPr>
          <w:b/>
          <w:sz w:val="20"/>
        </w:rPr>
      </w:pPr>
    </w:p>
    <w:p w:rsidR="00EB4683" w:rsidRPr="00A565BA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6" w:line="259" w:lineRule="auto"/>
        <w:ind w:left="140" w:right="0" w:firstLine="0"/>
        <w:jc w:val="center"/>
        <w:rPr>
          <w:sz w:val="10"/>
          <w:szCs w:val="10"/>
        </w:rPr>
      </w:pPr>
      <w:r>
        <w:rPr>
          <w:b/>
          <w:sz w:val="20"/>
        </w:rPr>
        <w:t xml:space="preserve"> </w:t>
      </w:r>
    </w:p>
    <w:tbl>
      <w:tblPr>
        <w:tblStyle w:val="TableGrid"/>
        <w:tblpPr w:vertAnchor="text" w:tblpX="2701" w:tblpY="-33"/>
        <w:tblOverlap w:val="never"/>
        <w:tblW w:w="7247" w:type="dxa"/>
        <w:tblInd w:w="0" w:type="dxa"/>
        <w:tblCellMar>
          <w:top w:w="3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247"/>
      </w:tblGrid>
      <w:tr w:rsidR="00EB4683">
        <w:trPr>
          <w:trHeight w:val="324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83" w:rsidRDefault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 w:rsidRPr="002648B8">
              <w:rPr>
                <w:bCs/>
              </w:rPr>
              <w:t>fabricio@welge.com.br</w:t>
            </w:r>
            <w:r>
              <w:rPr>
                <w:bCs/>
              </w:rPr>
              <w:t xml:space="preserve"> /</w:t>
            </w:r>
            <w:proofErr w:type="gramStart"/>
            <w:r>
              <w:rPr>
                <w:bCs/>
              </w:rPr>
              <w:t xml:space="preserve">/  </w:t>
            </w:r>
            <w:r w:rsidRPr="002648B8">
              <w:rPr>
                <w:bCs/>
              </w:rPr>
              <w:t>acaveig@gmail.com</w:t>
            </w:r>
            <w:proofErr w:type="gramEnd"/>
          </w:p>
        </w:tc>
      </w:tr>
    </w:tbl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</w:pPr>
      <w:r>
        <w:rPr>
          <w:b/>
        </w:rPr>
        <w:t>E-mail:</w:t>
      </w:r>
      <w:r>
        <w:t xml:space="preserve"> </w:t>
      </w: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" w:line="259" w:lineRule="auto"/>
        <w:ind w:left="12" w:right="0" w:firstLine="0"/>
        <w:jc w:val="left"/>
        <w:rPr>
          <w:b/>
        </w:rPr>
      </w:pPr>
      <w:r>
        <w:rPr>
          <w:b/>
        </w:rPr>
        <w:t xml:space="preserve"> </w:t>
      </w:r>
    </w:p>
    <w:p w:rsidR="006D0446" w:rsidRDefault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" w:line="259" w:lineRule="auto"/>
        <w:ind w:left="12" w:right="0" w:firstLine="0"/>
        <w:jc w:val="left"/>
      </w:pPr>
    </w:p>
    <w:p w:rsidR="00EB4683" w:rsidRDefault="00C7443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1" w:line="259" w:lineRule="auto"/>
        <w:ind w:right="0" w:hanging="240"/>
        <w:jc w:val="left"/>
      </w:pPr>
      <w:r>
        <w:rPr>
          <w:b/>
        </w:rPr>
        <w:t xml:space="preserve">PROCURADOR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proofErr w:type="gramStart"/>
      <w:r>
        <w:rPr>
          <w:b/>
        </w:rPr>
        <w:tab/>
      </w:r>
      <w:r w:rsidR="008E4B1C">
        <w:rPr>
          <w:b/>
        </w:rPr>
        <w:t xml:space="preserve">(  </w:t>
      </w:r>
      <w:proofErr w:type="gramEnd"/>
      <w:r>
        <w:rPr>
          <w:b/>
        </w:rPr>
        <w:t xml:space="preserve">) Não se aplica </w:t>
      </w:r>
    </w:p>
    <w:p w:rsidR="006D0446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8" w:line="259" w:lineRule="auto"/>
        <w:ind w:left="140" w:right="0" w:firstLine="0"/>
        <w:jc w:val="center"/>
      </w:pPr>
    </w:p>
    <w:tbl>
      <w:tblPr>
        <w:tblStyle w:val="TableGrid"/>
        <w:tblpPr w:vertAnchor="text" w:tblpX="2701" w:tblpY="-36"/>
        <w:tblOverlap w:val="never"/>
        <w:tblW w:w="7247" w:type="dxa"/>
        <w:tblInd w:w="0" w:type="dxa"/>
        <w:tblCellMar>
          <w:top w:w="3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247"/>
      </w:tblGrid>
      <w:tr w:rsidR="006D0446" w:rsidTr="00AE3F1F">
        <w:trPr>
          <w:trHeight w:val="326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446" w:rsidRDefault="00A52F9F" w:rsidP="00E46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t xml:space="preserve">Marcos Fabrício </w:t>
            </w:r>
            <w:proofErr w:type="spellStart"/>
            <w:r>
              <w:t>Welge</w:t>
            </w:r>
            <w:proofErr w:type="spellEnd"/>
            <w:r>
              <w:t xml:space="preserve"> Gonçalves</w:t>
            </w:r>
          </w:p>
        </w:tc>
      </w:tr>
    </w:tbl>
    <w:p w:rsidR="006D0446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</w:pPr>
      <w:r>
        <w:rPr>
          <w:b/>
        </w:rPr>
        <w:t>Nome do Procurador</w:t>
      </w:r>
      <w:r>
        <w:t xml:space="preserve"> </w:t>
      </w:r>
    </w:p>
    <w:p w:rsidR="006D0446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6" w:line="259" w:lineRule="auto"/>
        <w:ind w:left="140" w:right="0" w:firstLine="0"/>
        <w:jc w:val="center"/>
      </w:pPr>
      <w:r>
        <w:rPr>
          <w:sz w:val="20"/>
        </w:rPr>
        <w:t xml:space="preserve"> </w:t>
      </w:r>
    </w:p>
    <w:p w:rsidR="00EB4683" w:rsidRPr="006D0446" w:rsidRDefault="00EB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" w:line="259" w:lineRule="auto"/>
        <w:ind w:left="12" w:right="0" w:firstLine="0"/>
        <w:jc w:val="left"/>
        <w:rPr>
          <w:b/>
        </w:rPr>
      </w:pPr>
    </w:p>
    <w:p w:rsidR="00EB4683" w:rsidRDefault="00CE1003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" w:line="259" w:lineRule="auto"/>
        <w:ind w:left="12" w:right="0" w:firstLine="0"/>
        <w:jc w:val="left"/>
      </w:pPr>
      <w:r>
        <w:rPr>
          <w:b/>
        </w:rPr>
        <w:t>4.</w:t>
      </w:r>
      <w:r w:rsidR="00C7443D">
        <w:rPr>
          <w:b/>
        </w:rPr>
        <w:t xml:space="preserve"> ÁREA GEOGRÁFICA </w:t>
      </w: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" w:line="259" w:lineRule="auto"/>
        <w:ind w:left="12" w:right="0" w:firstLine="0"/>
        <w:jc w:val="left"/>
      </w:pPr>
      <w:r>
        <w:rPr>
          <w:b/>
        </w:rPr>
        <w:t xml:space="preserve"> </w:t>
      </w:r>
    </w:p>
    <w:p w:rsidR="006D0446" w:rsidRDefault="00C7443D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t>Delimitação da área geográfica:</w:t>
      </w:r>
      <w: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6D0446" w:rsidTr="00AE3F1F">
        <w:tc>
          <w:tcPr>
            <w:tcW w:w="9900" w:type="dxa"/>
          </w:tcPr>
          <w:p w:rsidR="006D0446" w:rsidRDefault="00A52F9F" w:rsidP="00E46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 w:rsidRPr="008B09FF">
              <w:t xml:space="preserve">A delimitação da área geográfica é representada pelos 17 (dezessete) municípios que compõem a área de abrangência do </w:t>
            </w:r>
            <w:r>
              <w:t>C</w:t>
            </w:r>
            <w:r w:rsidRPr="008B09FF">
              <w:t xml:space="preserve">ampo das </w:t>
            </w:r>
            <w:r>
              <w:t>V</w:t>
            </w:r>
            <w:r w:rsidRPr="008B09FF">
              <w:t>ertentes: Bom Sucesso, Camacho, Campo Belo, Cana Verde, Cand</w:t>
            </w:r>
            <w:r>
              <w:t>eias, Carmo da Mata, Conceição d</w:t>
            </w:r>
            <w:r w:rsidRPr="008B09FF">
              <w:t xml:space="preserve">a Barra </w:t>
            </w:r>
            <w:r>
              <w:t>d</w:t>
            </w:r>
            <w:r w:rsidRPr="008B09FF">
              <w:t xml:space="preserve">e Minas, </w:t>
            </w:r>
            <w:proofErr w:type="spellStart"/>
            <w:r>
              <w:t>I</w:t>
            </w:r>
            <w:r w:rsidRPr="008B09FF">
              <w:t>bituruna</w:t>
            </w:r>
            <w:proofErr w:type="spellEnd"/>
            <w:r w:rsidRPr="008B09FF">
              <w:t xml:space="preserve">, Nazareno, Oliveira, Perdões, Ritápolis, Santana </w:t>
            </w:r>
            <w:r>
              <w:t>d</w:t>
            </w:r>
            <w:r w:rsidRPr="008B09FF">
              <w:t xml:space="preserve">o Jacaré, Santo Antônio </w:t>
            </w:r>
            <w:r>
              <w:t>d</w:t>
            </w:r>
            <w:r w:rsidRPr="008B09FF">
              <w:t xml:space="preserve">o Amparo, São Francisco </w:t>
            </w:r>
            <w:r>
              <w:t>d</w:t>
            </w:r>
            <w:r w:rsidRPr="008B09FF">
              <w:t>e Paula, São João Del Rei</w:t>
            </w:r>
            <w:r>
              <w:t xml:space="preserve"> e</w:t>
            </w:r>
            <w:r w:rsidRPr="008B09FF">
              <w:t xml:space="preserve"> São Tiago</w:t>
            </w:r>
            <w:r>
              <w:t>.</w:t>
            </w:r>
          </w:p>
        </w:tc>
      </w:tr>
    </w:tbl>
    <w:p w:rsidR="00EB4683" w:rsidRDefault="00C7443D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63" w:line="259" w:lineRule="auto"/>
        <w:ind w:left="7" w:right="0"/>
        <w:jc w:val="left"/>
      </w:pPr>
      <w:r>
        <w:rPr>
          <w:b/>
          <w:sz w:val="12"/>
        </w:rPr>
        <w:t xml:space="preserve"> </w:t>
      </w:r>
    </w:p>
    <w:p w:rsidR="00EB4683" w:rsidRDefault="00C7443D" w:rsidP="00CE1003">
      <w:pPr>
        <w:pStyle w:val="Pargrafoda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284" w:right="0" w:hanging="284"/>
        <w:jc w:val="left"/>
      </w:pPr>
      <w:r w:rsidRPr="00CE1003">
        <w:rPr>
          <w:b/>
        </w:rPr>
        <w:t xml:space="preserve">DESCRIÇÃO DO PRODUTO/SERVIÇO </w:t>
      </w: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" w:line="259" w:lineRule="auto"/>
        <w:ind w:left="12" w:right="0" w:firstLine="0"/>
        <w:jc w:val="left"/>
      </w:pPr>
      <w:r>
        <w:rPr>
          <w:b/>
        </w:rPr>
        <w:t xml:space="preserve"> </w:t>
      </w:r>
    </w:p>
    <w:p w:rsidR="00EB4683" w:rsidRDefault="00C74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2044"/>
          <w:tab w:val="center" w:pos="4131"/>
        </w:tabs>
        <w:spacing w:after="19" w:line="259" w:lineRule="auto"/>
        <w:ind w:left="-3" w:right="0" w:firstLine="0"/>
        <w:jc w:val="left"/>
        <w:rPr>
          <w:b/>
          <w:sz w:val="8"/>
        </w:rPr>
      </w:pPr>
      <w:r>
        <w:rPr>
          <w:b/>
        </w:rPr>
        <w:t xml:space="preserve">Natureza: </w:t>
      </w:r>
      <w:r>
        <w:rPr>
          <w:b/>
        </w:rPr>
        <w:tab/>
        <w:t>(</w:t>
      </w:r>
      <w:r w:rsidR="00A52F9F">
        <w:rPr>
          <w:b/>
        </w:rPr>
        <w:t>X</w:t>
      </w:r>
      <w:r>
        <w:rPr>
          <w:b/>
        </w:rPr>
        <w:t xml:space="preserve">) </w:t>
      </w:r>
      <w:proofErr w:type="gramStart"/>
      <w:r>
        <w:rPr>
          <w:b/>
        </w:rPr>
        <w:t xml:space="preserve">Produto  </w:t>
      </w:r>
      <w:r>
        <w:rPr>
          <w:b/>
        </w:rPr>
        <w:tab/>
      </w:r>
      <w:proofErr w:type="gramEnd"/>
      <w:r>
        <w:rPr>
          <w:b/>
        </w:rPr>
        <w:t>(   ) Serviço</w:t>
      </w:r>
      <w:r>
        <w:rPr>
          <w:b/>
          <w:sz w:val="8"/>
        </w:rPr>
        <w:t xml:space="preserve"> </w:t>
      </w:r>
    </w:p>
    <w:p w:rsidR="00A565BA" w:rsidRPr="00A565BA" w:rsidRDefault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2044"/>
          <w:tab w:val="center" w:pos="4131"/>
        </w:tabs>
        <w:spacing w:after="19" w:line="259" w:lineRule="auto"/>
        <w:ind w:left="-3" w:right="0" w:firstLine="0"/>
        <w:jc w:val="left"/>
        <w:rPr>
          <w:sz w:val="10"/>
          <w:szCs w:val="10"/>
        </w:rPr>
      </w:pPr>
    </w:p>
    <w:p w:rsidR="006D0446" w:rsidRDefault="00C7443D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1" w:right="0" w:firstLine="0"/>
        <w:jc w:val="left"/>
        <w:rPr>
          <w:b/>
          <w:sz w:val="8"/>
        </w:rPr>
      </w:pPr>
      <w:r>
        <w:rPr>
          <w:b/>
          <w:sz w:val="8"/>
        </w:rPr>
        <w:t xml:space="preserve"> </w:t>
      </w:r>
    </w:p>
    <w:tbl>
      <w:tblPr>
        <w:tblStyle w:val="Tabelacomgrade"/>
        <w:tblpPr w:leftFromText="141" w:rightFromText="141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8766"/>
      </w:tblGrid>
      <w:tr w:rsidR="006D0446" w:rsidTr="00F66629">
        <w:trPr>
          <w:trHeight w:val="422"/>
        </w:trPr>
        <w:tc>
          <w:tcPr>
            <w:tcW w:w="8766" w:type="dxa"/>
            <w:vAlign w:val="center"/>
          </w:tcPr>
          <w:p w:rsidR="006D0446" w:rsidRDefault="00A52F9F" w:rsidP="00E46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rPr>
                <w:bCs/>
              </w:rPr>
              <w:t>C</w:t>
            </w:r>
            <w:r w:rsidRPr="00652112">
              <w:rPr>
                <w:bCs/>
              </w:rPr>
              <w:t>afé em grão verde, café industrializado na condição de torrado em grão e moído</w:t>
            </w:r>
          </w:p>
        </w:tc>
      </w:tr>
    </w:tbl>
    <w:p w:rsidR="006D0446" w:rsidRDefault="006D0446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2" w:right="0" w:firstLine="0"/>
        <w:jc w:val="left"/>
      </w:pPr>
      <w:r>
        <w:rPr>
          <w:b/>
        </w:rPr>
        <w:t>Nome</w:t>
      </w:r>
      <w:r w:rsidR="00A565BA">
        <w:rPr>
          <w:b/>
        </w:rPr>
        <w:t>:</w:t>
      </w:r>
      <w:r>
        <w:rPr>
          <w:b/>
        </w:rPr>
        <w:t xml:space="preserve"> </w:t>
      </w:r>
    </w:p>
    <w:p w:rsidR="00A565BA" w:rsidRDefault="00A565BA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jc w:val="left"/>
        <w:rPr>
          <w:b/>
          <w:sz w:val="14"/>
          <w:szCs w:val="14"/>
        </w:rPr>
      </w:pPr>
    </w:p>
    <w:p w:rsidR="008E4B1C" w:rsidRPr="00A565BA" w:rsidRDefault="008E4B1C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jc w:val="left"/>
        <w:rPr>
          <w:b/>
          <w:sz w:val="14"/>
          <w:szCs w:val="14"/>
        </w:rPr>
      </w:pPr>
    </w:p>
    <w:p w:rsidR="006D0446" w:rsidRDefault="00C7443D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Especificações e características:</w:t>
      </w:r>
      <w:r>
        <w:t xml:space="preserve"> </w:t>
      </w:r>
    </w:p>
    <w:tbl>
      <w:tblPr>
        <w:tblStyle w:val="Tabelacomgrade"/>
        <w:tblW w:w="9975" w:type="dxa"/>
        <w:tblInd w:w="108" w:type="dxa"/>
        <w:tblLook w:val="04A0" w:firstRow="1" w:lastRow="0" w:firstColumn="1" w:lastColumn="0" w:noHBand="0" w:noVBand="1"/>
      </w:tblPr>
      <w:tblGrid>
        <w:gridCol w:w="9975"/>
      </w:tblGrid>
      <w:tr w:rsidR="006D0446" w:rsidTr="00F66629">
        <w:trPr>
          <w:trHeight w:val="375"/>
        </w:trPr>
        <w:tc>
          <w:tcPr>
            <w:tcW w:w="9975" w:type="dxa"/>
          </w:tcPr>
          <w:p w:rsidR="00A52F9F" w:rsidRPr="00F334C1" w:rsidRDefault="00A52F9F" w:rsidP="00A52F9F">
            <w:pPr>
              <w:pStyle w:val="Contedodatabela"/>
              <w:jc w:val="both"/>
              <w:rPr>
                <w:color w:val="FF0000"/>
              </w:rPr>
            </w:pPr>
            <w:r>
              <w:t xml:space="preserve">Cafés da espécie </w:t>
            </w:r>
            <w:proofErr w:type="spellStart"/>
            <w:r w:rsidRPr="00F334C1">
              <w:rPr>
                <w:i/>
              </w:rPr>
              <w:t>Coffea</w:t>
            </w:r>
            <w:proofErr w:type="spellEnd"/>
            <w:r w:rsidRPr="00F334C1">
              <w:rPr>
                <w:i/>
              </w:rPr>
              <w:t xml:space="preserve"> Arábica</w:t>
            </w:r>
            <w:r>
              <w:t xml:space="preserve"> podem ser colhidos manualmente ou de forma ou mecanizada e beneficiados através dos processos natural, cereja descascado, cereja descascado </w:t>
            </w:r>
            <w:proofErr w:type="spellStart"/>
            <w:r>
              <w:t>desmucilado</w:t>
            </w:r>
            <w:proofErr w:type="spellEnd"/>
            <w:r>
              <w:t xml:space="preserve">, despolpado ou de fermentação controlada. Em todos esses processos o teor de água final dos grãos deve ficar entre 10,5 % (dez pontos porcentuais e cinco décimos) e 1-1,5 % (onze pontos percentuais e cinco décimos). </w:t>
            </w:r>
          </w:p>
          <w:p w:rsidR="00A52F9F" w:rsidRDefault="00A52F9F" w:rsidP="00A52F9F">
            <w:pPr>
              <w:pStyle w:val="Contedodatabela"/>
              <w:jc w:val="both"/>
            </w:pPr>
            <w:r>
              <w:t xml:space="preserve">Os cafés da Indicação de Procedência </w:t>
            </w:r>
            <w:r w:rsidRPr="00F334C1">
              <w:t xml:space="preserve">Campo das Vertentes </w:t>
            </w:r>
            <w:r>
              <w:t>devem obter nota mínima de 80 (oitenta) pontos, isto é, sem adstringência, sem sabores e aromas estranhos, gosto de madeira e safra remanescente.</w:t>
            </w:r>
          </w:p>
          <w:p w:rsidR="00A52F9F" w:rsidRPr="006E57AA" w:rsidRDefault="00A52F9F" w:rsidP="00A52F9F">
            <w:pPr>
              <w:pStyle w:val="Contedodatabela"/>
              <w:jc w:val="both"/>
            </w:pPr>
            <w:r w:rsidRPr="006E57AA">
              <w:t xml:space="preserve">No que tange ao acondicionamento do produto, ele deve ser feito em sacaria nova. A partir de 85 pontos ou se solicitado pelo comprador, o café deverá estar acondicionado em embalagem de alta barreira, contendo 60 quilos ou outra embalagem aprovada pelo Conselho Regulador que signifique melhoria na preservação e visualização do produto, com identificação ou selo de controle da </w:t>
            </w:r>
            <w:proofErr w:type="spellStart"/>
            <w:r w:rsidRPr="006E57AA">
              <w:t>lP</w:t>
            </w:r>
            <w:proofErr w:type="spellEnd"/>
            <w:r w:rsidRPr="006E57AA">
              <w:t xml:space="preserve"> Campo das Vertentes.</w:t>
            </w:r>
          </w:p>
          <w:p w:rsidR="006D0446" w:rsidRDefault="00A52F9F" w:rsidP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 w:rsidRPr="006C7371">
              <w:t>O café da região é reconhecido por ser bastante doce, com corpo equilibrado, com notas de chocolate e de nozes.</w:t>
            </w:r>
          </w:p>
        </w:tc>
      </w:tr>
    </w:tbl>
    <w:p w:rsidR="006D0446" w:rsidRPr="00A565BA" w:rsidRDefault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  <w:rPr>
          <w:b/>
          <w:sz w:val="10"/>
          <w:szCs w:val="10"/>
        </w:rPr>
      </w:pPr>
      <w:bookmarkStart w:id="0" w:name="_GoBack"/>
      <w:bookmarkEnd w:id="0"/>
    </w:p>
    <w:p w:rsidR="006D0446" w:rsidRDefault="00C7443D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5" w:right="0" w:hanging="11"/>
        <w:jc w:val="left"/>
        <w:rPr>
          <w:b/>
        </w:rPr>
      </w:pPr>
      <w:r>
        <w:rPr>
          <w:b/>
        </w:rPr>
        <w:lastRenderedPageBreak/>
        <w:t xml:space="preserve">Relação com área geográfica: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60"/>
      </w:tblGrid>
      <w:tr w:rsidR="006D0446" w:rsidTr="00F66629">
        <w:trPr>
          <w:trHeight w:val="420"/>
        </w:trPr>
        <w:tc>
          <w:tcPr>
            <w:tcW w:w="9960" w:type="dxa"/>
          </w:tcPr>
          <w:p w:rsidR="00A52F9F" w:rsidRDefault="00A52F9F" w:rsidP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A região "Campo das Vertentes" constitui-se por planaltos ondulados, cuja altitude varia de 500 a 1.000m. A leste, é cortada pela Serra da Mantiqueira, apresentando ali altitudes acima de 1.500m. O clima é ameno, com verão fresco e chuvoso e inverno bastante frio nas regiões mais elevadas. Essas condições favorecem a produção do café de qualidade. </w:t>
            </w:r>
          </w:p>
          <w:p w:rsidR="00A52F9F" w:rsidRDefault="00A52F9F" w:rsidP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Apesar de a relevância da cultura cafeeira na região ser evidenciada apenas a partir da segunda metade do século XX, há registros de que lá já havia propriedades cafeicultoras desde a década de 1860. Até então, a produção cafeeira das fazendas da região se dava em pequena escala e destinava-se, sobretudo, ao autoconsumo. Na década de 1970 o Plano de Renovação e Revigoramento de Cafezais estimulou a introdução de novas técnicas de plantio como utilização de cultivo em curvas de nível, produção de mudas em viveiros e adubação química. Atualmente, a produção se expandiu, consolidando a vocação agroexportadora da região de Campo das Vertentes. </w:t>
            </w:r>
          </w:p>
          <w:p w:rsidR="00A52F9F" w:rsidRDefault="00A52F9F" w:rsidP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>A região da IP compreende os limites geopolíticos dos 17 municípios no entorno de Santo Antônio do Amparo. Esse é o município polo para o café da região que tem capitaneado o processo de desenvolvimento nos municípios vizinhos da produção de cafés superiores. Bem como da consolidação do entendimento de que todos integram um território que produz cafés de excelência.</w:t>
            </w:r>
          </w:p>
          <w:p w:rsidR="00A52F9F" w:rsidRDefault="00A52F9F" w:rsidP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>Nos últimos anos a região encontra-se em direção a produção de nobres grãos de café da espécie arábica mais doces e com aroma diferenciado, conhecido como gourmet. Tais cafés finos são bastante procurados por compradores estrangeiros e chegam a ter cotação entre 30 a 40% superior ao valor da saca convencional.</w:t>
            </w:r>
          </w:p>
          <w:p w:rsidR="006D0446" w:rsidRDefault="00A52F9F" w:rsidP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>Assim, muito embora o café continue a ser vendido majoritariamente como commodity pelo Brasil, cada vez mais a superioridade da produção do Campo das Vertentes é reconhecida pelo público. A região encontra-se recebendo destaque nos últimos concursos especializados (por exemplo, 16° Concurso Nacional da ABIC Edição especial Origens do Brasil), o que comprova essa notoriedade.</w:t>
            </w:r>
          </w:p>
        </w:tc>
      </w:tr>
    </w:tbl>
    <w:p w:rsidR="006D0446" w:rsidRDefault="006D0446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  <w:rPr>
          <w:b/>
        </w:rPr>
      </w:pPr>
    </w:p>
    <w:p w:rsidR="00A565BA" w:rsidRDefault="00A565BA" w:rsidP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  <w:rPr>
          <w:b/>
        </w:rPr>
      </w:pPr>
    </w:p>
    <w:p w:rsidR="00A565BA" w:rsidRDefault="00A565BA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3" w:line="265" w:lineRule="auto"/>
        <w:ind w:right="35"/>
        <w:rPr>
          <w:b/>
          <w:szCs w:val="24"/>
        </w:rPr>
      </w:pPr>
      <w:r w:rsidRPr="008F70D4">
        <w:rPr>
          <w:b/>
          <w:szCs w:val="24"/>
        </w:rPr>
        <w:t xml:space="preserve">6. ESTRUTURA DE CONTROLE </w:t>
      </w:r>
    </w:p>
    <w:p w:rsidR="00A565BA" w:rsidRPr="008F70D4" w:rsidRDefault="00A565BA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3" w:line="265" w:lineRule="auto"/>
        <w:ind w:right="35"/>
        <w:rPr>
          <w:b/>
          <w:szCs w:val="24"/>
        </w:rPr>
      </w:pPr>
    </w:p>
    <w:tbl>
      <w:tblPr>
        <w:tblStyle w:val="Tabelacomgrade"/>
        <w:tblW w:w="0" w:type="auto"/>
        <w:tblInd w:w="12" w:type="dxa"/>
        <w:tblLook w:val="04A0" w:firstRow="1" w:lastRow="0" w:firstColumn="1" w:lastColumn="0" w:noHBand="0" w:noVBand="1"/>
      </w:tblPr>
      <w:tblGrid>
        <w:gridCol w:w="2925"/>
        <w:gridCol w:w="7094"/>
      </w:tblGrid>
      <w:tr w:rsidR="00A565BA" w:rsidRPr="00CD26B5" w:rsidTr="006F16AE">
        <w:tc>
          <w:tcPr>
            <w:tcW w:w="2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5BA" w:rsidRPr="00CD26B5" w:rsidRDefault="00A565BA" w:rsidP="00A56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rPr>
                <w:rFonts w:ascii="Times" w:hAnsi="Times"/>
                <w:b/>
                <w:szCs w:val="24"/>
              </w:rPr>
            </w:pPr>
            <w:r w:rsidRPr="00CD26B5">
              <w:rPr>
                <w:rFonts w:ascii="Times" w:hAnsi="Times"/>
                <w:b/>
                <w:szCs w:val="24"/>
              </w:rPr>
              <w:t>Controle feito por:</w:t>
            </w:r>
          </w:p>
        </w:tc>
        <w:tc>
          <w:tcPr>
            <w:tcW w:w="7094" w:type="dxa"/>
            <w:tcBorders>
              <w:left w:val="single" w:sz="4" w:space="0" w:color="auto"/>
            </w:tcBorders>
          </w:tcPr>
          <w:p w:rsidR="00A565BA" w:rsidRPr="00CD26B5" w:rsidRDefault="00A52F9F" w:rsidP="00A56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rPr>
                <w:rFonts w:ascii="Times" w:hAnsi="Times"/>
                <w:szCs w:val="24"/>
              </w:rPr>
            </w:pPr>
            <w:r w:rsidRPr="00A52F9F">
              <w:rPr>
                <w:rFonts w:ascii="Times" w:hAnsi="Times"/>
                <w:szCs w:val="24"/>
              </w:rPr>
              <w:t>Conselho Regulador</w:t>
            </w:r>
          </w:p>
        </w:tc>
      </w:tr>
    </w:tbl>
    <w:p w:rsidR="00A565BA" w:rsidRPr="00CD26B5" w:rsidRDefault="00A565BA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" w:hAnsi="Times"/>
          <w:szCs w:val="24"/>
        </w:rPr>
      </w:pPr>
    </w:p>
    <w:tbl>
      <w:tblPr>
        <w:tblStyle w:val="Tabelacomgrade"/>
        <w:tblW w:w="0" w:type="auto"/>
        <w:tblInd w:w="12" w:type="dxa"/>
        <w:tblLook w:val="04A0" w:firstRow="1" w:lastRow="0" w:firstColumn="1" w:lastColumn="0" w:noHBand="0" w:noVBand="1"/>
      </w:tblPr>
      <w:tblGrid>
        <w:gridCol w:w="2926"/>
        <w:gridCol w:w="7093"/>
      </w:tblGrid>
      <w:tr w:rsidR="00A565BA" w:rsidRPr="00CD26B5" w:rsidTr="006F16AE">
        <w:tc>
          <w:tcPr>
            <w:tcW w:w="2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65BA" w:rsidRPr="00CD26B5" w:rsidRDefault="00A565BA" w:rsidP="00A56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rPr>
                <w:rFonts w:ascii="Times" w:hAnsi="Times"/>
                <w:b/>
                <w:szCs w:val="24"/>
              </w:rPr>
            </w:pPr>
            <w:r w:rsidRPr="00CD26B5">
              <w:rPr>
                <w:rFonts w:ascii="Times" w:hAnsi="Times"/>
                <w:b/>
                <w:szCs w:val="24"/>
              </w:rPr>
              <w:t>Observações:</w:t>
            </w:r>
          </w:p>
        </w:tc>
        <w:tc>
          <w:tcPr>
            <w:tcW w:w="7093" w:type="dxa"/>
            <w:tcBorders>
              <w:left w:val="single" w:sz="4" w:space="0" w:color="auto"/>
            </w:tcBorders>
          </w:tcPr>
          <w:p w:rsidR="00A52F9F" w:rsidRPr="00A52F9F" w:rsidRDefault="00A52F9F" w:rsidP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" w:hAnsi="Times"/>
                <w:szCs w:val="24"/>
              </w:rPr>
            </w:pPr>
            <w:r w:rsidRPr="00A52F9F">
              <w:rPr>
                <w:rFonts w:ascii="Times" w:hAnsi="Times"/>
                <w:szCs w:val="24"/>
              </w:rPr>
              <w:t xml:space="preserve">O Conselho Regulador será composto por, no mínimo, cinco membros associados à ACAVE e eleitos em assembleia geral, sendo um membro, no mínimo, da Diretoria Executiva. </w:t>
            </w:r>
          </w:p>
          <w:p w:rsidR="00A565BA" w:rsidRPr="00CD26B5" w:rsidRDefault="00A52F9F" w:rsidP="00A5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" w:hAnsi="Times"/>
                <w:szCs w:val="24"/>
              </w:rPr>
            </w:pPr>
            <w:r w:rsidRPr="00A52F9F">
              <w:rPr>
                <w:rFonts w:ascii="Times" w:hAnsi="Times"/>
                <w:szCs w:val="24"/>
              </w:rPr>
              <w:t>Os membros deverão ser produtores de café ou profissionais ligados à área da cafeicultura.</w:t>
            </w:r>
          </w:p>
        </w:tc>
      </w:tr>
    </w:tbl>
    <w:p w:rsidR="00A565BA" w:rsidRPr="00CD26B5" w:rsidRDefault="00A565BA" w:rsidP="00A5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" w:hAnsi="Times"/>
          <w:szCs w:val="24"/>
        </w:rPr>
      </w:pPr>
    </w:p>
    <w:p w:rsidR="006D0446" w:rsidRDefault="006D04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9" w:lineRule="auto"/>
        <w:ind w:left="7" w:right="0"/>
        <w:jc w:val="left"/>
      </w:pPr>
    </w:p>
    <w:sectPr w:rsidR="006D0446">
      <w:headerReference w:type="even" r:id="rId9"/>
      <w:headerReference w:type="default" r:id="rId10"/>
      <w:headerReference w:type="first" r:id="rId11"/>
      <w:pgSz w:w="12240" w:h="15840"/>
      <w:pgMar w:top="1270" w:right="1256" w:bottom="1062" w:left="1121" w:header="7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836" w:rsidRDefault="00AB4836">
      <w:pPr>
        <w:spacing w:after="0" w:line="240" w:lineRule="auto"/>
      </w:pPr>
      <w:r>
        <w:separator/>
      </w:r>
    </w:p>
  </w:endnote>
  <w:endnote w:type="continuationSeparator" w:id="0">
    <w:p w:rsidR="00AB4836" w:rsidRDefault="00AB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836" w:rsidRDefault="00AB4836">
      <w:pPr>
        <w:spacing w:after="0" w:line="240" w:lineRule="auto"/>
      </w:pPr>
      <w:r>
        <w:separator/>
      </w:r>
    </w:p>
  </w:footnote>
  <w:footnote w:type="continuationSeparator" w:id="0">
    <w:p w:rsidR="00AB4836" w:rsidRDefault="00AB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683" w:rsidRDefault="00C7443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0" w:right="-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B4683" w:rsidRDefault="00C7443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12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683" w:rsidRDefault="00C7443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0" w:right="-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59ED">
      <w:rPr>
        <w:noProof/>
      </w:rPr>
      <w:t>1</w:t>
    </w:r>
    <w:r>
      <w:fldChar w:fldCharType="end"/>
    </w:r>
    <w:r>
      <w:t xml:space="preserve"> </w:t>
    </w:r>
  </w:p>
  <w:p w:rsidR="00EB4683" w:rsidRDefault="00C7443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12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683" w:rsidRDefault="00C7443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0" w:right="-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B4683" w:rsidRDefault="00C7443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12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6753"/>
    <w:multiLevelType w:val="hybridMultilevel"/>
    <w:tmpl w:val="50C65008"/>
    <w:lvl w:ilvl="0" w:tplc="A9D4AA1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6CFDE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44396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27070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C790A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AE608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0E5D8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2D57E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42638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956896"/>
    <w:multiLevelType w:val="hybridMultilevel"/>
    <w:tmpl w:val="1A605938"/>
    <w:lvl w:ilvl="0" w:tplc="0D34CB46">
      <w:start w:val="4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AEB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AB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A2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40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86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21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840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085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725F75"/>
    <w:multiLevelType w:val="hybridMultilevel"/>
    <w:tmpl w:val="20D610CA"/>
    <w:lvl w:ilvl="0" w:tplc="DF66FD54">
      <w:start w:val="5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A02537A"/>
    <w:multiLevelType w:val="hybridMultilevel"/>
    <w:tmpl w:val="5A5A9DF4"/>
    <w:lvl w:ilvl="0" w:tplc="2C7A8F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7E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6F0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8A2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02B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A2D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CA0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C5E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69D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431B67"/>
    <w:multiLevelType w:val="hybridMultilevel"/>
    <w:tmpl w:val="D62CFC9C"/>
    <w:lvl w:ilvl="0" w:tplc="89C6ECE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2A0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ED5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0BC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621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855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055B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498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033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83"/>
    <w:rsid w:val="001662D3"/>
    <w:rsid w:val="002E2AA2"/>
    <w:rsid w:val="00657FA5"/>
    <w:rsid w:val="006B59ED"/>
    <w:rsid w:val="006D0446"/>
    <w:rsid w:val="007470AC"/>
    <w:rsid w:val="008E4B1C"/>
    <w:rsid w:val="0090515A"/>
    <w:rsid w:val="00A52F9F"/>
    <w:rsid w:val="00A565BA"/>
    <w:rsid w:val="00AB4836"/>
    <w:rsid w:val="00AD2249"/>
    <w:rsid w:val="00B021FC"/>
    <w:rsid w:val="00BD77B7"/>
    <w:rsid w:val="00C7443D"/>
    <w:rsid w:val="00CE1003"/>
    <w:rsid w:val="00E46D6D"/>
    <w:rsid w:val="00EB4683"/>
    <w:rsid w:val="00F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7A49"/>
  <w15:docId w15:val="{AA3E2ED6-142B-4C05-B86C-A4546B99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5" w:line="249" w:lineRule="auto"/>
      <w:ind w:left="22" w:righ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446"/>
    <w:rPr>
      <w:rFonts w:ascii="Tahoma" w:eastAsia="Times New Roman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6D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0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4B1C"/>
    <w:rPr>
      <w:color w:val="0563C1" w:themeColor="hyperlink"/>
      <w:u w:val="single"/>
    </w:rPr>
  </w:style>
  <w:style w:type="paragraph" w:customStyle="1" w:styleId="Contedodatabela">
    <w:name w:val="Conteúdo da tabela"/>
    <w:basedOn w:val="Normal"/>
    <w:rsid w:val="00A52F9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0" w:line="240" w:lineRule="auto"/>
      <w:ind w:left="0" w:right="0" w:firstLine="0"/>
      <w:jc w:val="left"/>
    </w:pPr>
    <w:rPr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Andre Tibau Campos</cp:lastModifiedBy>
  <cp:revision>2</cp:revision>
  <dcterms:created xsi:type="dcterms:W3CDTF">2026-05-11T09:52:00Z</dcterms:created>
  <dcterms:modified xsi:type="dcterms:W3CDTF">2026-05-11T09:52:00Z</dcterms:modified>
</cp:coreProperties>
</file>