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05" w:rsidRDefault="00A24005">
      <w:pPr>
        <w:spacing w:after="0" w:line="100" w:lineRule="atLeast"/>
        <w:rPr>
          <w:b/>
          <w:color w:val="1F497D"/>
        </w:rPr>
      </w:pPr>
      <w:bookmarkStart w:id="0" w:name="_GoBack"/>
      <w:bookmarkEnd w:id="0"/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OPERAÇÃO ESTATÍSTICA: </w:t>
      </w:r>
    </w:p>
    <w:p w:rsidR="00BF0158" w:rsidRDefault="00F41F7E">
      <w:pPr>
        <w:spacing w:after="0" w:line="100" w:lineRule="atLeast"/>
      </w:pPr>
      <w:r>
        <w:t xml:space="preserve">Anuário </w:t>
      </w:r>
      <w:r w:rsidR="004C4E3A">
        <w:t xml:space="preserve">Estatístico </w:t>
      </w:r>
      <w:r>
        <w:t>de Propriedade Industrial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SIGLA: </w:t>
      </w:r>
    </w:p>
    <w:p w:rsidR="00BF0158" w:rsidRDefault="00F41F7E">
      <w:pPr>
        <w:spacing w:after="0" w:line="100" w:lineRule="atLeast"/>
      </w:pPr>
      <w:r>
        <w:t xml:space="preserve">AEPI 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CATEGORIA DA DIVULGAÇÃO: </w:t>
      </w:r>
    </w:p>
    <w:p w:rsidR="00BF0158" w:rsidRDefault="00F41F7E">
      <w:pPr>
        <w:spacing w:after="0" w:line="100" w:lineRule="atLeast"/>
      </w:pPr>
      <w:r>
        <w:t>Estrutural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TIPO DE OPERAÇÃO ESTATÍSTICA: </w:t>
      </w:r>
    </w:p>
    <w:p w:rsidR="00BF0158" w:rsidRDefault="00F41F7E">
      <w:pPr>
        <w:spacing w:after="0" w:line="100" w:lineRule="atLeast"/>
      </w:pPr>
      <w:r>
        <w:t>Registros administrativos de Propriedade Industrial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TEMAS E/OU SUBTEMAS: </w:t>
      </w:r>
    </w:p>
    <w:p w:rsidR="00BF0158" w:rsidRPr="0058593B" w:rsidRDefault="00F41F7E">
      <w:pPr>
        <w:spacing w:after="0" w:line="100" w:lineRule="atLeast"/>
      </w:pPr>
      <w:r w:rsidRPr="0058593B">
        <w:rPr>
          <w:bCs/>
        </w:rPr>
        <w:t xml:space="preserve">Ciência, tecnologia e </w:t>
      </w:r>
      <w:proofErr w:type="gramStart"/>
      <w:r w:rsidRPr="0058593B">
        <w:rPr>
          <w:bCs/>
        </w:rPr>
        <w:t>inovação</w:t>
      </w:r>
      <w:proofErr w:type="gramEnd"/>
    </w:p>
    <w:p w:rsidR="00051DDE" w:rsidRDefault="00051DDE">
      <w:pPr>
        <w:spacing w:after="0" w:line="100" w:lineRule="atLeast"/>
        <w:rPr>
          <w:i/>
          <w:iCs/>
        </w:rPr>
      </w:pPr>
    </w:p>
    <w:p w:rsidR="00051DDE" w:rsidRDefault="00051DDE" w:rsidP="00051DDE">
      <w:pPr>
        <w:spacing w:after="0" w:line="100" w:lineRule="atLeast"/>
        <w:rPr>
          <w:b/>
          <w:color w:val="1F497D"/>
        </w:rPr>
      </w:pPr>
      <w:r w:rsidRPr="00051DDE">
        <w:rPr>
          <w:b/>
          <w:color w:val="1F497D"/>
        </w:rPr>
        <w:t>PALAVRAS-CHAVE</w:t>
      </w:r>
      <w:r>
        <w:rPr>
          <w:b/>
          <w:color w:val="1F497D"/>
        </w:rPr>
        <w:t xml:space="preserve">: </w:t>
      </w:r>
    </w:p>
    <w:p w:rsidR="00051DDE" w:rsidRDefault="00051DDE" w:rsidP="00051DDE">
      <w:pPr>
        <w:spacing w:after="0" w:line="100" w:lineRule="atLeast"/>
      </w:pPr>
      <w:r>
        <w:t>Propriedade Industrial, tecnologia, patentes, marcas, desenhos industriais, contratos de tecnologia, indicações geográficas.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SITUAÇÃO DA OPERAÇÃO ESTATÍSTICA: </w:t>
      </w:r>
    </w:p>
    <w:p w:rsidR="00BF0158" w:rsidRDefault="00F41F7E">
      <w:pPr>
        <w:spacing w:after="0" w:line="100" w:lineRule="atLeast"/>
      </w:pPr>
      <w:r>
        <w:t>Corrente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DATA DE INÍCIO: </w:t>
      </w:r>
    </w:p>
    <w:p w:rsidR="00BF0158" w:rsidRDefault="00F41F7E">
      <w:pPr>
        <w:spacing w:after="0" w:line="100" w:lineRule="atLeast"/>
      </w:pPr>
      <w:r>
        <w:t>01/01/2000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PERIODICIDADE DE COLETA: </w:t>
      </w:r>
    </w:p>
    <w:p w:rsidR="00BF0158" w:rsidRDefault="00F41F7E">
      <w:pPr>
        <w:spacing w:after="0" w:line="100" w:lineRule="atLeast"/>
      </w:pPr>
      <w:r>
        <w:t>Anual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PERIODICIDADE DE DIVULGAÇÃO: </w:t>
      </w:r>
    </w:p>
    <w:p w:rsidR="00BF0158" w:rsidRDefault="00F41F7E">
      <w:pPr>
        <w:spacing w:after="0" w:line="100" w:lineRule="atLeast"/>
      </w:pPr>
      <w:r>
        <w:t>Anual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OCORRÊNCIAS: </w:t>
      </w:r>
    </w:p>
    <w:p w:rsidR="00BF0158" w:rsidRDefault="00F41F7E">
      <w:pPr>
        <w:spacing w:after="0" w:line="100" w:lineRule="atLeast"/>
      </w:pPr>
      <w:r>
        <w:t>2000 a 2012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  <w:u w:val="single"/>
        </w:rPr>
      </w:pPr>
      <w:r>
        <w:rPr>
          <w:b/>
          <w:color w:val="1F497D"/>
          <w:u w:val="single"/>
        </w:rPr>
        <w:t>Característica da última ocorrência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OCORRÊNCIA: </w:t>
      </w:r>
    </w:p>
    <w:p w:rsidR="00BF0158" w:rsidRDefault="00F41F7E">
      <w:pPr>
        <w:spacing w:after="0" w:line="100" w:lineRule="atLeast"/>
      </w:pPr>
      <w:r>
        <w:t xml:space="preserve">Anuário </w:t>
      </w:r>
      <w:r w:rsidR="004C4E3A">
        <w:t xml:space="preserve">Estatístico </w:t>
      </w:r>
      <w:r>
        <w:t>de Propriedade Industrial – 2000-2012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 xml:space="preserve">SIGLA: </w:t>
      </w:r>
    </w:p>
    <w:p w:rsidR="00BF0158" w:rsidRDefault="00F41F7E">
      <w:pPr>
        <w:spacing w:after="0" w:line="100" w:lineRule="atLeast"/>
      </w:pPr>
      <w:r>
        <w:t>AEPI 2000-2012</w:t>
      </w:r>
    </w:p>
    <w:p w:rsidR="00BF0158" w:rsidRDefault="00BF0158">
      <w:pPr>
        <w:spacing w:after="0" w:line="100" w:lineRule="atLeast"/>
        <w:rPr>
          <w:color w:val="FF0000"/>
        </w:rPr>
      </w:pP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Instituições Responsáveis</w:t>
      </w:r>
    </w:p>
    <w:p w:rsidR="00BF0158" w:rsidRDefault="00F41F7E">
      <w:pPr>
        <w:spacing w:after="0" w:line="100" w:lineRule="atLeast"/>
      </w:pPr>
      <w:r>
        <w:t>Instituto Nacional da Propriedade Industrial (INPI) - Diretorias Técnicas - Produtor Primário</w:t>
      </w:r>
    </w:p>
    <w:p w:rsidR="00BF0158" w:rsidRDefault="00F41F7E">
      <w:pPr>
        <w:spacing w:after="0" w:line="100" w:lineRule="atLeast"/>
      </w:pPr>
      <w:r>
        <w:lastRenderedPageBreak/>
        <w:t>Instituto Nacional da Propriedade Industrial (INPI) - Coordenação-Geral de Tecnologia da Informação (CGTI) - Responsável pela Coleta/Extração de Dados</w:t>
      </w:r>
    </w:p>
    <w:p w:rsidR="00BF0158" w:rsidRDefault="00F41F7E">
      <w:pPr>
        <w:spacing w:after="0" w:line="100" w:lineRule="atLeast"/>
      </w:pPr>
      <w:r>
        <w:t>Instituto Nacional da Propriedade Industrial (INPI) - Assessoria de Assuntos Econômicos (AECON) - Produtor de Estatísticas e de Metadados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Histórico</w:t>
      </w:r>
    </w:p>
    <w:p w:rsidR="00BF0158" w:rsidRDefault="00F41F7E">
      <w:pPr>
        <w:spacing w:after="0" w:line="100" w:lineRule="atLeast"/>
        <w:jc w:val="both"/>
      </w:pPr>
      <w:r>
        <w:t xml:space="preserve">No Brasil, o INPI é a autarquia federal responsável pela gestão do sistema brasileiro de concessão e garantia de direitos de propriedade intelectual. A coleta, a apuração e a divulgação das estatísticas relativas aos eventos processuais são de responsabilidade do INPI. </w:t>
      </w:r>
    </w:p>
    <w:p w:rsidR="00BF0158" w:rsidRDefault="00F41F7E">
      <w:pPr>
        <w:spacing w:after="0" w:line="100" w:lineRule="atLeast"/>
        <w:jc w:val="both"/>
      </w:pPr>
      <w:r>
        <w:t>Os dados sobre os registros de depósitos e de concessões existem desde 1974, no entanto os processos de coleta, a apuração e a divulgação sofreu uma revisão de metodologia e foram documentados a partir de 2000.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Objetivo</w:t>
      </w:r>
    </w:p>
    <w:p w:rsidR="00BF0158" w:rsidRDefault="00F41F7E">
      <w:pPr>
        <w:spacing w:after="0" w:line="100" w:lineRule="atLeast"/>
        <w:jc w:val="both"/>
      </w:pPr>
      <w:r>
        <w:t>A pesquisa tem como objetivo fornecer informações que visem a atender aos interesses de estudos de inovação, propiciando indicadores da atividade de PI no País, análises regionais, de tecnologia e de setores e, ainda, contribuir para o aprimoramento dos programas governamentais nos campos econômico, de comércio exterior, de ciência, tecnologia e de inovação.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Abrangência Geográfica</w:t>
      </w:r>
    </w:p>
    <w:p w:rsidR="00BF0158" w:rsidRDefault="00F41F7E">
      <w:pPr>
        <w:spacing w:after="0" w:line="100" w:lineRule="atLeast"/>
      </w:pPr>
      <w:r>
        <w:t>Nacional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População Alvo</w:t>
      </w:r>
    </w:p>
    <w:p w:rsidR="00BF0158" w:rsidRDefault="00F41F7E">
      <w:pPr>
        <w:spacing w:after="0" w:line="100" w:lineRule="atLeast"/>
      </w:pPr>
      <w:r>
        <w:t>A população-alvo é constituída dos eventos administrativos registrados pelo INPI (depósitos de novos pedidos e concessões de direitos), ou seja</w:t>
      </w:r>
      <w:r w:rsidR="007C5195">
        <w:t>,</w:t>
      </w:r>
      <w:r>
        <w:t xml:space="preserve"> com validade no país, no ano de referência da pesquisa.</w:t>
      </w:r>
    </w:p>
    <w:p w:rsidR="00BF0158" w:rsidRDefault="00BF0158">
      <w:pPr>
        <w:spacing w:after="0" w:line="100" w:lineRule="atLeast"/>
        <w:rPr>
          <w:b/>
          <w:color w:val="1F497D"/>
        </w:rPr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Metodologia</w:t>
      </w:r>
    </w:p>
    <w:p w:rsidR="00BF0158" w:rsidRDefault="00F41F7E">
      <w:pPr>
        <w:spacing w:after="0" w:line="100" w:lineRule="atLeast"/>
        <w:jc w:val="both"/>
      </w:pPr>
      <w:r>
        <w:t>A coleta dos dados dos registros administrativos de depósitos de novos pedidos e concessões de direitos de Patentes (Invenção, Modelo de</w:t>
      </w:r>
      <w:r>
        <w:rPr>
          <w:color w:val="000000"/>
        </w:rPr>
        <w:t xml:space="preserve"> Utilidad</w:t>
      </w:r>
      <w:r>
        <w:t xml:space="preserve">e e Certificados de Adição), Desenhos Industriais, Marcas, Contratos, Programas de Computador e Indicações Geográficas é feita junto às Diretorias do INPI que alimenta e administra a Base de Produção (BP-INPI). </w:t>
      </w:r>
    </w:p>
    <w:p w:rsidR="00BF0158" w:rsidRDefault="00BF0158">
      <w:pPr>
        <w:spacing w:after="0" w:line="100" w:lineRule="atLeast"/>
        <w:jc w:val="both"/>
      </w:pPr>
    </w:p>
    <w:p w:rsidR="00BF0158" w:rsidRDefault="00F41F7E">
      <w:pPr>
        <w:spacing w:after="0" w:line="100" w:lineRule="atLeast"/>
        <w:jc w:val="both"/>
      </w:pPr>
      <w:r>
        <w:t>À CGTI cabe, por solicitação da AECON, a extração anual dos dados dos campos selecionados da Base de Produção do INPI (BP-INPI) para a criação de uma cópia das tabelas. Esta cópia configura, por sua vez, um banco de dados intermediário para processamento do Banco de Dados de Propriedade Intelectual (BADEPI). A partir desse procedimento metodológico estabelecido, serão incorporados apenas os dados de cada ano subsequente para a atualização do Anuário.</w:t>
      </w:r>
    </w:p>
    <w:p w:rsidR="00BF0158" w:rsidRDefault="00F41F7E">
      <w:pPr>
        <w:spacing w:after="0" w:line="100" w:lineRule="atLeast"/>
        <w:jc w:val="both"/>
      </w:pPr>
      <w:r>
        <w:t xml:space="preserve"> </w:t>
      </w:r>
    </w:p>
    <w:p w:rsidR="00BF0158" w:rsidRDefault="00F41F7E">
      <w:pPr>
        <w:spacing w:after="0" w:line="100" w:lineRule="atLeast"/>
        <w:jc w:val="both"/>
      </w:pPr>
      <w:r>
        <w:t xml:space="preserve">À AECON cabe o tratamento das informações em um processo de crítica final e análise. O tratamento de dados cadastrais brutos que apresentem </w:t>
      </w:r>
      <w:proofErr w:type="spellStart"/>
      <w:r>
        <w:t>missings</w:t>
      </w:r>
      <w:proofErr w:type="spellEnd"/>
      <w:r>
        <w:t xml:space="preserve"> ou informações incorretas é feito por meio de cruzamento com a própria base do INPI e externas, tais como Sistema de Protocolo Automatizado Geral do INPI (PAG/ INPI) e Relação Anual de Informações Sociais – Ministério do Trabalho e Emprego (RAIS/MTE).</w:t>
      </w:r>
    </w:p>
    <w:p w:rsidR="00BF0158" w:rsidRDefault="00F41F7E">
      <w:pPr>
        <w:spacing w:after="0" w:line="100" w:lineRule="atLeast"/>
        <w:jc w:val="both"/>
      </w:pPr>
      <w:r>
        <w:t xml:space="preserve">Uma vez finalizados os procedimentos mencionados, os dados são armazenados na Base de Dados de Estatísticas do INPI - BADEPI, estando disponíveis para divulgação. 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jc w:val="both"/>
      </w:pPr>
      <w:r>
        <w:t>Após ser sistematizado, revisado e analisado, este material é enviado à Coordenação-Geral de Comunicação Social - CGCOM para publicação no website do INPI.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Principais Variáveis</w:t>
      </w:r>
    </w:p>
    <w:p w:rsidR="00BF0158" w:rsidRDefault="00F41F7E">
      <w:pPr>
        <w:pStyle w:val="PargrafodaLista"/>
        <w:numPr>
          <w:ilvl w:val="0"/>
          <w:numId w:val="1"/>
        </w:numPr>
        <w:spacing w:after="0" w:line="100" w:lineRule="atLeast"/>
        <w:ind w:left="284" w:hanging="284"/>
      </w:pPr>
      <w:r>
        <w:t>Características dos depósitos de pedidos de patentes</w:t>
      </w: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426" w:hanging="426"/>
      </w:pPr>
      <w:r>
        <w:t>Características dos depósitos de pedidos de patentes</w:t>
      </w:r>
    </w:p>
    <w:p w:rsidR="00BF0158" w:rsidRDefault="00F41F7E">
      <w:pPr>
        <w:spacing w:after="0" w:line="100" w:lineRule="atLeast"/>
      </w:pPr>
      <w:r>
        <w:t>Tipo da patente (PI, MU, CA</w:t>
      </w:r>
      <w:proofErr w:type="gramStart"/>
      <w:r>
        <w:t>)</w:t>
      </w:r>
      <w:proofErr w:type="gramEnd"/>
    </w:p>
    <w:p w:rsidR="00BF0158" w:rsidRDefault="00F41F7E">
      <w:pPr>
        <w:spacing w:after="0" w:line="100" w:lineRule="atLeast"/>
      </w:pPr>
      <w:r>
        <w:t>Origem do depositante (país, estado, município</w:t>
      </w:r>
      <w:proofErr w:type="gramStart"/>
      <w:r>
        <w:t>)</w:t>
      </w:r>
      <w:proofErr w:type="gramEnd"/>
    </w:p>
    <w:p w:rsidR="00BF0158" w:rsidRDefault="00F41F7E">
      <w:pPr>
        <w:spacing w:after="0" w:line="100" w:lineRule="atLeast"/>
      </w:pPr>
      <w:r>
        <w:t>Natureza jurídica do depositante</w:t>
      </w:r>
    </w:p>
    <w:p w:rsidR="00BF0158" w:rsidRDefault="00F41F7E">
      <w:pPr>
        <w:spacing w:after="0" w:line="100" w:lineRule="atLeast"/>
      </w:pPr>
      <w:r>
        <w:t>Via de entrada do pedido</w:t>
      </w:r>
    </w:p>
    <w:p w:rsidR="00BF0158" w:rsidRDefault="00F41F7E">
      <w:pPr>
        <w:spacing w:after="0" w:line="100" w:lineRule="atLeast"/>
      </w:pPr>
      <w:r>
        <w:t>Classificação da tecnologia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426" w:hanging="426"/>
      </w:pPr>
      <w:r>
        <w:t>Características das concessões de patentes</w:t>
      </w:r>
    </w:p>
    <w:p w:rsidR="00BF0158" w:rsidRDefault="00F41F7E">
      <w:pPr>
        <w:spacing w:after="0" w:line="100" w:lineRule="atLeast"/>
      </w:pPr>
      <w:r>
        <w:t>Tipo da patente (PI, MU, CA</w:t>
      </w:r>
      <w:proofErr w:type="gramStart"/>
      <w:r>
        <w:t>)</w:t>
      </w:r>
      <w:proofErr w:type="gramEnd"/>
    </w:p>
    <w:p w:rsidR="00BF0158" w:rsidRDefault="00F41F7E">
      <w:pPr>
        <w:spacing w:after="0" w:line="100" w:lineRule="atLeast"/>
      </w:pPr>
      <w:r>
        <w:t>Origem do depositante</w:t>
      </w:r>
    </w:p>
    <w:p w:rsidR="00BF0158" w:rsidRDefault="00F41F7E">
      <w:pPr>
        <w:spacing w:after="0" w:line="100" w:lineRule="atLeast"/>
      </w:pPr>
      <w:r>
        <w:t>Classificação da tecnologia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0"/>
          <w:numId w:val="1"/>
        </w:numPr>
        <w:spacing w:after="0" w:line="100" w:lineRule="atLeast"/>
        <w:ind w:left="284" w:hanging="284"/>
      </w:pPr>
      <w:r>
        <w:t>Características dos depósitos de pedidos de desenhos industriais</w:t>
      </w: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426" w:hanging="426"/>
      </w:pPr>
      <w:r>
        <w:t>Características dos depósitos de pedidos de desenhos industriais</w:t>
      </w:r>
    </w:p>
    <w:p w:rsidR="00BF0158" w:rsidRDefault="00F41F7E">
      <w:pPr>
        <w:spacing w:after="0" w:line="100" w:lineRule="atLeast"/>
      </w:pPr>
      <w:r>
        <w:t>Origem do depositante (país, estado, município</w:t>
      </w:r>
      <w:proofErr w:type="gramStart"/>
      <w:r>
        <w:t>)</w:t>
      </w:r>
      <w:proofErr w:type="gramEnd"/>
    </w:p>
    <w:p w:rsidR="00BF0158" w:rsidRDefault="00F41F7E">
      <w:pPr>
        <w:spacing w:after="0" w:line="100" w:lineRule="atLeast"/>
      </w:pPr>
      <w:r>
        <w:t>Natureza jurídica do depositante</w:t>
      </w:r>
    </w:p>
    <w:p w:rsidR="00BF0158" w:rsidRDefault="00F41F7E">
      <w:pPr>
        <w:spacing w:after="0" w:line="100" w:lineRule="atLeast"/>
      </w:pPr>
      <w:r>
        <w:t>Classificação do desenho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426" w:hanging="426"/>
      </w:pPr>
      <w:r>
        <w:t>Características das concessões de desenhos industriais</w:t>
      </w:r>
    </w:p>
    <w:p w:rsidR="00BF0158" w:rsidRDefault="00F41F7E">
      <w:pPr>
        <w:spacing w:after="0" w:line="100" w:lineRule="atLeast"/>
      </w:pPr>
      <w:r>
        <w:t>Origem do depositante</w:t>
      </w:r>
    </w:p>
    <w:p w:rsidR="00BF0158" w:rsidRDefault="00F41F7E">
      <w:pPr>
        <w:spacing w:after="0" w:line="100" w:lineRule="atLeast"/>
      </w:pPr>
      <w:r>
        <w:t>Classificação do desenho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0"/>
          <w:numId w:val="1"/>
        </w:numPr>
        <w:spacing w:after="0" w:line="100" w:lineRule="atLeast"/>
      </w:pPr>
      <w:r>
        <w:t>Características dos depósitos de pedidos de marcas</w:t>
      </w: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426" w:hanging="426"/>
      </w:pPr>
      <w:r>
        <w:t>Características dos depósitos de pedidos de marcas</w:t>
      </w:r>
    </w:p>
    <w:p w:rsidR="00BF0158" w:rsidRDefault="00F41F7E">
      <w:pPr>
        <w:spacing w:after="0" w:line="100" w:lineRule="atLeast"/>
      </w:pPr>
      <w:r>
        <w:t>Natureza da marca</w:t>
      </w:r>
    </w:p>
    <w:p w:rsidR="00BF0158" w:rsidRDefault="00F41F7E">
      <w:pPr>
        <w:spacing w:after="0" w:line="100" w:lineRule="atLeast"/>
      </w:pPr>
      <w:r>
        <w:t>Apresentação da marca</w:t>
      </w:r>
    </w:p>
    <w:p w:rsidR="00BF0158" w:rsidRDefault="00F41F7E">
      <w:pPr>
        <w:spacing w:after="0" w:line="100" w:lineRule="atLeast"/>
      </w:pPr>
      <w:r>
        <w:t>Origem do depositante (país, estado, município</w:t>
      </w:r>
      <w:proofErr w:type="gramStart"/>
      <w:r>
        <w:t>)</w:t>
      </w:r>
      <w:proofErr w:type="gramEnd"/>
    </w:p>
    <w:p w:rsidR="00BF0158" w:rsidRDefault="00F41F7E">
      <w:pPr>
        <w:spacing w:after="0" w:line="100" w:lineRule="atLeast"/>
      </w:pPr>
      <w:r>
        <w:t>Natureza jurídica do depositante</w:t>
      </w:r>
    </w:p>
    <w:p w:rsidR="00BF0158" w:rsidRDefault="00F41F7E">
      <w:pPr>
        <w:spacing w:after="0" w:line="100" w:lineRule="atLeast"/>
      </w:pPr>
      <w:r>
        <w:t>Classificação da marca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426" w:hanging="426"/>
      </w:pPr>
      <w:r>
        <w:t>Características das concessões de registros de marcas</w:t>
      </w:r>
    </w:p>
    <w:p w:rsidR="00BF0158" w:rsidRDefault="00F41F7E">
      <w:pPr>
        <w:spacing w:after="0" w:line="100" w:lineRule="atLeast"/>
      </w:pPr>
      <w:r>
        <w:t>Natureza da marca</w:t>
      </w:r>
    </w:p>
    <w:p w:rsidR="00BF0158" w:rsidRDefault="00F41F7E">
      <w:pPr>
        <w:spacing w:after="0" w:line="100" w:lineRule="atLeast"/>
      </w:pPr>
      <w:r>
        <w:t>Apresentação da marca</w:t>
      </w:r>
    </w:p>
    <w:p w:rsidR="00BF0158" w:rsidRDefault="00F41F7E">
      <w:pPr>
        <w:spacing w:after="0" w:line="100" w:lineRule="atLeast"/>
      </w:pPr>
      <w:r>
        <w:t>Origem do depositante (país, estado, município</w:t>
      </w:r>
      <w:proofErr w:type="gramStart"/>
      <w:r>
        <w:t>)</w:t>
      </w:r>
      <w:proofErr w:type="gramEnd"/>
    </w:p>
    <w:p w:rsidR="00BF0158" w:rsidRDefault="00F41F7E">
      <w:pPr>
        <w:spacing w:after="0" w:line="100" w:lineRule="atLeast"/>
      </w:pPr>
      <w:r>
        <w:t>Natureza jurídica do depositante</w:t>
      </w:r>
    </w:p>
    <w:p w:rsidR="00BF0158" w:rsidRDefault="00F41F7E">
      <w:pPr>
        <w:spacing w:after="0" w:line="100" w:lineRule="atLeast"/>
      </w:pPr>
      <w:r>
        <w:t>Classificação da marca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0"/>
          <w:numId w:val="1"/>
        </w:numPr>
        <w:spacing w:after="0" w:line="100" w:lineRule="atLeast"/>
      </w:pPr>
      <w:r>
        <w:t>Características dos depósitos de pedidos de programas de computador</w:t>
      </w: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426" w:hanging="426"/>
      </w:pPr>
      <w:r>
        <w:t>Características dos depósitos de pedidos de programas de computador</w:t>
      </w:r>
    </w:p>
    <w:p w:rsidR="00BF0158" w:rsidRDefault="00F41F7E">
      <w:pPr>
        <w:spacing w:after="0" w:line="100" w:lineRule="atLeast"/>
      </w:pPr>
      <w:r>
        <w:t>Origem do depositante (país, estado, município</w:t>
      </w:r>
      <w:proofErr w:type="gramStart"/>
      <w:r>
        <w:t>)</w:t>
      </w:r>
      <w:proofErr w:type="gramEnd"/>
    </w:p>
    <w:p w:rsidR="00BF0158" w:rsidRDefault="00F41F7E">
      <w:pPr>
        <w:spacing w:after="0" w:line="100" w:lineRule="atLeast"/>
      </w:pPr>
      <w:r>
        <w:t>Natureza jurídica do depositante</w:t>
      </w:r>
    </w:p>
    <w:p w:rsidR="00BF0158" w:rsidRDefault="00F41F7E">
      <w:pPr>
        <w:spacing w:after="0" w:line="100" w:lineRule="atLeast"/>
      </w:pPr>
      <w:r>
        <w:t>Tipo de programa de computador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426" w:hanging="426"/>
      </w:pPr>
      <w:r>
        <w:t>Características das concessões de registros de programas de computador</w:t>
      </w:r>
    </w:p>
    <w:p w:rsidR="00BF0158" w:rsidRDefault="00F41F7E">
      <w:pPr>
        <w:spacing w:after="0" w:line="100" w:lineRule="atLeast"/>
      </w:pPr>
      <w:r>
        <w:t>Origem do depositante</w:t>
      </w:r>
    </w:p>
    <w:p w:rsidR="00BF0158" w:rsidRDefault="00F41F7E">
      <w:pPr>
        <w:spacing w:after="0" w:line="100" w:lineRule="atLeast"/>
      </w:pPr>
      <w:r>
        <w:t>Tipo de programa de computador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0"/>
          <w:numId w:val="1"/>
        </w:numPr>
        <w:spacing w:after="0" w:line="100" w:lineRule="atLeast"/>
      </w:pPr>
      <w:r>
        <w:t>Características dos depósitos de pedidos de indicações geográficas</w:t>
      </w: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709" w:hanging="709"/>
      </w:pPr>
      <w:r>
        <w:t>Características dos depósitos de pedidos de indicações geográficas</w:t>
      </w:r>
    </w:p>
    <w:p w:rsidR="00BF0158" w:rsidRDefault="00F41F7E">
      <w:pPr>
        <w:spacing w:after="0" w:line="100" w:lineRule="atLeast"/>
      </w:pPr>
      <w:r>
        <w:t>Origem do depositante (país, estado, município</w:t>
      </w:r>
      <w:proofErr w:type="gramStart"/>
      <w:r>
        <w:t>)</w:t>
      </w:r>
      <w:proofErr w:type="gramEnd"/>
    </w:p>
    <w:p w:rsidR="00BF0158" w:rsidRDefault="00F41F7E">
      <w:pPr>
        <w:spacing w:after="0" w:line="100" w:lineRule="atLeast"/>
      </w:pPr>
      <w:r>
        <w:t>Classificação da IG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709" w:hanging="709"/>
      </w:pPr>
      <w:r>
        <w:t>Características das concessões de registros de indicações geográficas</w:t>
      </w:r>
    </w:p>
    <w:p w:rsidR="00BF0158" w:rsidRDefault="00F41F7E">
      <w:pPr>
        <w:spacing w:after="0" w:line="100" w:lineRule="atLeast"/>
      </w:pPr>
      <w:r>
        <w:t>Origem do depositante</w:t>
      </w:r>
    </w:p>
    <w:p w:rsidR="00BF0158" w:rsidRDefault="00F41F7E">
      <w:pPr>
        <w:spacing w:after="0" w:line="100" w:lineRule="atLeast"/>
      </w:pPr>
      <w:r>
        <w:t>Classificação da IG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0"/>
          <w:numId w:val="1"/>
        </w:numPr>
        <w:spacing w:after="0" w:line="100" w:lineRule="atLeast"/>
        <w:ind w:left="284" w:hanging="284"/>
      </w:pPr>
      <w:r>
        <w:t>Características das averbações de contratos</w:t>
      </w: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709" w:hanging="709"/>
      </w:pPr>
      <w:r>
        <w:t>Características das averbações de contratos</w:t>
      </w:r>
    </w:p>
    <w:p w:rsidR="00BF0158" w:rsidRDefault="00F41F7E">
      <w:pPr>
        <w:spacing w:after="0" w:line="100" w:lineRule="atLeast"/>
      </w:pPr>
      <w:r>
        <w:t>Tipo de negócio</w:t>
      </w:r>
    </w:p>
    <w:p w:rsidR="00BF0158" w:rsidRDefault="00F41F7E">
      <w:pPr>
        <w:spacing w:after="0" w:line="100" w:lineRule="atLeast"/>
      </w:pPr>
      <w:r>
        <w:t>Categorias contratuais</w:t>
      </w:r>
    </w:p>
    <w:p w:rsidR="00BF0158" w:rsidRDefault="00F41F7E">
      <w:pPr>
        <w:spacing w:after="0" w:line="100" w:lineRule="atLeast"/>
      </w:pPr>
      <w:r>
        <w:t>Origem do cessionário</w:t>
      </w:r>
    </w:p>
    <w:p w:rsidR="00BF0158" w:rsidRDefault="00F41F7E">
      <w:pPr>
        <w:spacing w:after="0" w:line="100" w:lineRule="atLeast"/>
      </w:pPr>
      <w:r>
        <w:t>Origem do cedente</w:t>
      </w:r>
    </w:p>
    <w:p w:rsidR="00BF0158" w:rsidRDefault="00BF0158">
      <w:pPr>
        <w:spacing w:after="0" w:line="100" w:lineRule="atLeast"/>
      </w:pPr>
    </w:p>
    <w:p w:rsidR="00BF0158" w:rsidRDefault="00F41F7E">
      <w:pPr>
        <w:pStyle w:val="PargrafodaLista"/>
        <w:numPr>
          <w:ilvl w:val="1"/>
          <w:numId w:val="1"/>
        </w:numPr>
        <w:spacing w:after="0" w:line="100" w:lineRule="atLeast"/>
        <w:ind w:left="709" w:hanging="709"/>
      </w:pPr>
      <w:r>
        <w:t>Características das averbações de contratos</w:t>
      </w:r>
    </w:p>
    <w:p w:rsidR="00BF0158" w:rsidRDefault="00F41F7E">
      <w:pPr>
        <w:spacing w:after="0" w:line="100" w:lineRule="atLeast"/>
      </w:pPr>
      <w:r>
        <w:t>Tipo de negócio</w:t>
      </w:r>
    </w:p>
    <w:p w:rsidR="00BF0158" w:rsidRDefault="00F41F7E">
      <w:pPr>
        <w:spacing w:after="0" w:line="100" w:lineRule="atLeast"/>
      </w:pPr>
      <w:r>
        <w:t>Categorias contratuais</w:t>
      </w:r>
    </w:p>
    <w:p w:rsidR="00BF0158" w:rsidRDefault="00F41F7E">
      <w:pPr>
        <w:spacing w:after="0" w:line="100" w:lineRule="atLeast"/>
      </w:pPr>
      <w:r>
        <w:t>Origem do cessionário</w:t>
      </w:r>
    </w:p>
    <w:p w:rsidR="00BF0158" w:rsidRDefault="00F41F7E">
      <w:pPr>
        <w:spacing w:after="0" w:line="100" w:lineRule="atLeast"/>
      </w:pPr>
      <w:r>
        <w:t>Origem do cedente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Períodos de Referência</w:t>
      </w:r>
    </w:p>
    <w:p w:rsidR="00BF0158" w:rsidRDefault="00F41F7E">
      <w:pPr>
        <w:spacing w:after="0" w:line="100" w:lineRule="atLeast"/>
      </w:pPr>
      <w:r>
        <w:t>01/01/2000 a 31/12/2012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Tipo de Dados</w:t>
      </w:r>
    </w:p>
    <w:p w:rsidR="00BF0158" w:rsidRDefault="007C5195">
      <w:pPr>
        <w:spacing w:after="0" w:line="100" w:lineRule="atLeast"/>
      </w:pPr>
      <w:r>
        <w:t>Registros administrativos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Unidade de Investigação</w:t>
      </w:r>
    </w:p>
    <w:p w:rsidR="00BF0158" w:rsidRDefault="00F41F7E">
      <w:pPr>
        <w:spacing w:after="0" w:line="100" w:lineRule="atLeast"/>
      </w:pPr>
      <w:r>
        <w:t>Pedido/processo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Unidade de Análise</w:t>
      </w:r>
    </w:p>
    <w:p w:rsidR="00BF0158" w:rsidRDefault="00F41F7E">
      <w:pPr>
        <w:spacing w:after="0" w:line="100" w:lineRule="atLeast"/>
      </w:pPr>
      <w:r>
        <w:t>Pedido/processo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Técnica de Coleta</w:t>
      </w:r>
    </w:p>
    <w:p w:rsidR="00BF0158" w:rsidRDefault="00F41F7E">
      <w:pPr>
        <w:spacing w:after="0" w:line="100" w:lineRule="atLeast"/>
      </w:pPr>
      <w:r>
        <w:t>Transcrição de documento administrativo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rFonts w:eastAsia="MS Mincho" w:cs="Times New Roman"/>
          <w:szCs w:val="24"/>
        </w:rPr>
      </w:pPr>
      <w:r>
        <w:t xml:space="preserve">Extração de </w:t>
      </w:r>
      <w:r>
        <w:rPr>
          <w:rFonts w:eastAsia="MS Mincho" w:cs="Times New Roman"/>
          <w:szCs w:val="24"/>
        </w:rPr>
        <w:t>dados da Base de Produção do INPI (BP-INPI)</w:t>
      </w:r>
    </w:p>
    <w:p w:rsidR="00BF0158" w:rsidRDefault="00BF0158">
      <w:pPr>
        <w:spacing w:after="0" w:line="100" w:lineRule="atLeast"/>
      </w:pPr>
    </w:p>
    <w:p w:rsidR="00BF0158" w:rsidRDefault="00BF0158">
      <w:pPr>
        <w:spacing w:after="0" w:line="100" w:lineRule="atLeast"/>
        <w:rPr>
          <w:rFonts w:eastAsia="MS Mincho" w:cs="Times New Roman"/>
          <w:i/>
          <w:iCs/>
          <w:szCs w:val="24"/>
        </w:rPr>
      </w:pP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Nível de Divulgação</w:t>
      </w:r>
    </w:p>
    <w:p w:rsidR="00BF0158" w:rsidRDefault="00F41F7E">
      <w:pPr>
        <w:spacing w:after="0" w:line="100" w:lineRule="atLeast"/>
      </w:pPr>
      <w:r>
        <w:t xml:space="preserve">As estatísticas de propriedade intelectual são divulgadas em diversos níveis territoriais: </w:t>
      </w:r>
    </w:p>
    <w:p w:rsidR="00BF0158" w:rsidRDefault="00F41F7E">
      <w:pPr>
        <w:spacing w:after="0" w:line="100" w:lineRule="atLeast"/>
      </w:pPr>
      <w:r>
        <w:t>- Para o total de pedidos: todas as variáveis</w:t>
      </w:r>
    </w:p>
    <w:p w:rsidR="00BF0158" w:rsidRDefault="00F41F7E">
      <w:pPr>
        <w:spacing w:after="0" w:line="100" w:lineRule="atLeast"/>
      </w:pPr>
      <w:r>
        <w:t xml:space="preserve">- Para o total de pedidos por origem do depositante (residente e </w:t>
      </w:r>
      <w:proofErr w:type="gramStart"/>
      <w:r>
        <w:t>não-residente</w:t>
      </w:r>
      <w:proofErr w:type="gramEnd"/>
      <w:r>
        <w:t>): classificação</w:t>
      </w:r>
    </w:p>
    <w:p w:rsidR="00BF0158" w:rsidRDefault="00F41F7E">
      <w:pPr>
        <w:spacing w:after="0" w:line="100" w:lineRule="atLeast"/>
      </w:pPr>
      <w:r>
        <w:t xml:space="preserve">- Para o total de pedidos de residentes: distribuição por unidades da federação, municípios e natureza jurídica dos </w:t>
      </w:r>
      <w:proofErr w:type="gramStart"/>
      <w:r>
        <w:t>depositantes</w:t>
      </w:r>
      <w:proofErr w:type="gramEnd"/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Formas de Disseminação</w:t>
      </w:r>
    </w:p>
    <w:p w:rsidR="00BF0158" w:rsidRDefault="00F41F7E">
      <w:pPr>
        <w:spacing w:after="0" w:line="100" w:lineRule="atLeast"/>
      </w:pPr>
      <w:r>
        <w:t>Publicação Digital (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>)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Nível de Desagregação Geográfica</w:t>
      </w:r>
    </w:p>
    <w:p w:rsidR="00BF0158" w:rsidRDefault="00F41F7E">
      <w:pPr>
        <w:spacing w:after="0" w:line="100" w:lineRule="atLeast"/>
      </w:pPr>
      <w:r>
        <w:t>Município</w:t>
      </w:r>
    </w:p>
    <w:p w:rsidR="00BF0158" w:rsidRDefault="00BF0158">
      <w:pPr>
        <w:spacing w:after="0" w:line="100" w:lineRule="atLeast"/>
      </w:pPr>
    </w:p>
    <w:p w:rsidR="00BF0158" w:rsidRDefault="00F41F7E">
      <w:pPr>
        <w:spacing w:after="0" w:line="100" w:lineRule="atLeast"/>
        <w:rPr>
          <w:b/>
          <w:color w:val="1F497D"/>
        </w:rPr>
      </w:pPr>
      <w:r>
        <w:rPr>
          <w:b/>
          <w:color w:val="1F497D"/>
        </w:rPr>
        <w:t>+ Instrumentos de Coleta</w:t>
      </w:r>
    </w:p>
    <w:p w:rsidR="00BF0158" w:rsidRDefault="00F41F7E">
      <w:pPr>
        <w:spacing w:after="0" w:line="100" w:lineRule="atLeast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>Formulário de depósito</w:t>
      </w:r>
    </w:p>
    <w:p w:rsidR="00BF0158" w:rsidRDefault="00BF0158">
      <w:pPr>
        <w:spacing w:after="0" w:line="100" w:lineRule="atLeast"/>
      </w:pPr>
    </w:p>
    <w:sectPr w:rsidR="00BF0158">
      <w:headerReference w:type="default" r:id="rId8"/>
      <w:footerReference w:type="default" r:id="rId9"/>
      <w:pgSz w:w="12240" w:h="15840"/>
      <w:pgMar w:top="1417" w:right="1183" w:bottom="1417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D5" w:rsidRDefault="00AB25D5">
      <w:pPr>
        <w:spacing w:after="0" w:line="240" w:lineRule="auto"/>
      </w:pPr>
      <w:r>
        <w:separator/>
      </w:r>
    </w:p>
  </w:endnote>
  <w:endnote w:type="continuationSeparator" w:id="0">
    <w:p w:rsidR="00AB25D5" w:rsidRDefault="00AB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58" w:rsidRDefault="00F41F7E">
    <w:pPr>
      <w:pStyle w:val="Rodap"/>
      <w:rPr>
        <w:sz w:val="18"/>
      </w:rPr>
    </w:pPr>
    <w:r>
      <w:rPr>
        <w:sz w:val="18"/>
      </w:rPr>
      <w:t>Responsável Técnico: INPI/AECON - Assessoria de Assuntos Econômicos</w:t>
    </w:r>
  </w:p>
  <w:p w:rsidR="00BF0158" w:rsidRDefault="00F41F7E">
    <w:pPr>
      <w:pStyle w:val="Rodap"/>
      <w:rPr>
        <w:sz w:val="18"/>
      </w:rPr>
    </w:pPr>
    <w:r>
      <w:rPr>
        <w:sz w:val="18"/>
      </w:rPr>
      <w:t>Criado em: 26/03/2015</w:t>
    </w:r>
  </w:p>
  <w:p w:rsidR="00BF0158" w:rsidRDefault="00F41F7E">
    <w:pPr>
      <w:pStyle w:val="Rodap"/>
      <w:rPr>
        <w:sz w:val="18"/>
      </w:rPr>
    </w:pPr>
    <w:r>
      <w:rPr>
        <w:sz w:val="18"/>
      </w:rPr>
      <w:t xml:space="preserve">Atualizado em: </w:t>
    </w:r>
    <w:r w:rsidR="006404D5">
      <w:rPr>
        <w:sz w:val="18"/>
      </w:rPr>
      <w:t>02/04/2015</w:t>
    </w:r>
  </w:p>
  <w:p w:rsidR="00BF0158" w:rsidRDefault="00BF01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D5" w:rsidRDefault="00AB25D5">
      <w:pPr>
        <w:spacing w:after="0" w:line="240" w:lineRule="auto"/>
      </w:pPr>
      <w:r>
        <w:separator/>
      </w:r>
    </w:p>
  </w:footnote>
  <w:footnote w:type="continuationSeparator" w:id="0">
    <w:p w:rsidR="00AB25D5" w:rsidRDefault="00AB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58" w:rsidRDefault="0058593B">
    <w:pPr>
      <w:pStyle w:val="Cabealho"/>
      <w:tabs>
        <w:tab w:val="center" w:pos="3828"/>
      </w:tabs>
      <w:jc w:val="right"/>
      <w:rPr>
        <w:b/>
        <w:sz w:val="18"/>
        <w:szCs w:val="18"/>
      </w:rPr>
    </w:pPr>
    <w:r>
      <w:rPr>
        <w:b/>
        <w:noProof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6FF184EB" wp14:editId="1F851672">
          <wp:simplePos x="0" y="0"/>
          <wp:positionH relativeFrom="column">
            <wp:posOffset>-66371</wp:posOffset>
          </wp:positionH>
          <wp:positionV relativeFrom="paragraph">
            <wp:posOffset>-80645</wp:posOffset>
          </wp:positionV>
          <wp:extent cx="1879200" cy="486000"/>
          <wp:effectExtent l="0" t="0" r="698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N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F7E">
      <w:rPr>
        <w:sz w:val="18"/>
        <w:szCs w:val="18"/>
      </w:rPr>
      <w:tab/>
    </w:r>
    <w:r w:rsidR="00F41F7E">
      <w:rPr>
        <w:sz w:val="18"/>
        <w:szCs w:val="18"/>
      </w:rPr>
      <w:tab/>
    </w:r>
    <w:r w:rsidR="00F41F7E">
      <w:rPr>
        <w:b/>
        <w:sz w:val="18"/>
        <w:szCs w:val="18"/>
      </w:rPr>
      <w:t xml:space="preserve">Anuário Estatístico de Propriedade Industrial </w:t>
    </w:r>
    <w:r w:rsidR="00F41F7E">
      <w:rPr>
        <w:b/>
        <w:noProof/>
        <w:sz w:val="18"/>
        <w:szCs w:val="18"/>
        <w:lang w:val="en-US"/>
      </w:rPr>
      <w:drawing>
        <wp:anchor distT="0" distB="0" distL="0" distR="0" simplePos="0" relativeHeight="4" behindDoc="1" locked="0" layoutInCell="1" allowOverlap="1" wp14:anchorId="6B547F3A" wp14:editId="23A1D2B4">
          <wp:simplePos x="0" y="0"/>
          <wp:positionH relativeFrom="column">
            <wp:posOffset>635</wp:posOffset>
          </wp:positionH>
          <wp:positionV relativeFrom="paragraph">
            <wp:posOffset>-2540</wp:posOffset>
          </wp:positionV>
          <wp:extent cx="1350010" cy="349250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0158" w:rsidRDefault="00F41F7E">
    <w:pPr>
      <w:pStyle w:val="Cabealho"/>
      <w:tabs>
        <w:tab w:val="center" w:pos="3828"/>
      </w:tabs>
      <w:jc w:val="right"/>
      <w:rPr>
        <w:b/>
        <w:sz w:val="18"/>
        <w:szCs w:val="18"/>
      </w:rPr>
    </w:pPr>
    <w:r>
      <w:rPr>
        <w:b/>
        <w:sz w:val="18"/>
        <w:szCs w:val="18"/>
      </w:rPr>
      <w:t>2000-2012</w:t>
    </w:r>
  </w:p>
  <w:p w:rsidR="00BF0158" w:rsidRDefault="00BF01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42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CC66A6"/>
    <w:multiLevelType w:val="multilevel"/>
    <w:tmpl w:val="6B5E69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58"/>
    <w:rsid w:val="000450F5"/>
    <w:rsid w:val="00051DDE"/>
    <w:rsid w:val="00257495"/>
    <w:rsid w:val="00311287"/>
    <w:rsid w:val="004C1529"/>
    <w:rsid w:val="004C4E3A"/>
    <w:rsid w:val="00577F74"/>
    <w:rsid w:val="0058593B"/>
    <w:rsid w:val="006404D5"/>
    <w:rsid w:val="007C5195"/>
    <w:rsid w:val="00A24005"/>
    <w:rsid w:val="00AB25D5"/>
    <w:rsid w:val="00BF0158"/>
    <w:rsid w:val="00C90159"/>
    <w:rsid w:val="00F4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Pr>
      <w:lang w:val="pt-BR"/>
    </w:rPr>
  </w:style>
  <w:style w:type="character" w:customStyle="1" w:styleId="RodapChar">
    <w:name w:val="Rodapé Char"/>
    <w:basedOn w:val="Fontepargpadro"/>
    <w:rPr>
      <w:lang w:val="pt-BR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val="pt-BR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abealho">
    <w:name w:val="header"/>
    <w:basedOn w:val="Normal"/>
    <w:pPr>
      <w:tabs>
        <w:tab w:val="center" w:pos="4419"/>
        <w:tab w:val="right" w:pos="8838"/>
      </w:tabs>
      <w:spacing w:after="0" w:line="100" w:lineRule="atLeast"/>
    </w:pPr>
  </w:style>
  <w:style w:type="paragraph" w:styleId="Rodap">
    <w:name w:val="footer"/>
    <w:basedOn w:val="Normal"/>
    <w:pPr>
      <w:tabs>
        <w:tab w:val="center" w:pos="4419"/>
        <w:tab w:val="right" w:pos="8838"/>
      </w:tabs>
      <w:spacing w:after="0" w:line="100" w:lineRule="atLeast"/>
    </w:p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Pr>
      <w:lang w:val="pt-BR"/>
    </w:rPr>
  </w:style>
  <w:style w:type="character" w:customStyle="1" w:styleId="RodapChar">
    <w:name w:val="Rodapé Char"/>
    <w:basedOn w:val="Fontepargpadro"/>
    <w:rPr>
      <w:lang w:val="pt-BR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val="pt-BR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abealho">
    <w:name w:val="header"/>
    <w:basedOn w:val="Normal"/>
    <w:pPr>
      <w:tabs>
        <w:tab w:val="center" w:pos="4419"/>
        <w:tab w:val="right" w:pos="8838"/>
      </w:tabs>
      <w:spacing w:after="0" w:line="100" w:lineRule="atLeast"/>
    </w:pPr>
  </w:style>
  <w:style w:type="paragraph" w:styleId="Rodap">
    <w:name w:val="footer"/>
    <w:basedOn w:val="Normal"/>
    <w:pPr>
      <w:tabs>
        <w:tab w:val="center" w:pos="4419"/>
        <w:tab w:val="right" w:pos="8838"/>
      </w:tabs>
      <w:spacing w:after="0" w:line="100" w:lineRule="atLeast"/>
    </w:p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IBGE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9</cp:revision>
  <dcterms:created xsi:type="dcterms:W3CDTF">2015-04-02T14:10:00Z</dcterms:created>
  <dcterms:modified xsi:type="dcterms:W3CDTF">2015-04-17T13:01:00Z</dcterms:modified>
</cp:coreProperties>
</file>