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73C" w:rsidRPr="000B173C" w:rsidRDefault="000B173C" w:rsidP="000B173C">
      <w:pPr>
        <w:spacing w:after="0" w:line="240" w:lineRule="auto"/>
        <w:rPr>
          <w:rFonts w:ascii="Times New Roman" w:eastAsia="Times New Roman" w:hAnsi="Times New Roman" w:cs="Times New Roman"/>
          <w:sz w:val="24"/>
          <w:szCs w:val="24"/>
          <w:lang w:val="en-US" w:eastAsia="pt-BR"/>
        </w:rPr>
      </w:pPr>
      <w:r w:rsidRPr="000B173C">
        <w:rPr>
          <w:rFonts w:ascii="Verdana" w:eastAsia="Times New Roman" w:hAnsi="Verdana" w:cs="Times New Roman"/>
          <w:color w:val="000000"/>
          <w:sz w:val="29"/>
          <w:szCs w:val="29"/>
          <w:lang w:val="en-US" w:eastAsia="pt-BR"/>
        </w:rPr>
        <w:t>The structure of COMPASS-2 is defeated by the requirements for the CubeSat standards. The STR of COMPASS-2 is the mounting structure for all components of the system. The mounting system is the interface for the PCBs of each system, the battery, solar panels and for the payload. The structure is practically the skeleton of the satellite. The triple CubeSat specifications define the dimensions for COMPASS-2 with a nominal length of 100mm per X and Y axis. Only the Z axis length changes to 340.5 mm. The structure of the CubeSat must be strong enough to survive maximum loading defined in the testing requirements and cumulative loading of all required tests. The CubeSat structure must be compatible with the P-POD. The complete list of structural requirements for COMPASS-2 are descript in the CubeSat Design Specifications document (CDS).</w:t>
      </w:r>
      <w:r w:rsidRPr="000B173C">
        <w:rPr>
          <w:rFonts w:ascii="Verdana" w:eastAsia="Times New Roman" w:hAnsi="Verdana" w:cs="Times New Roman"/>
          <w:color w:val="000000"/>
          <w:sz w:val="29"/>
          <w:szCs w:val="29"/>
          <w:lang w:val="en-US" w:eastAsia="pt-BR"/>
        </w:rPr>
        <w:br/>
      </w:r>
      <w:r w:rsidRPr="000B173C">
        <w:rPr>
          <w:rFonts w:ascii="Verdana" w:eastAsia="Times New Roman" w:hAnsi="Verdana" w:cs="Times New Roman"/>
          <w:color w:val="000000"/>
          <w:sz w:val="29"/>
          <w:szCs w:val="29"/>
          <w:lang w:val="en-US" w:eastAsia="pt-BR"/>
        </w:rPr>
        <w:br/>
      </w:r>
      <w:r w:rsidRPr="000B173C">
        <w:rPr>
          <w:rFonts w:ascii="Verdana" w:eastAsia="Times New Roman" w:hAnsi="Verdana" w:cs="Times New Roman"/>
          <w:b/>
          <w:bCs/>
          <w:color w:val="000000"/>
          <w:sz w:val="29"/>
          <w:szCs w:val="29"/>
          <w:u w:val="single"/>
          <w:lang w:val="en-US" w:eastAsia="pt-BR"/>
        </w:rPr>
        <w:t>Dimension and Mass Requirements:</w:t>
      </w:r>
      <w:r w:rsidRPr="000B173C">
        <w:rPr>
          <w:rFonts w:ascii="Verdana" w:eastAsia="Times New Roman" w:hAnsi="Verdana" w:cs="Times New Roman"/>
          <w:color w:val="000000"/>
          <w:sz w:val="29"/>
          <w:szCs w:val="29"/>
          <w:lang w:val="en-US" w:eastAsia="pt-BR"/>
        </w:rPr>
        <w:br/>
      </w:r>
      <w:hyperlink r:id="rId5" w:tgtFrame="_blank" w:history="1">
        <w:r>
          <w:rPr>
            <w:rFonts w:ascii="Times New Roman" w:eastAsia="Times New Roman" w:hAnsi="Times New Roman" w:cs="Times New Roman"/>
            <w:noProof/>
            <w:sz w:val="24"/>
            <w:szCs w:val="24"/>
            <w:lang w:eastAsia="pt-BR"/>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1238250"/>
              <wp:effectExtent l="19050" t="0" r="0" b="0"/>
              <wp:wrapSquare wrapText="bothSides"/>
              <wp:docPr id="2" name="Imagem 2" descr="http://www.raumfahrt.fh-aachen.de/compass2/images/cds.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aumfahrt.fh-aachen.de/compass2/images/cds.jpg">
                        <a:hlinkClick r:id="rId5" tgtFrame="&quot;_blank&quot;"/>
                      </pic:cNvPr>
                      <pic:cNvPicPr>
                        <a:picLocks noChangeAspect="1" noChangeArrowheads="1"/>
                      </pic:cNvPicPr>
                    </pic:nvPicPr>
                    <pic:blipFill>
                      <a:blip r:embed="rId6" cstate="print"/>
                      <a:srcRect/>
                      <a:stretch>
                        <a:fillRect/>
                      </a:stretch>
                    </pic:blipFill>
                    <pic:spPr bwMode="auto">
                      <a:xfrm>
                        <a:off x="0" y="0"/>
                        <a:ext cx="1905000" cy="1238250"/>
                      </a:xfrm>
                      <a:prstGeom prst="rect">
                        <a:avLst/>
                      </a:prstGeom>
                      <a:noFill/>
                      <a:ln w="9525">
                        <a:noFill/>
                        <a:miter lim="800000"/>
                        <a:headEnd/>
                        <a:tailEnd/>
                      </a:ln>
                    </pic:spPr>
                  </pic:pic>
                </a:graphicData>
              </a:graphic>
            </wp:anchor>
          </w:drawing>
        </w:r>
        <w:r w:rsidRPr="000B173C">
          <w:rPr>
            <w:rFonts w:ascii="Verdana" w:eastAsia="Times New Roman" w:hAnsi="Verdana" w:cs="Times New Roman"/>
            <w:color w:val="0061FF"/>
            <w:sz w:val="29"/>
            <w:szCs w:val="29"/>
            <w:lang w:val="en-US" w:eastAsia="pt-BR"/>
          </w:rPr>
          <w:br/>
        </w:r>
        <w:r w:rsidRPr="000B173C">
          <w:rPr>
            <w:rFonts w:ascii="Verdana" w:eastAsia="Times New Roman" w:hAnsi="Verdana" w:cs="Times New Roman"/>
            <w:i/>
            <w:iCs/>
            <w:color w:val="0061FF"/>
            <w:sz w:val="29"/>
            <w:lang w:val="en-US" w:eastAsia="pt-BR"/>
          </w:rPr>
          <w:t>Figure 1: Access Port</w:t>
        </w:r>
        <w:proofErr w:type="spellStart"/>
        <w:r w:rsidRPr="000B173C">
          <w:rPr>
            <w:rFonts w:ascii="Verdana" w:eastAsia="Times New Roman" w:hAnsi="Verdana" w:cs="Times New Roman"/>
            <w:i/>
            <w:iCs/>
            <w:color w:val="0061FF"/>
            <w:sz w:val="29"/>
            <w:lang w:val="en-US" w:eastAsia="pt-BR"/>
          </w:rPr>
          <w:t>s</w:t>
        </w:r>
      </w:hyperlink>
      <w:r w:rsidRPr="000B173C">
        <w:rPr>
          <w:rFonts w:ascii="Verdana" w:eastAsia="Times New Roman" w:hAnsi="Verdana" w:cs="Times New Roman"/>
          <w:color w:val="000000"/>
          <w:sz w:val="29"/>
          <w:szCs w:val="29"/>
          <w:lang w:val="en-US" w:eastAsia="pt-BR"/>
        </w:rPr>
        <w:t>Normally</w:t>
      </w:r>
      <w:proofErr w:type="spellEnd"/>
      <w:r w:rsidRPr="000B173C">
        <w:rPr>
          <w:rFonts w:ascii="Verdana" w:eastAsia="Times New Roman" w:hAnsi="Verdana" w:cs="Times New Roman"/>
          <w:color w:val="000000"/>
          <w:sz w:val="29"/>
          <w:szCs w:val="29"/>
          <w:lang w:val="en-US" w:eastAsia="pt-BR"/>
        </w:rPr>
        <w:t xml:space="preserve"> CubeSats are cube-shaped picosatellites with a nominal length of 100mm each side. Dimensions and features are outlined in the CubeSat Specification Drawing. COMPASS-2 will become a nanosatellite with a normal x and y axis (100mm) and 340.5mm on the z axis. The mass may not exceed 4 kg and the center of mass has to be within 2 cm of its geometric center.</w:t>
      </w:r>
      <w:r w:rsidRPr="000B173C">
        <w:rPr>
          <w:rFonts w:ascii="Verdana" w:eastAsia="Times New Roman" w:hAnsi="Verdana" w:cs="Times New Roman"/>
          <w:color w:val="000000"/>
          <w:sz w:val="29"/>
          <w:szCs w:val="29"/>
          <w:lang w:val="en-US" w:eastAsia="pt-BR"/>
        </w:rPr>
        <w:br/>
      </w:r>
      <w:r w:rsidRPr="000B173C">
        <w:rPr>
          <w:rFonts w:ascii="Verdana" w:eastAsia="Times New Roman" w:hAnsi="Verdana" w:cs="Times New Roman"/>
          <w:color w:val="000000"/>
          <w:sz w:val="29"/>
          <w:szCs w:val="29"/>
          <w:lang w:val="en-US" w:eastAsia="pt-BR"/>
        </w:rPr>
        <w:br/>
      </w:r>
      <w:r w:rsidRPr="000B173C">
        <w:rPr>
          <w:rFonts w:ascii="Verdana" w:eastAsia="Times New Roman" w:hAnsi="Verdana" w:cs="Times New Roman"/>
          <w:b/>
          <w:bCs/>
          <w:color w:val="000000"/>
          <w:sz w:val="29"/>
          <w:szCs w:val="29"/>
          <w:u w:val="single"/>
          <w:lang w:val="en-US" w:eastAsia="pt-BR"/>
        </w:rPr>
        <w:t>Structural Requirements:</w:t>
      </w:r>
      <w:r w:rsidRPr="000B173C">
        <w:rPr>
          <w:rFonts w:ascii="Verdana" w:eastAsia="Times New Roman" w:hAnsi="Verdana" w:cs="Times New Roman"/>
          <w:color w:val="000000"/>
          <w:sz w:val="29"/>
          <w:szCs w:val="29"/>
          <w:lang w:val="en-US" w:eastAsia="pt-BR"/>
        </w:rPr>
        <w:br/>
        <w:t>The structure of the CubeSat has to be strong enough to survive maximum loading defined in the testing requirements and cumulative loading of all required tests and launch. The CubeSat structure has to be compatible with the P-POD.</w:t>
      </w:r>
    </w:p>
    <w:p w:rsidR="000B173C" w:rsidRPr="000B173C" w:rsidRDefault="000B173C" w:rsidP="000B173C">
      <w:pPr>
        <w:numPr>
          <w:ilvl w:val="0"/>
          <w:numId w:val="1"/>
        </w:numPr>
        <w:spacing w:before="100" w:beforeAutospacing="1" w:after="100" w:afterAutospacing="1" w:line="360" w:lineRule="atLeast"/>
        <w:jc w:val="both"/>
        <w:rPr>
          <w:rFonts w:ascii="Verdana" w:eastAsia="Times New Roman" w:hAnsi="Verdana" w:cs="Times New Roman"/>
          <w:color w:val="000000"/>
          <w:sz w:val="29"/>
          <w:szCs w:val="29"/>
          <w:lang w:val="en-US" w:eastAsia="pt-BR"/>
        </w:rPr>
      </w:pPr>
      <w:r w:rsidRPr="000B173C">
        <w:rPr>
          <w:rFonts w:ascii="Verdana" w:eastAsia="Times New Roman" w:hAnsi="Verdana" w:cs="Times New Roman"/>
          <w:color w:val="000000"/>
          <w:sz w:val="29"/>
          <w:szCs w:val="29"/>
          <w:lang w:val="en-US" w:eastAsia="pt-BR"/>
        </w:rPr>
        <w:t>The CubeSat shall be 100.0 - 0.1mm wide (X and Y) and 340.5 - 0.3mm tall (Z).</w:t>
      </w:r>
    </w:p>
    <w:p w:rsidR="000B173C" w:rsidRPr="000B173C" w:rsidRDefault="000B173C" w:rsidP="000B173C">
      <w:pPr>
        <w:numPr>
          <w:ilvl w:val="0"/>
          <w:numId w:val="1"/>
        </w:numPr>
        <w:spacing w:before="100" w:beforeAutospacing="1" w:after="100" w:afterAutospacing="1" w:line="360" w:lineRule="atLeast"/>
        <w:jc w:val="both"/>
        <w:rPr>
          <w:rFonts w:ascii="Verdana" w:eastAsia="Times New Roman" w:hAnsi="Verdana" w:cs="Times New Roman"/>
          <w:color w:val="000000"/>
          <w:sz w:val="29"/>
          <w:szCs w:val="29"/>
          <w:lang w:val="en-US" w:eastAsia="pt-BR"/>
        </w:rPr>
      </w:pPr>
      <w:r w:rsidRPr="000B173C">
        <w:rPr>
          <w:rFonts w:ascii="Verdana" w:eastAsia="Times New Roman" w:hAnsi="Verdana" w:cs="Times New Roman"/>
          <w:color w:val="000000"/>
          <w:sz w:val="29"/>
          <w:szCs w:val="29"/>
          <w:lang w:val="en-US" w:eastAsia="pt-BR"/>
        </w:rPr>
        <w:lastRenderedPageBreak/>
        <w:t>Rails have to be smooth and edges have to be rounded to a minimum radius of 1 mm.</w:t>
      </w:r>
    </w:p>
    <w:p w:rsidR="000B173C" w:rsidRPr="000B173C" w:rsidRDefault="000B173C" w:rsidP="000B173C">
      <w:pPr>
        <w:numPr>
          <w:ilvl w:val="0"/>
          <w:numId w:val="1"/>
        </w:numPr>
        <w:spacing w:before="100" w:beforeAutospacing="1" w:after="100" w:afterAutospacing="1" w:line="360" w:lineRule="atLeast"/>
        <w:jc w:val="both"/>
        <w:rPr>
          <w:rFonts w:ascii="Verdana" w:eastAsia="Times New Roman" w:hAnsi="Verdana" w:cs="Times New Roman"/>
          <w:color w:val="000000"/>
          <w:sz w:val="29"/>
          <w:szCs w:val="29"/>
          <w:lang w:val="en-US" w:eastAsia="pt-BR"/>
        </w:rPr>
      </w:pPr>
      <w:r w:rsidRPr="000B173C">
        <w:rPr>
          <w:rFonts w:ascii="Verdana" w:eastAsia="Times New Roman" w:hAnsi="Verdana" w:cs="Times New Roman"/>
          <w:color w:val="000000"/>
          <w:sz w:val="29"/>
          <w:szCs w:val="29"/>
          <w:lang w:val="en-US" w:eastAsia="pt-BR"/>
        </w:rPr>
        <w:t>No external components other then the rails shall be in contact with the internals of the P-POD.</w:t>
      </w:r>
    </w:p>
    <w:p w:rsidR="000B173C" w:rsidRPr="000B173C" w:rsidRDefault="000B173C" w:rsidP="000B173C">
      <w:pPr>
        <w:numPr>
          <w:ilvl w:val="0"/>
          <w:numId w:val="1"/>
        </w:numPr>
        <w:spacing w:before="100" w:beforeAutospacing="1" w:after="100" w:afterAutospacing="1" w:line="360" w:lineRule="atLeast"/>
        <w:jc w:val="both"/>
        <w:rPr>
          <w:rFonts w:ascii="Verdana" w:eastAsia="Times New Roman" w:hAnsi="Verdana" w:cs="Times New Roman"/>
          <w:color w:val="000000"/>
          <w:sz w:val="29"/>
          <w:szCs w:val="29"/>
          <w:lang w:val="en-US" w:eastAsia="pt-BR"/>
        </w:rPr>
      </w:pPr>
      <w:r w:rsidRPr="000B173C">
        <w:rPr>
          <w:rFonts w:ascii="Verdana" w:eastAsia="Times New Roman" w:hAnsi="Verdana" w:cs="Times New Roman"/>
          <w:color w:val="000000"/>
          <w:sz w:val="29"/>
          <w:szCs w:val="29"/>
          <w:lang w:val="en-US" w:eastAsia="pt-BR"/>
        </w:rPr>
        <w:t>Each rail shall be a minimum of 8.5mm wide.</w:t>
      </w:r>
    </w:p>
    <w:p w:rsidR="000B173C" w:rsidRPr="000B173C" w:rsidRDefault="000B173C" w:rsidP="000B173C">
      <w:pPr>
        <w:numPr>
          <w:ilvl w:val="0"/>
          <w:numId w:val="1"/>
        </w:numPr>
        <w:spacing w:before="100" w:beforeAutospacing="1" w:after="100" w:afterAutospacing="1" w:line="360" w:lineRule="atLeast"/>
        <w:jc w:val="both"/>
        <w:rPr>
          <w:rFonts w:ascii="Verdana" w:eastAsia="Times New Roman" w:hAnsi="Verdana" w:cs="Times New Roman"/>
          <w:color w:val="000000"/>
          <w:sz w:val="29"/>
          <w:szCs w:val="29"/>
          <w:lang w:val="en-US" w:eastAsia="pt-BR"/>
        </w:rPr>
      </w:pPr>
      <w:r w:rsidRPr="000B173C">
        <w:rPr>
          <w:rFonts w:ascii="Verdana" w:eastAsia="Times New Roman" w:hAnsi="Verdana" w:cs="Times New Roman"/>
          <w:color w:val="000000"/>
          <w:sz w:val="29"/>
          <w:szCs w:val="29"/>
          <w:lang w:val="en-US" w:eastAsia="pt-BR"/>
        </w:rPr>
        <w:t>At least 75% (255.375mm of a possible 340.5mm) of the rail has to be in contact with the P-POD rails. 25% of the rails may be recessed and no part of the rails may exceed the specification.</w:t>
      </w:r>
    </w:p>
    <w:p w:rsidR="000B173C" w:rsidRPr="000B173C" w:rsidRDefault="000B173C" w:rsidP="000B173C">
      <w:pPr>
        <w:numPr>
          <w:ilvl w:val="0"/>
          <w:numId w:val="1"/>
        </w:numPr>
        <w:spacing w:before="100" w:beforeAutospacing="1" w:after="100" w:afterAutospacing="1" w:line="360" w:lineRule="atLeast"/>
        <w:jc w:val="both"/>
        <w:rPr>
          <w:rFonts w:ascii="Verdana" w:eastAsia="Times New Roman" w:hAnsi="Verdana" w:cs="Times New Roman"/>
          <w:color w:val="000000"/>
          <w:sz w:val="29"/>
          <w:szCs w:val="29"/>
          <w:lang w:val="en-US" w:eastAsia="pt-BR"/>
        </w:rPr>
      </w:pPr>
      <w:r w:rsidRPr="000B173C">
        <w:rPr>
          <w:rFonts w:ascii="Verdana" w:eastAsia="Times New Roman" w:hAnsi="Verdana" w:cs="Times New Roman"/>
          <w:color w:val="000000"/>
          <w:sz w:val="29"/>
          <w:szCs w:val="29"/>
          <w:lang w:val="en-US" w:eastAsia="pt-BR"/>
        </w:rPr>
        <w:t>All rails have to be hard anodized to prevent cold-welding, reduce wear, and provide electrical isolation between the CubeSats and the P-POD.</w:t>
      </w:r>
    </w:p>
    <w:p w:rsidR="000B173C" w:rsidRPr="000B173C" w:rsidRDefault="000B173C" w:rsidP="000B173C">
      <w:pPr>
        <w:numPr>
          <w:ilvl w:val="0"/>
          <w:numId w:val="1"/>
        </w:numPr>
        <w:spacing w:before="100" w:beforeAutospacing="1" w:after="100" w:afterAutospacing="1" w:line="360" w:lineRule="atLeast"/>
        <w:jc w:val="both"/>
        <w:rPr>
          <w:rFonts w:ascii="Verdana" w:eastAsia="Times New Roman" w:hAnsi="Verdana" w:cs="Times New Roman"/>
          <w:color w:val="000000"/>
          <w:sz w:val="29"/>
          <w:szCs w:val="29"/>
          <w:lang w:val="en-US" w:eastAsia="pt-BR"/>
        </w:rPr>
      </w:pPr>
      <w:r w:rsidRPr="000B173C">
        <w:rPr>
          <w:rFonts w:ascii="Verdana" w:eastAsia="Times New Roman" w:hAnsi="Verdana" w:cs="Times New Roman"/>
          <w:color w:val="000000"/>
          <w:sz w:val="29"/>
          <w:szCs w:val="29"/>
          <w:lang w:val="en-US" w:eastAsia="pt-BR"/>
        </w:rPr>
        <w:t>Separation springs have to be included at designated contact points (Appendix A). Spring plungers are highly recommended (McMaster-Carr P/N: 84985A76 available at http://www.mcmaster.com). A custom separation system may be used, but has to be approved by Cal Poly launch personnel.</w:t>
      </w:r>
    </w:p>
    <w:p w:rsidR="000B173C" w:rsidRPr="000B173C" w:rsidRDefault="000B173C" w:rsidP="000B173C">
      <w:pPr>
        <w:numPr>
          <w:ilvl w:val="0"/>
          <w:numId w:val="1"/>
        </w:numPr>
        <w:spacing w:before="100" w:beforeAutospacing="1" w:after="100" w:afterAutospacing="1" w:line="360" w:lineRule="atLeast"/>
        <w:jc w:val="both"/>
        <w:rPr>
          <w:rFonts w:ascii="Verdana" w:eastAsia="Times New Roman" w:hAnsi="Verdana" w:cs="Times New Roman"/>
          <w:color w:val="000000"/>
          <w:sz w:val="29"/>
          <w:szCs w:val="29"/>
          <w:lang w:val="en-US" w:eastAsia="pt-BR"/>
        </w:rPr>
      </w:pPr>
      <w:r w:rsidRPr="000B173C">
        <w:rPr>
          <w:rFonts w:ascii="Verdana" w:eastAsia="Times New Roman" w:hAnsi="Verdana" w:cs="Times New Roman"/>
          <w:color w:val="000000"/>
          <w:sz w:val="29"/>
          <w:szCs w:val="29"/>
          <w:lang w:val="en-US" w:eastAsia="pt-BR"/>
        </w:rPr>
        <w:t>The use of Aluminium 7075 or 6061 is suggested for the main structure. If other materials are used, the thermal expansion has to be similar to that of aluminium 7075-T73 (P-POD material) and approved by Cal Poly launch personnel.</w:t>
      </w:r>
    </w:p>
    <w:p w:rsidR="000B173C" w:rsidRPr="000B173C" w:rsidRDefault="000B173C" w:rsidP="000B173C">
      <w:pPr>
        <w:spacing w:after="0" w:line="240" w:lineRule="auto"/>
        <w:rPr>
          <w:rFonts w:ascii="Times New Roman" w:eastAsia="Times New Roman" w:hAnsi="Times New Roman" w:cs="Times New Roman"/>
          <w:sz w:val="24"/>
          <w:szCs w:val="24"/>
          <w:lang w:eastAsia="pt-BR"/>
        </w:rPr>
      </w:pPr>
      <w:r w:rsidRPr="000B173C">
        <w:rPr>
          <w:rFonts w:ascii="Verdana" w:eastAsia="Times New Roman" w:hAnsi="Verdana" w:cs="Times New Roman"/>
          <w:b/>
          <w:bCs/>
          <w:color w:val="000000"/>
          <w:sz w:val="29"/>
          <w:szCs w:val="29"/>
          <w:u w:val="single"/>
          <w:lang w:val="en-US" w:eastAsia="pt-BR"/>
        </w:rPr>
        <w:t>Picosatellite Deployer:</w:t>
      </w:r>
      <w:r w:rsidRPr="000B173C">
        <w:rPr>
          <w:rFonts w:ascii="Verdana" w:eastAsia="Times New Roman" w:hAnsi="Verdana" w:cs="Times New Roman"/>
          <w:color w:val="000000"/>
          <w:sz w:val="29"/>
          <w:szCs w:val="29"/>
          <w:lang w:val="en-US" w:eastAsia="pt-BR"/>
        </w:rPr>
        <w:br/>
      </w:r>
      <w:r w:rsidRPr="000B173C">
        <w:rPr>
          <w:rFonts w:ascii="Times New Roman" w:eastAsia="Times New Roman" w:hAnsi="Times New Roman" w:cs="Times New Roman"/>
          <w:sz w:val="24"/>
          <w:szCs w:val="24"/>
          <w:lang w:eastAsia="pt-BR"/>
        </w:rPr>
        <w:fldChar w:fldCharType="begin"/>
      </w:r>
      <w:r w:rsidRPr="000B173C">
        <w:rPr>
          <w:rFonts w:ascii="Times New Roman" w:eastAsia="Times New Roman" w:hAnsi="Times New Roman" w:cs="Times New Roman"/>
          <w:sz w:val="24"/>
          <w:szCs w:val="24"/>
          <w:lang w:val="en-US" w:eastAsia="pt-BR"/>
        </w:rPr>
        <w:instrText xml:space="preserve"> HYPERLINK "http://www.raumfahrt.fh-aachen.de/compass2/images/deploayer_drawing.png" \t "_blank" </w:instrText>
      </w:r>
      <w:r w:rsidRPr="000B173C">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noProof/>
          <w:sz w:val="24"/>
          <w:szCs w:val="24"/>
          <w:lang w:eastAsia="pt-BR"/>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1247775"/>
            <wp:effectExtent l="19050" t="0" r="0" b="0"/>
            <wp:wrapSquare wrapText="bothSides"/>
            <wp:docPr id="3" name="Imagem 3" descr="http://www.raumfahrt.fh-aachen.de/compass2/images/deploayer_drawing.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aumfahrt.fh-aachen.de/compass2/images/deploayer_drawing.png">
                      <a:hlinkClick r:id="rId7" tgtFrame="&quot;_blank&quot;"/>
                    </pic:cNvPr>
                    <pic:cNvPicPr>
                      <a:picLocks noChangeAspect="1" noChangeArrowheads="1"/>
                    </pic:cNvPicPr>
                  </pic:nvPicPr>
                  <pic:blipFill>
                    <a:blip r:embed="rId8" cstate="print"/>
                    <a:srcRect/>
                    <a:stretch>
                      <a:fillRect/>
                    </a:stretch>
                  </pic:blipFill>
                  <pic:spPr bwMode="auto">
                    <a:xfrm>
                      <a:off x="0" y="0"/>
                      <a:ext cx="1905000" cy="1247775"/>
                    </a:xfrm>
                    <a:prstGeom prst="rect">
                      <a:avLst/>
                    </a:prstGeom>
                    <a:noFill/>
                    <a:ln w="9525">
                      <a:noFill/>
                      <a:miter lim="800000"/>
                      <a:headEnd/>
                      <a:tailEnd/>
                    </a:ln>
                  </pic:spPr>
                </pic:pic>
              </a:graphicData>
            </a:graphic>
          </wp:anchor>
        </w:drawing>
      </w:r>
      <w:r w:rsidRPr="000B173C">
        <w:rPr>
          <w:rFonts w:ascii="Verdana" w:eastAsia="Times New Roman" w:hAnsi="Verdana" w:cs="Times New Roman"/>
          <w:color w:val="0061FF"/>
          <w:sz w:val="29"/>
          <w:szCs w:val="29"/>
          <w:lang w:val="en-US" w:eastAsia="pt-BR"/>
        </w:rPr>
        <w:br/>
      </w:r>
      <w:r w:rsidRPr="000B173C">
        <w:rPr>
          <w:rFonts w:ascii="Verdana" w:eastAsia="Times New Roman" w:hAnsi="Verdana" w:cs="Times New Roman"/>
          <w:i/>
          <w:iCs/>
          <w:color w:val="0061FF"/>
          <w:sz w:val="29"/>
          <w:lang w:val="en-US" w:eastAsia="pt-BR"/>
        </w:rPr>
        <w:t>Figure 2: Drawing P-POD</w:t>
      </w:r>
      <w:r w:rsidRPr="000B173C">
        <w:rPr>
          <w:rFonts w:ascii="Times New Roman" w:eastAsia="Times New Roman" w:hAnsi="Times New Roman" w:cs="Times New Roman"/>
          <w:sz w:val="24"/>
          <w:szCs w:val="24"/>
          <w:lang w:eastAsia="pt-BR"/>
        </w:rPr>
        <w:fldChar w:fldCharType="end"/>
      </w:r>
      <w:r w:rsidRPr="000B173C">
        <w:rPr>
          <w:rFonts w:ascii="Verdana" w:eastAsia="Times New Roman" w:hAnsi="Verdana" w:cs="Times New Roman"/>
          <w:color w:val="000000"/>
          <w:sz w:val="29"/>
          <w:szCs w:val="29"/>
          <w:lang w:val="en-US" w:eastAsia="pt-BR"/>
        </w:rPr>
        <w:t>A unique feature of the CubeSat program is the use of a standard deployment system. The Poly Picosatellite Orbital Deployer (P-POD) standardization provides the interface between the launch vehicles and the CubeSats. This reduces mission costs and development time. The P-POD has been fully qualified according to NASA worst case vibration levels and thermal vacuum environments.</w:t>
      </w:r>
      <w:r w:rsidRPr="000B173C">
        <w:rPr>
          <w:rFonts w:ascii="Verdana" w:eastAsia="Times New Roman" w:hAnsi="Verdana" w:cs="Times New Roman"/>
          <w:color w:val="000000"/>
          <w:sz w:val="29"/>
          <w:szCs w:val="29"/>
          <w:lang w:val="en-US" w:eastAsia="pt-BR"/>
        </w:rPr>
        <w:br/>
        <w:t xml:space="preserve">The current P-POD is capable of containing and deploying three single CubeSats. The POD is made by Al 7075 T-73. During the launch phase the POD is locked by a hatch </w:t>
      </w:r>
      <w:r w:rsidRPr="000B173C">
        <w:rPr>
          <w:rFonts w:ascii="Verdana" w:eastAsia="Times New Roman" w:hAnsi="Verdana" w:cs="Times New Roman"/>
          <w:color w:val="000000"/>
          <w:sz w:val="29"/>
          <w:szCs w:val="29"/>
          <w:lang w:val="en-US" w:eastAsia="pt-BR"/>
        </w:rPr>
        <w:lastRenderedPageBreak/>
        <w:t>which will be opened by a mechanism when the scheduled orbit is reached. After the mechanism has released the hatch-lock a spring separates the spacecraft from the launch vehicle pushing the spacecraft out of the POD. CubeSats are stacked inside the P-POD and constrained by a set of hard anodized Teflon-impregnated rails. These rails provide a low-friction surface while the CubeSat are deployed.</w:t>
      </w:r>
      <w:r w:rsidRPr="000B173C">
        <w:rPr>
          <w:rFonts w:ascii="Verdana" w:eastAsia="Times New Roman" w:hAnsi="Verdana" w:cs="Times New Roman"/>
          <w:color w:val="000000"/>
          <w:sz w:val="29"/>
          <w:szCs w:val="29"/>
          <w:lang w:val="en-US" w:eastAsia="pt-BR"/>
        </w:rPr>
        <w:br/>
      </w:r>
      <w:r w:rsidRPr="000B173C">
        <w:rPr>
          <w:rFonts w:ascii="Verdana" w:eastAsia="Times New Roman" w:hAnsi="Verdana" w:cs="Times New Roman"/>
          <w:color w:val="000000"/>
          <w:sz w:val="29"/>
          <w:szCs w:val="29"/>
          <w:lang w:val="en-US" w:eastAsia="pt-BR"/>
        </w:rPr>
        <w:br/>
      </w:r>
      <w:r w:rsidRPr="000B173C">
        <w:rPr>
          <w:rFonts w:ascii="Verdana" w:eastAsia="Times New Roman" w:hAnsi="Verdana" w:cs="Times New Roman"/>
          <w:b/>
          <w:bCs/>
          <w:color w:val="000000"/>
          <w:sz w:val="29"/>
          <w:szCs w:val="29"/>
          <w:u w:val="single"/>
          <w:lang w:val="en-US" w:eastAsia="pt-BR"/>
        </w:rPr>
        <w:t>Testing:</w:t>
      </w:r>
      <w:r w:rsidRPr="000B173C">
        <w:rPr>
          <w:rFonts w:ascii="Verdana" w:eastAsia="Times New Roman" w:hAnsi="Verdana" w:cs="Times New Roman"/>
          <w:color w:val="000000"/>
          <w:sz w:val="29"/>
          <w:szCs w:val="29"/>
          <w:lang w:val="en-US" w:eastAsia="pt-BR"/>
        </w:rPr>
        <w:br/>
        <w:t xml:space="preserve">Testing must be performed to meet all launch provider requirements as well as any additional testing requirements deemed necessary to ensure the safety of the CubeSats and the P-POD. All flight hardware will undergo qualification and acceptance testing. The P-PODs will be tested in a similar fashion to ensure the safety and workmanship before the CubeSats will be integrated. </w:t>
      </w:r>
      <w:proofErr w:type="spellStart"/>
      <w:r w:rsidRPr="000B173C">
        <w:rPr>
          <w:rFonts w:ascii="Verdana" w:eastAsia="Times New Roman" w:hAnsi="Verdana" w:cs="Times New Roman"/>
          <w:color w:val="000000"/>
          <w:sz w:val="29"/>
          <w:szCs w:val="29"/>
          <w:lang w:eastAsia="pt-BR"/>
        </w:rPr>
        <w:t>All</w:t>
      </w:r>
      <w:proofErr w:type="spellEnd"/>
      <w:r w:rsidRPr="000B173C">
        <w:rPr>
          <w:rFonts w:ascii="Verdana" w:eastAsia="Times New Roman" w:hAnsi="Verdana" w:cs="Times New Roman"/>
          <w:color w:val="000000"/>
          <w:sz w:val="29"/>
          <w:szCs w:val="29"/>
          <w:lang w:eastAsia="pt-BR"/>
        </w:rPr>
        <w:t xml:space="preserve"> </w:t>
      </w:r>
      <w:proofErr w:type="spellStart"/>
      <w:r w:rsidRPr="000B173C">
        <w:rPr>
          <w:rFonts w:ascii="Verdana" w:eastAsia="Times New Roman" w:hAnsi="Verdana" w:cs="Times New Roman"/>
          <w:color w:val="000000"/>
          <w:sz w:val="29"/>
          <w:szCs w:val="29"/>
          <w:lang w:eastAsia="pt-BR"/>
        </w:rPr>
        <w:t>CubeSats</w:t>
      </w:r>
      <w:proofErr w:type="spellEnd"/>
      <w:r w:rsidRPr="000B173C">
        <w:rPr>
          <w:rFonts w:ascii="Verdana" w:eastAsia="Times New Roman" w:hAnsi="Verdana" w:cs="Times New Roman"/>
          <w:color w:val="000000"/>
          <w:sz w:val="29"/>
          <w:szCs w:val="29"/>
          <w:lang w:eastAsia="pt-BR"/>
        </w:rPr>
        <w:t xml:space="preserve"> </w:t>
      </w:r>
      <w:proofErr w:type="spellStart"/>
      <w:r w:rsidRPr="000B173C">
        <w:rPr>
          <w:rFonts w:ascii="Verdana" w:eastAsia="Times New Roman" w:hAnsi="Verdana" w:cs="Times New Roman"/>
          <w:color w:val="000000"/>
          <w:sz w:val="29"/>
          <w:szCs w:val="29"/>
          <w:lang w:eastAsia="pt-BR"/>
        </w:rPr>
        <w:t>have</w:t>
      </w:r>
      <w:proofErr w:type="spellEnd"/>
      <w:r w:rsidRPr="000B173C">
        <w:rPr>
          <w:rFonts w:ascii="Verdana" w:eastAsia="Times New Roman" w:hAnsi="Verdana" w:cs="Times New Roman"/>
          <w:color w:val="000000"/>
          <w:sz w:val="29"/>
          <w:szCs w:val="29"/>
          <w:lang w:eastAsia="pt-BR"/>
        </w:rPr>
        <w:t xml:space="preserve"> to </w:t>
      </w:r>
      <w:proofErr w:type="spellStart"/>
      <w:r w:rsidRPr="000B173C">
        <w:rPr>
          <w:rFonts w:ascii="Verdana" w:eastAsia="Times New Roman" w:hAnsi="Verdana" w:cs="Times New Roman"/>
          <w:color w:val="000000"/>
          <w:sz w:val="29"/>
          <w:szCs w:val="29"/>
          <w:lang w:eastAsia="pt-BR"/>
        </w:rPr>
        <w:t>accomplish</w:t>
      </w:r>
      <w:proofErr w:type="spellEnd"/>
      <w:r w:rsidRPr="000B173C">
        <w:rPr>
          <w:rFonts w:ascii="Verdana" w:eastAsia="Times New Roman" w:hAnsi="Verdana" w:cs="Times New Roman"/>
          <w:color w:val="000000"/>
          <w:sz w:val="29"/>
          <w:szCs w:val="29"/>
          <w:lang w:eastAsia="pt-BR"/>
        </w:rPr>
        <w:t xml:space="preserve"> </w:t>
      </w:r>
      <w:proofErr w:type="spellStart"/>
      <w:r w:rsidRPr="000B173C">
        <w:rPr>
          <w:rFonts w:ascii="Verdana" w:eastAsia="Times New Roman" w:hAnsi="Verdana" w:cs="Times New Roman"/>
          <w:color w:val="000000"/>
          <w:sz w:val="29"/>
          <w:szCs w:val="29"/>
          <w:lang w:eastAsia="pt-BR"/>
        </w:rPr>
        <w:t>the</w:t>
      </w:r>
      <w:proofErr w:type="spellEnd"/>
      <w:r w:rsidRPr="000B173C">
        <w:rPr>
          <w:rFonts w:ascii="Verdana" w:eastAsia="Times New Roman" w:hAnsi="Verdana" w:cs="Times New Roman"/>
          <w:color w:val="000000"/>
          <w:sz w:val="29"/>
          <w:szCs w:val="29"/>
          <w:lang w:eastAsia="pt-BR"/>
        </w:rPr>
        <w:t xml:space="preserve"> </w:t>
      </w:r>
      <w:proofErr w:type="spellStart"/>
      <w:r w:rsidRPr="000B173C">
        <w:rPr>
          <w:rFonts w:ascii="Verdana" w:eastAsia="Times New Roman" w:hAnsi="Verdana" w:cs="Times New Roman"/>
          <w:color w:val="000000"/>
          <w:sz w:val="29"/>
          <w:szCs w:val="29"/>
          <w:lang w:eastAsia="pt-BR"/>
        </w:rPr>
        <w:t>following</w:t>
      </w:r>
      <w:proofErr w:type="spellEnd"/>
      <w:r w:rsidRPr="000B173C">
        <w:rPr>
          <w:rFonts w:ascii="Verdana" w:eastAsia="Times New Roman" w:hAnsi="Verdana" w:cs="Times New Roman"/>
          <w:color w:val="000000"/>
          <w:sz w:val="29"/>
          <w:szCs w:val="29"/>
          <w:lang w:eastAsia="pt-BR"/>
        </w:rPr>
        <w:t xml:space="preserve"> </w:t>
      </w:r>
      <w:proofErr w:type="spellStart"/>
      <w:r w:rsidRPr="000B173C">
        <w:rPr>
          <w:rFonts w:ascii="Verdana" w:eastAsia="Times New Roman" w:hAnsi="Verdana" w:cs="Times New Roman"/>
          <w:color w:val="000000"/>
          <w:sz w:val="29"/>
          <w:szCs w:val="29"/>
          <w:lang w:eastAsia="pt-BR"/>
        </w:rPr>
        <w:t>tests</w:t>
      </w:r>
      <w:proofErr w:type="spellEnd"/>
      <w:r w:rsidRPr="000B173C">
        <w:rPr>
          <w:rFonts w:ascii="Verdana" w:eastAsia="Times New Roman" w:hAnsi="Verdana" w:cs="Times New Roman"/>
          <w:color w:val="000000"/>
          <w:sz w:val="29"/>
          <w:szCs w:val="29"/>
          <w:lang w:eastAsia="pt-BR"/>
        </w:rPr>
        <w:t>.</w:t>
      </w:r>
    </w:p>
    <w:p w:rsidR="000B173C" w:rsidRPr="000B173C" w:rsidRDefault="000B173C" w:rsidP="000B173C">
      <w:pPr>
        <w:numPr>
          <w:ilvl w:val="0"/>
          <w:numId w:val="2"/>
        </w:numPr>
        <w:spacing w:before="100" w:beforeAutospacing="1" w:after="290" w:line="360" w:lineRule="atLeast"/>
        <w:jc w:val="both"/>
        <w:rPr>
          <w:rFonts w:ascii="Verdana" w:eastAsia="Times New Roman" w:hAnsi="Verdana" w:cs="Times New Roman"/>
          <w:color w:val="000000"/>
          <w:sz w:val="29"/>
          <w:szCs w:val="29"/>
          <w:lang w:val="en-US" w:eastAsia="pt-BR"/>
        </w:rPr>
      </w:pPr>
      <w:r w:rsidRPr="000B173C">
        <w:rPr>
          <w:rFonts w:ascii="Verdana" w:eastAsia="Times New Roman" w:hAnsi="Verdana" w:cs="Times New Roman"/>
          <w:b/>
          <w:bCs/>
          <w:color w:val="000000"/>
          <w:sz w:val="29"/>
          <w:szCs w:val="29"/>
          <w:lang w:val="en-US" w:eastAsia="pt-BR"/>
        </w:rPr>
        <w:t>Vibration Test</w:t>
      </w:r>
      <w:r w:rsidRPr="000B173C">
        <w:rPr>
          <w:rFonts w:ascii="Verdana" w:eastAsia="Times New Roman" w:hAnsi="Verdana" w:cs="Times New Roman"/>
          <w:color w:val="000000"/>
          <w:sz w:val="29"/>
          <w:szCs w:val="29"/>
          <w:lang w:val="en-US" w:eastAsia="pt-BR"/>
        </w:rPr>
        <w:br/>
        <w:t>Vibration tests serve the simulation of dynamic mechanical charges. It is tested with oscillations in the frequency response of 1 to 2000 Hz.</w:t>
      </w:r>
    </w:p>
    <w:p w:rsidR="000B173C" w:rsidRPr="000B173C" w:rsidRDefault="000B173C" w:rsidP="000B173C">
      <w:pPr>
        <w:numPr>
          <w:ilvl w:val="1"/>
          <w:numId w:val="2"/>
        </w:numPr>
        <w:spacing w:before="100" w:beforeAutospacing="1" w:after="290" w:line="360" w:lineRule="atLeast"/>
        <w:jc w:val="both"/>
        <w:rPr>
          <w:rFonts w:ascii="Verdana" w:eastAsia="Times New Roman" w:hAnsi="Verdana" w:cs="Times New Roman"/>
          <w:color w:val="000000"/>
          <w:sz w:val="29"/>
          <w:szCs w:val="29"/>
          <w:lang w:val="en-US" w:eastAsia="pt-BR"/>
        </w:rPr>
      </w:pPr>
      <w:r w:rsidRPr="000B173C">
        <w:rPr>
          <w:rFonts w:ascii="Verdana" w:eastAsia="Times New Roman" w:hAnsi="Verdana" w:cs="Times New Roman"/>
          <w:color w:val="000000"/>
          <w:sz w:val="29"/>
          <w:szCs w:val="29"/>
          <w:lang w:val="en-US" w:eastAsia="pt-BR"/>
        </w:rPr>
        <w:t>Transient or virtual harmonious in the low frequency response (1 to 100 Hz)</w:t>
      </w:r>
    </w:p>
    <w:p w:rsidR="000B173C" w:rsidRPr="000B173C" w:rsidRDefault="000B173C" w:rsidP="000B173C">
      <w:pPr>
        <w:numPr>
          <w:ilvl w:val="1"/>
          <w:numId w:val="2"/>
        </w:numPr>
        <w:spacing w:before="100" w:beforeAutospacing="1" w:after="100" w:afterAutospacing="1" w:line="360" w:lineRule="atLeast"/>
        <w:jc w:val="both"/>
        <w:rPr>
          <w:rFonts w:ascii="Verdana" w:eastAsia="Times New Roman" w:hAnsi="Verdana" w:cs="Times New Roman"/>
          <w:color w:val="000000"/>
          <w:sz w:val="29"/>
          <w:szCs w:val="29"/>
          <w:lang w:val="en-US" w:eastAsia="pt-BR"/>
        </w:rPr>
      </w:pPr>
      <w:r w:rsidRPr="000B173C">
        <w:rPr>
          <w:rFonts w:ascii="Verdana" w:eastAsia="Times New Roman" w:hAnsi="Verdana" w:cs="Times New Roman"/>
          <w:color w:val="000000"/>
          <w:sz w:val="29"/>
          <w:szCs w:val="29"/>
          <w:lang w:val="en-US" w:eastAsia="pt-BR"/>
        </w:rPr>
        <w:t>Chance-distributed in the high frequency response (20 to 2000 Hz) The goals of vibration tests are:</w:t>
      </w:r>
    </w:p>
    <w:p w:rsidR="000B173C" w:rsidRPr="000B173C" w:rsidRDefault="000B173C" w:rsidP="000B173C">
      <w:pPr>
        <w:numPr>
          <w:ilvl w:val="2"/>
          <w:numId w:val="2"/>
        </w:numPr>
        <w:spacing w:before="100" w:beforeAutospacing="1" w:after="100" w:afterAutospacing="1" w:line="360" w:lineRule="atLeast"/>
        <w:jc w:val="both"/>
        <w:rPr>
          <w:rFonts w:ascii="Verdana" w:eastAsia="Times New Roman" w:hAnsi="Verdana" w:cs="Times New Roman"/>
          <w:color w:val="000000"/>
          <w:sz w:val="29"/>
          <w:szCs w:val="29"/>
          <w:lang w:val="en-US" w:eastAsia="pt-BR"/>
        </w:rPr>
      </w:pPr>
      <w:r w:rsidRPr="000B173C">
        <w:rPr>
          <w:rFonts w:ascii="Verdana" w:eastAsia="Times New Roman" w:hAnsi="Verdana" w:cs="Times New Roman"/>
          <w:color w:val="000000"/>
          <w:sz w:val="29"/>
          <w:szCs w:val="29"/>
          <w:lang w:val="en-US" w:eastAsia="pt-BR"/>
        </w:rPr>
        <w:t>Proof of the durability against the appearing dynamic loads</w:t>
      </w:r>
    </w:p>
    <w:p w:rsidR="000B173C" w:rsidRPr="000B173C" w:rsidRDefault="000B173C" w:rsidP="000B173C">
      <w:pPr>
        <w:numPr>
          <w:ilvl w:val="2"/>
          <w:numId w:val="2"/>
        </w:numPr>
        <w:spacing w:before="100" w:beforeAutospacing="1" w:after="100" w:afterAutospacing="1" w:line="360" w:lineRule="atLeast"/>
        <w:jc w:val="both"/>
        <w:rPr>
          <w:rFonts w:ascii="Verdana" w:eastAsia="Times New Roman" w:hAnsi="Verdana" w:cs="Times New Roman"/>
          <w:color w:val="000000"/>
          <w:sz w:val="29"/>
          <w:szCs w:val="29"/>
          <w:lang w:val="en-US" w:eastAsia="pt-BR"/>
        </w:rPr>
      </w:pPr>
      <w:r w:rsidRPr="000B173C">
        <w:rPr>
          <w:rFonts w:ascii="Verdana" w:eastAsia="Times New Roman" w:hAnsi="Verdana" w:cs="Times New Roman"/>
          <w:color w:val="000000"/>
          <w:sz w:val="29"/>
          <w:szCs w:val="29"/>
          <w:lang w:val="en-US" w:eastAsia="pt-BR"/>
        </w:rPr>
        <w:t>Verify the faultless function of each system</w:t>
      </w:r>
    </w:p>
    <w:p w:rsidR="000B173C" w:rsidRPr="000B173C" w:rsidRDefault="000B173C" w:rsidP="000B173C">
      <w:pPr>
        <w:spacing w:beforeAutospacing="1" w:after="0" w:afterAutospacing="1" w:line="360" w:lineRule="atLeast"/>
        <w:ind w:left="1440"/>
        <w:jc w:val="both"/>
        <w:rPr>
          <w:rFonts w:ascii="Verdana" w:eastAsia="Times New Roman" w:hAnsi="Verdana" w:cs="Times New Roman"/>
          <w:color w:val="000000"/>
          <w:sz w:val="29"/>
          <w:szCs w:val="29"/>
          <w:lang w:val="en-US" w:eastAsia="pt-BR"/>
        </w:rPr>
      </w:pPr>
    </w:p>
    <w:p w:rsidR="000B173C" w:rsidRPr="000B173C" w:rsidRDefault="000B173C" w:rsidP="000B173C">
      <w:pPr>
        <w:spacing w:beforeAutospacing="1" w:after="290" w:line="360" w:lineRule="atLeast"/>
        <w:ind w:left="720"/>
        <w:jc w:val="both"/>
        <w:rPr>
          <w:rFonts w:ascii="Verdana" w:eastAsia="Times New Roman" w:hAnsi="Verdana" w:cs="Times New Roman"/>
          <w:color w:val="000000"/>
          <w:sz w:val="29"/>
          <w:szCs w:val="29"/>
          <w:lang w:val="en-US" w:eastAsia="pt-BR"/>
        </w:rPr>
      </w:pPr>
      <w:r w:rsidRPr="000B173C">
        <w:rPr>
          <w:rFonts w:ascii="Verdana" w:eastAsia="Times New Roman" w:hAnsi="Verdana" w:cs="Times New Roman"/>
          <w:color w:val="000000"/>
          <w:sz w:val="29"/>
          <w:szCs w:val="29"/>
          <w:lang w:val="en-US" w:eastAsia="pt-BR"/>
        </w:rPr>
        <w:t>For the vibration test, the satellite is housed in a test POD which is mounted to a shaker table. During the vibration test the POD, which contains the satellite, should show no natural harmonics. The de</w:t>
      </w:r>
      <w:r w:rsidRPr="000B173C">
        <w:rPr>
          <w:rFonts w:ascii="Verdana" w:eastAsia="Times New Roman" w:hAnsi="Verdana" w:cs="Times New Roman"/>
          <w:color w:val="000000"/>
          <w:sz w:val="29"/>
          <w:szCs w:val="29"/>
          <w:lang w:val="en-US" w:eastAsia="pt-BR"/>
        </w:rPr>
        <w:br w:type="page"/>
      </w:r>
      <w:r w:rsidRPr="000B173C">
        <w:rPr>
          <w:rFonts w:ascii="Verdana" w:eastAsia="Times New Roman" w:hAnsi="Verdana" w:cs="Times New Roman"/>
          <w:color w:val="000000"/>
          <w:sz w:val="29"/>
          <w:szCs w:val="29"/>
          <w:lang w:val="en-US" w:eastAsia="pt-BR"/>
        </w:rPr>
        <w:lastRenderedPageBreak/>
        <w:t>ned vibration loads are measured immediately by acceleration sensors, which are mounted on de</w:t>
      </w:r>
      <w:r w:rsidRPr="000B173C">
        <w:rPr>
          <w:rFonts w:ascii="Verdana" w:eastAsia="Times New Roman" w:hAnsi="Verdana" w:cs="Times New Roman"/>
          <w:color w:val="000000"/>
          <w:sz w:val="29"/>
          <w:szCs w:val="29"/>
          <w:lang w:val="en-US" w:eastAsia="pt-BR"/>
        </w:rPr>
        <w:br w:type="page"/>
      </w:r>
      <w:r w:rsidRPr="000B173C">
        <w:rPr>
          <w:rFonts w:ascii="Verdana" w:eastAsia="Times New Roman" w:hAnsi="Verdana" w:cs="Times New Roman"/>
          <w:color w:val="000000"/>
          <w:sz w:val="29"/>
          <w:szCs w:val="29"/>
          <w:lang w:val="en-US" w:eastAsia="pt-BR"/>
        </w:rPr>
        <w:lastRenderedPageBreak/>
        <w:t>ned points to the test POD. To improve the measured values, several sensors are monitoring the vibration behaviour. All these values are computed to an average value for further analyses. The vibration loads are initiated successively through three vertically main axis in the test object.</w:t>
      </w:r>
    </w:p>
    <w:p w:rsidR="000B173C" w:rsidRPr="000B173C" w:rsidRDefault="000B173C" w:rsidP="000B173C">
      <w:pPr>
        <w:numPr>
          <w:ilvl w:val="0"/>
          <w:numId w:val="2"/>
        </w:numPr>
        <w:spacing w:before="100" w:beforeAutospacing="1" w:after="290" w:line="360" w:lineRule="atLeast"/>
        <w:jc w:val="both"/>
        <w:rPr>
          <w:rFonts w:ascii="Verdana" w:eastAsia="Times New Roman" w:hAnsi="Verdana" w:cs="Times New Roman"/>
          <w:color w:val="000000"/>
          <w:sz w:val="29"/>
          <w:szCs w:val="29"/>
          <w:lang w:val="en-US" w:eastAsia="pt-BR"/>
        </w:rPr>
      </w:pPr>
      <w:r w:rsidRPr="000B173C">
        <w:rPr>
          <w:rFonts w:ascii="Verdana" w:eastAsia="Times New Roman" w:hAnsi="Verdana" w:cs="Times New Roman"/>
          <w:b/>
          <w:bCs/>
          <w:color w:val="000000"/>
          <w:sz w:val="29"/>
          <w:szCs w:val="29"/>
          <w:lang w:val="en-US" w:eastAsia="pt-BR"/>
        </w:rPr>
        <w:t>Solar Simulation Test</w:t>
      </w:r>
      <w:r w:rsidRPr="000B173C">
        <w:rPr>
          <w:rFonts w:ascii="Verdana" w:eastAsia="Times New Roman" w:hAnsi="Verdana" w:cs="Times New Roman"/>
          <w:color w:val="000000"/>
          <w:sz w:val="29"/>
          <w:szCs w:val="29"/>
          <w:lang w:val="en-US" w:eastAsia="pt-BR"/>
        </w:rPr>
        <w:br/>
        <w:t>The solar intensity in the low-earth-orbit is about 1371</w:t>
      </w:r>
      <w:r w:rsidRPr="000B173C">
        <w:rPr>
          <w:rFonts w:ascii="Verdana" w:eastAsia="Times New Roman" w:hAnsi="Verdana" w:cs="Times New Roman"/>
          <w:color w:val="000000"/>
          <w:sz w:val="29"/>
          <w:lang w:val="en-US" w:eastAsia="pt-BR"/>
        </w:rPr>
        <w:t> </w:t>
      </w:r>
      <w:r w:rsidRPr="000B173C">
        <w:rPr>
          <w:rFonts w:ascii="Verdana" w:eastAsia="Times New Roman" w:hAnsi="Verdana" w:cs="Times New Roman"/>
          <w:i/>
          <w:iCs/>
          <w:color w:val="000000"/>
          <w:sz w:val="29"/>
          <w:szCs w:val="29"/>
          <w:lang w:val="en-US" w:eastAsia="pt-BR"/>
        </w:rPr>
        <w:t>W/m2</w:t>
      </w:r>
      <w:r w:rsidRPr="000B173C">
        <w:rPr>
          <w:rFonts w:ascii="Verdana" w:eastAsia="Times New Roman" w:hAnsi="Verdana" w:cs="Times New Roman"/>
          <w:color w:val="000000"/>
          <w:sz w:val="29"/>
          <w:szCs w:val="29"/>
          <w:lang w:val="en-US" w:eastAsia="pt-BR"/>
        </w:rPr>
        <w:t>. With the sunsimulator the effects from the high radiation to the spacecraft are tested. The sun-simulator is using a xenon lamp to simulate the radiation to the satellite. The spectrum of this lamp is except of a spectral peak, caused by the properties of xenon - very similar to the natural sun light.</w:t>
      </w:r>
    </w:p>
    <w:p w:rsidR="000B173C" w:rsidRPr="000B173C" w:rsidRDefault="000B173C" w:rsidP="000B173C">
      <w:pPr>
        <w:numPr>
          <w:ilvl w:val="0"/>
          <w:numId w:val="2"/>
        </w:numPr>
        <w:spacing w:before="100" w:beforeAutospacing="1" w:after="290" w:line="360" w:lineRule="atLeast"/>
        <w:jc w:val="both"/>
        <w:rPr>
          <w:rFonts w:ascii="Verdana" w:eastAsia="Times New Roman" w:hAnsi="Verdana" w:cs="Times New Roman"/>
          <w:color w:val="000000"/>
          <w:sz w:val="29"/>
          <w:szCs w:val="29"/>
          <w:lang w:val="en-US" w:eastAsia="pt-BR"/>
        </w:rPr>
      </w:pPr>
      <w:r w:rsidRPr="000B173C">
        <w:rPr>
          <w:rFonts w:ascii="Verdana" w:eastAsia="Times New Roman" w:hAnsi="Verdana" w:cs="Times New Roman"/>
          <w:b/>
          <w:bCs/>
          <w:color w:val="000000"/>
          <w:sz w:val="29"/>
          <w:szCs w:val="29"/>
          <w:lang w:val="en-US" w:eastAsia="pt-BR"/>
        </w:rPr>
        <w:t>Thermal-Vacuum Test</w:t>
      </w:r>
      <w:r w:rsidRPr="000B173C">
        <w:rPr>
          <w:rFonts w:ascii="Verdana" w:eastAsia="Times New Roman" w:hAnsi="Verdana" w:cs="Times New Roman"/>
          <w:color w:val="000000"/>
          <w:sz w:val="29"/>
          <w:szCs w:val="29"/>
          <w:lang w:val="en-US" w:eastAsia="pt-BR"/>
        </w:rPr>
        <w:br/>
        <w:t>During this test, the satellite is put into a high vacuum-chamber for several temperature cycles. Besides the number of cycles as well as the temperature thresholds for heating up and cooling down depending on the mission objectives are tested. Usually the temperature thresholds for the cooling phase are between -100°C and -180°C and for the heating phase +80°C and +130°C.</w:t>
      </w:r>
    </w:p>
    <w:p w:rsidR="000B173C" w:rsidRPr="000B173C" w:rsidRDefault="000B173C" w:rsidP="000B173C">
      <w:pPr>
        <w:numPr>
          <w:ilvl w:val="0"/>
          <w:numId w:val="2"/>
        </w:numPr>
        <w:spacing w:before="100" w:beforeAutospacing="1" w:after="100" w:afterAutospacing="1" w:line="360" w:lineRule="atLeast"/>
        <w:jc w:val="both"/>
        <w:rPr>
          <w:rFonts w:ascii="Verdana" w:eastAsia="Times New Roman" w:hAnsi="Verdana" w:cs="Times New Roman"/>
          <w:color w:val="000000"/>
          <w:sz w:val="29"/>
          <w:szCs w:val="29"/>
          <w:lang w:val="en-US" w:eastAsia="pt-BR"/>
        </w:rPr>
      </w:pPr>
      <w:r w:rsidRPr="000B173C">
        <w:rPr>
          <w:rFonts w:ascii="Verdana" w:eastAsia="Times New Roman" w:hAnsi="Verdana" w:cs="Times New Roman"/>
          <w:b/>
          <w:bCs/>
          <w:color w:val="000000"/>
          <w:sz w:val="29"/>
          <w:szCs w:val="29"/>
          <w:lang w:val="en-US" w:eastAsia="pt-BR"/>
        </w:rPr>
        <w:t>Acoustics Test</w:t>
      </w:r>
      <w:r w:rsidRPr="000B173C">
        <w:rPr>
          <w:rFonts w:ascii="Verdana" w:eastAsia="Times New Roman" w:hAnsi="Verdana" w:cs="Times New Roman"/>
          <w:color w:val="000000"/>
          <w:sz w:val="29"/>
          <w:szCs w:val="29"/>
          <w:lang w:val="en-US" w:eastAsia="pt-BR"/>
        </w:rPr>
        <w:br/>
        <w:t xml:space="preserve">During the launch phase of the satellite, the rocket induces sound-loads to the spacecraft structure. This sound pressure generates high loads, especially in thin parts like solar cells and PCBs. To avoid unmeant damage, the satellite has to be tested before, to confirm the sound pressure stability. To execute these tests, an acoustic noise room is necessary, which guarantees a long echo time based on its design. Standing acoustic waves can be generated. This is necessary to fulfill the requirements for the noise levels. The sound waves </w:t>
      </w:r>
      <w:r w:rsidRPr="000B173C">
        <w:rPr>
          <w:rFonts w:ascii="Verdana" w:eastAsia="Times New Roman" w:hAnsi="Verdana" w:cs="Times New Roman"/>
          <w:color w:val="000000"/>
          <w:sz w:val="29"/>
          <w:szCs w:val="29"/>
          <w:lang w:val="en-US" w:eastAsia="pt-BR"/>
        </w:rPr>
        <w:lastRenderedPageBreak/>
        <w:t>are generated by compressed air which is passing through special valves to excite the required frequency for the testing procedure.</w:t>
      </w:r>
      <w:r w:rsidRPr="000B173C">
        <w:rPr>
          <w:rFonts w:ascii="Verdana" w:eastAsia="Times New Roman" w:hAnsi="Verdana" w:cs="Times New Roman"/>
          <w:color w:val="000000"/>
          <w:sz w:val="29"/>
          <w:lang w:val="en-US" w:eastAsia="pt-BR"/>
        </w:rPr>
        <w:t> </w:t>
      </w:r>
      <w:r w:rsidRPr="000B173C">
        <w:rPr>
          <w:rFonts w:ascii="Verdana" w:eastAsia="Times New Roman" w:hAnsi="Verdana" w:cs="Times New Roman"/>
          <w:color w:val="000000"/>
          <w:sz w:val="29"/>
          <w:szCs w:val="29"/>
          <w:lang w:val="en-US" w:eastAsia="pt-BR"/>
        </w:rPr>
        <w:br/>
        <w:t>First of all the satellite is tested in a level of 8 dB and 6 dB lower than the qualification level. As Second the satellite is tested in a level of 3 dB under the qualification level. Then the test with the qualification level follows and finally a low level test again. Then the measured values of both low level tests of the structures answers are compared to conclude a possible change of the structure properties. To verify the calculation of the loads the structure answers from the decline and qualification tests are compared from the classification level.</w:t>
      </w:r>
    </w:p>
    <w:p w:rsidR="000B09B0" w:rsidRPr="000B173C" w:rsidRDefault="000B173C" w:rsidP="000B173C">
      <w:pPr>
        <w:rPr>
          <w:lang w:val="en-US"/>
        </w:rPr>
      </w:pPr>
      <w:r w:rsidRPr="000B173C">
        <w:rPr>
          <w:rFonts w:ascii="Verdana" w:eastAsia="Times New Roman" w:hAnsi="Verdana" w:cs="Times New Roman"/>
          <w:color w:val="000000"/>
          <w:sz w:val="29"/>
          <w:szCs w:val="29"/>
          <w:lang w:val="en-US" w:eastAsia="pt-BR"/>
        </w:rPr>
        <w:t xml:space="preserve">All tests, </w:t>
      </w:r>
      <w:proofErr w:type="spellStart"/>
      <w:r w:rsidRPr="000B173C">
        <w:rPr>
          <w:rFonts w:ascii="Verdana" w:eastAsia="Times New Roman" w:hAnsi="Verdana" w:cs="Times New Roman"/>
          <w:color w:val="000000"/>
          <w:sz w:val="29"/>
          <w:szCs w:val="29"/>
          <w:lang w:val="en-US" w:eastAsia="pt-BR"/>
        </w:rPr>
        <w:t>exapting</w:t>
      </w:r>
      <w:proofErr w:type="spellEnd"/>
      <w:r w:rsidRPr="000B173C">
        <w:rPr>
          <w:rFonts w:ascii="Verdana" w:eastAsia="Times New Roman" w:hAnsi="Verdana" w:cs="Times New Roman"/>
          <w:color w:val="000000"/>
          <w:sz w:val="29"/>
          <w:szCs w:val="29"/>
          <w:lang w:val="en-US" w:eastAsia="pt-BR"/>
        </w:rPr>
        <w:t xml:space="preserve"> the acoustics test, will be will be executed at the FH Aachen.</w:t>
      </w:r>
    </w:p>
    <w:sectPr w:rsidR="000B09B0" w:rsidRPr="000B173C" w:rsidSect="00A034A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C6390"/>
    <w:multiLevelType w:val="multilevel"/>
    <w:tmpl w:val="AF061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343BE1"/>
    <w:multiLevelType w:val="multilevel"/>
    <w:tmpl w:val="57D2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oNotDisplayPageBoundaries/>
  <w:proofState w:spelling="clean"/>
  <w:defaultTabStop w:val="708"/>
  <w:hyphenationZone w:val="425"/>
  <w:characterSpacingControl w:val="doNotCompress"/>
  <w:compat/>
  <w:rsids>
    <w:rsidRoot w:val="000B173C"/>
    <w:rsid w:val="000B173C"/>
    <w:rsid w:val="002002B5"/>
    <w:rsid w:val="006F66B8"/>
    <w:rsid w:val="008166EC"/>
    <w:rsid w:val="009A20CB"/>
    <w:rsid w:val="00A034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4A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0B173C"/>
    <w:rPr>
      <w:color w:val="0000FF"/>
      <w:u w:val="single"/>
    </w:rPr>
  </w:style>
  <w:style w:type="character" w:customStyle="1" w:styleId="apple-converted-space">
    <w:name w:val="apple-converted-space"/>
    <w:basedOn w:val="Fontepargpadro"/>
    <w:rsid w:val="000B173C"/>
  </w:style>
</w:styles>
</file>

<file path=word/webSettings.xml><?xml version="1.0" encoding="utf-8"?>
<w:webSettings xmlns:r="http://schemas.openxmlformats.org/officeDocument/2006/relationships" xmlns:w="http://schemas.openxmlformats.org/wordprocessingml/2006/main">
  <w:divs>
    <w:div w:id="11950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raumfahrt.fh-aachen.de/compass2/images/deploayer_drawing.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raumfahrt.fh-aachen.de/compass2/images/cds.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1162</Words>
  <Characters>6280</Characters>
  <Application>Microsoft Office Word</Application>
  <DocSecurity>0</DocSecurity>
  <Lines>52</Lines>
  <Paragraphs>14</Paragraphs>
  <ScaleCrop>false</ScaleCrop>
  <Company/>
  <LinksUpToDate>false</LinksUpToDate>
  <CharactersWithSpaces>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Lucio</dc:creator>
  <cp:lastModifiedBy>Lucio</cp:lastModifiedBy>
  <cp:revision>1</cp:revision>
  <dcterms:created xsi:type="dcterms:W3CDTF">2012-05-24T15:14:00Z</dcterms:created>
  <dcterms:modified xsi:type="dcterms:W3CDTF">2012-05-24T15:18:00Z</dcterms:modified>
</cp:coreProperties>
</file>