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charts/chart2.xml" ContentType="application/vnd.openxmlformats-officedocument.drawingml.chart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spacing w:before="0" w:after="120"/>
        <w:ind w:hanging="0"/>
        <w:jc w:val="center"/>
        <w:rPr>
          <w:b/>
          <w:b/>
          <w:szCs w:val="24"/>
        </w:rPr>
      </w:pPr>
      <w:r>
        <w:rPr>
          <w:b/>
          <w:szCs w:val="24"/>
        </w:rPr>
        <w:t>Termo de Referência 01/2014 – APA e PARNA Cavernas do Peruacu/CR11/ICMBio</w:t>
      </w:r>
      <w:r/>
    </w:p>
    <w:p>
      <w:pPr>
        <w:pStyle w:val="Normal"/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spacing w:before="0" w:after="120"/>
        <w:ind w:left="5103" w:hanging="0"/>
        <w:rPr>
          <w:szCs w:val="24"/>
        </w:rPr>
      </w:pPr>
      <w:r>
        <w:rPr>
          <w:szCs w:val="24"/>
        </w:rPr>
        <w:t>Propostas de procedimentos e regras para a redefinição da composição dos Conselhos Consultivos das unidades de conservação federais Área de Proteção Ambiental Cavernas do Peruaçu e Parque Nacional Cavernas do Peruaçu.</w:t>
      </w:r>
      <w:r/>
    </w:p>
    <w:p>
      <w:pPr>
        <w:pStyle w:val="Normal"/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pBdr>
          <w:bottom w:val="single" w:sz="4" w:space="1" w:color="00000A"/>
        </w:pBdr>
        <w:spacing w:before="0" w:after="120"/>
        <w:ind w:hanging="0"/>
        <w:rPr>
          <w:szCs w:val="24"/>
        </w:rPr>
      </w:pPr>
      <w:r>
        <w:rPr>
          <w:szCs w:val="24"/>
        </w:rPr>
        <w:t xml:space="preserve">Do Objeto </w:t>
      </w:r>
      <w:r/>
    </w:p>
    <w:p>
      <w:pPr>
        <w:pStyle w:val="Normal"/>
        <w:spacing w:before="0" w:after="120"/>
        <w:ind w:hanging="0"/>
        <w:rPr>
          <w:szCs w:val="24"/>
        </w:rPr>
      </w:pPr>
      <w:r>
        <w:rPr>
          <w:szCs w:val="24"/>
        </w:rPr>
        <w:t>O presente Termo de Referência objetiva apresentar à sociedade propostas de procedimentos e regras a serem adotadas no processo de revitalização dos Conselhos Consultivos da Área de Proteção Ambiental Cavernas do Peruaçu (APA Cavernas do Peruacu) e Parque Nacional Cavernas do Peruaçu (PARNA Cavernas do Peruacu), em seus aspectos de revisão da composição dos Conselhos e eleição das instituições/ representações conselheiras.</w:t>
      </w:r>
      <w:r/>
    </w:p>
    <w:p>
      <w:pPr>
        <w:pStyle w:val="Normal"/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pBdr>
          <w:bottom w:val="single" w:sz="4" w:space="1" w:color="00000A"/>
        </w:pBdr>
        <w:spacing w:before="0" w:after="120"/>
        <w:ind w:hanging="0"/>
        <w:rPr>
          <w:szCs w:val="24"/>
        </w:rPr>
      </w:pPr>
      <w:r>
        <w:rPr>
          <w:szCs w:val="24"/>
        </w:rPr>
        <w:t>Do Contexto e Justificativa</w:t>
      </w:r>
      <w:r/>
    </w:p>
    <w:p>
      <w:pPr>
        <w:pStyle w:val="Normal"/>
        <w:spacing w:before="0" w:after="120"/>
        <w:ind w:hanging="0"/>
        <w:rPr>
          <w:szCs w:val="24"/>
        </w:rPr>
      </w:pPr>
      <w:r>
        <w:rPr>
          <w:szCs w:val="24"/>
        </w:rPr>
        <w:t>Há 25 anos, em 1989, foi criado pelo governo federal a APA Cavernas do Peruaçu com 144 mil hectares. Dez anos depois, em 1999, foi criado o PARNA Cavernas do Peruaçu com 56 mil hectares.</w:t>
      </w:r>
      <w:r/>
    </w:p>
    <w:p>
      <w:pPr>
        <w:pStyle w:val="Normal"/>
        <w:spacing w:before="0" w:after="120"/>
        <w:ind w:hanging="0"/>
        <w:rPr>
          <w:szCs w:val="24"/>
        </w:rPr>
      </w:pPr>
      <w:r>
        <w:rPr>
          <w:szCs w:val="24"/>
        </w:rPr>
        <w:t xml:space="preserve">Em 2002, iniciou o processo de formação dos Conselhos Consultivos da APA Cavernas do Peruaçu e do PARNA Cavernas do Peruaçu, resultando na publicação da Portaria de Criação dos Conselhos em dezembro de 2004. Infelizmente, em 2007 as atividades dos Conselhos foram interrompidas. </w:t>
      </w:r>
      <w:r/>
    </w:p>
    <w:p>
      <w:pPr>
        <w:pStyle w:val="Normal"/>
        <w:spacing w:before="0" w:after="120"/>
        <w:ind w:hanging="0"/>
        <w:rPr>
          <w:szCs w:val="24"/>
        </w:rPr>
      </w:pPr>
      <w:r>
        <w:rPr>
          <w:szCs w:val="24"/>
        </w:rPr>
        <w:t>A composição publicada para o Conselho da APA e para o Conselho do PARNA é idêntica e possui um total de 21 cadeiras. Porém, como algumas cadeiras possuem entidades diferentes em relação a instituição/representação titular e a instituição/representação suplente, foi possibilitado a participação nos Conselhos de 19 instituições governamentais, 14 instituições da sociedade civil organizada e 8 representações comunitárias, perfazendo um total de 41 entidades presentes nos Conselhos.</w:t>
      </w:r>
      <w:r/>
    </w:p>
    <w:p>
      <w:pPr>
        <w:pStyle w:val="Normal"/>
        <w:spacing w:before="0" w:after="120"/>
        <w:ind w:hanging="0"/>
        <w:rPr>
          <w:szCs w:val="24"/>
        </w:rPr>
      </w:pPr>
      <w:r>
        <w:rPr>
          <w:szCs w:val="24"/>
        </w:rPr>
        <w:t>Considerando que se passaram 7 (sete) anos desde a ultima atividade dos Conselhos, o Instituto Chico Mendes de Conservação da Biodiversidade (ICMBio), órgão gestor das unidades de conservação federais, compreende ser primordial a retomada do processo de gestão participativa para a melhoria da gestão da APA e do PARNA Cavernas do Peruaçu. O ICMBio compreende ser também importante que, na revitalização dos Conselhos, seja reavaliado com os atores locais e regionais a composição dos Conselhos, para que esses reflitam as necessidades atuais na gestão de suas unidades.</w:t>
      </w:r>
      <w:r/>
    </w:p>
    <w:p>
      <w:pPr>
        <w:pStyle w:val="Normal"/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pBdr>
          <w:bottom w:val="single" w:sz="4" w:space="1" w:color="00000A"/>
        </w:pBdr>
        <w:spacing w:before="0" w:after="120"/>
        <w:ind w:hanging="0"/>
        <w:rPr>
          <w:szCs w:val="24"/>
        </w:rPr>
      </w:pPr>
      <w:r>
        <w:rPr>
          <w:szCs w:val="24"/>
        </w:rPr>
        <w:t>Do Processo de Revitalização</w:t>
      </w:r>
      <w:r/>
    </w:p>
    <w:p>
      <w:pPr>
        <w:pStyle w:val="Normal"/>
        <w:spacing w:before="0" w:after="120"/>
        <w:ind w:hanging="0"/>
        <w:rPr>
          <w:szCs w:val="24"/>
        </w:rPr>
      </w:pPr>
      <w:r>
        <w:rPr>
          <w:szCs w:val="24"/>
        </w:rPr>
        <w:t>Para realizar o processo de revitalização dos Conselhos Consultivos das unidades APA Cavernas do Peruaçu e do PARNA Cavernas do Peruaçu foi construído um  Plano de Trabalho dividido em três etapas:</w:t>
      </w:r>
      <w:r/>
    </w:p>
    <w:p>
      <w:pPr>
        <w:pStyle w:val="ListParagraph"/>
        <w:numPr>
          <w:ilvl w:val="0"/>
          <w:numId w:val="1"/>
        </w:numPr>
        <w:spacing w:before="0" w:after="120"/>
        <w:rPr>
          <w:szCs w:val="24"/>
        </w:rPr>
      </w:pPr>
      <w:r>
        <w:rPr>
          <w:szCs w:val="24"/>
          <w:u w:val="single"/>
        </w:rPr>
        <w:t>Etapa 1 - Mobilização</w:t>
      </w:r>
      <w:r>
        <w:rPr>
          <w:szCs w:val="24"/>
        </w:rPr>
        <w:t xml:space="preserve"> – 15 a 22 de setembro de 2014: Realização de reuniões setoriais (públicas abertas) para mobilizar e envolver os atores públicos e sociais, locais e regionais, no processo de revitalização dos conselhos. Nas reuniões setoriais foram apresentados os objetivos da revitalização e aberto para fosse realizado sugestões de instituições e representações a serem convidadas a participar do processo.</w:t>
      </w:r>
      <w:r/>
    </w:p>
    <w:p>
      <w:pPr>
        <w:pStyle w:val="ListParagraph"/>
        <w:numPr>
          <w:ilvl w:val="0"/>
          <w:numId w:val="1"/>
        </w:numPr>
        <w:spacing w:before="0" w:after="120"/>
        <w:rPr>
          <w:szCs w:val="24"/>
        </w:rPr>
      </w:pPr>
      <w:r>
        <w:rPr>
          <w:szCs w:val="24"/>
          <w:u w:val="single"/>
        </w:rPr>
        <w:t>Etapa 2 – Redefinição da Composição (Reunião de Formação)</w:t>
      </w:r>
      <w:r>
        <w:rPr>
          <w:szCs w:val="24"/>
        </w:rPr>
        <w:t xml:space="preserve"> – 15 de outubro de 2014: Realização de uma reunião pública aberta para discutir e deliberar sobre a revisão na composição dos Conselhos e escolha das entidades conselheiras</w:t>
      </w:r>
      <w:r/>
    </w:p>
    <w:p>
      <w:pPr>
        <w:pStyle w:val="ListParagraph"/>
        <w:numPr>
          <w:ilvl w:val="1"/>
          <w:numId w:val="1"/>
        </w:numPr>
        <w:spacing w:before="0" w:after="120"/>
        <w:rPr>
          <w:u w:val="single"/>
          <w:szCs w:val="24"/>
        </w:rPr>
      </w:pPr>
      <w:r>
        <w:rPr>
          <w:szCs w:val="24"/>
          <w:u w:val="single"/>
        </w:rPr>
        <w:t>Passos</w:t>
      </w:r>
      <w:r/>
    </w:p>
    <w:p>
      <w:pPr>
        <w:pStyle w:val="ListParagraph"/>
        <w:numPr>
          <w:ilvl w:val="0"/>
          <w:numId w:val="1"/>
        </w:numPr>
        <w:spacing w:before="0" w:after="120"/>
        <w:rPr>
          <w:szCs w:val="24"/>
        </w:rPr>
      </w:pPr>
      <w:r>
        <w:rPr>
          <w:szCs w:val="24"/>
          <w:u w:val="single"/>
        </w:rPr>
        <w:t>Etapa 3 – Posse - Novembro de 2014</w:t>
      </w:r>
      <w:r>
        <w:rPr>
          <w:szCs w:val="24"/>
        </w:rPr>
        <w:t>: Realização da Cerimônia de Posse dos Conselheiros formalmente indicados pelas instituições/representações escolhidas para compor os Conselhos; Realização de reunião pública fechada para a revisão do Regimento Interno dos Conselhos e delineamento inicial do Plano de Ação dos Conselhos para o atual mandato.</w:t>
      </w:r>
      <w:r/>
    </w:p>
    <w:p>
      <w:pPr>
        <w:pStyle w:val="Normal"/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pBdr>
          <w:bottom w:val="single" w:sz="4" w:space="1" w:color="00000A"/>
        </w:pBdr>
        <w:spacing w:before="0" w:after="120"/>
        <w:ind w:hanging="0"/>
        <w:rPr>
          <w:szCs w:val="24"/>
        </w:rPr>
      </w:pPr>
      <w:r>
        <w:rPr>
          <w:szCs w:val="24"/>
        </w:rPr>
        <w:t>Dos Objetivos das Unidades de Conservação e Competências dos Conselhos</w:t>
      </w:r>
      <w:r/>
    </w:p>
    <w:p>
      <w:pPr>
        <w:pStyle w:val="Normal"/>
        <w:spacing w:before="0" w:after="120"/>
        <w:ind w:hanging="0"/>
        <w:rPr>
          <w:szCs w:val="24"/>
        </w:rPr>
      </w:pPr>
      <w:r>
        <w:rPr>
          <w:szCs w:val="24"/>
        </w:rPr>
        <w:t>Os Conselhos têm por finalidade contribuir para a efetiva implantação da gestão participativa na APA Cavernas do Peruaçu e do PARNA Cavernas do Peruaçu. São competências dos conselhos consultivos, conforme Artigo 20 do Decreto Federal nº 4.340/2002: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Acompanhar a elaboração, implementação e revisão do Plano de Manejo da unidade de conservação, quando couber, garantindo o seu caráter participativo;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Buscar a integração da unidade de conservação com as demais unidades e espaços territoriais especialmente protegidos e com o seu entorno;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Esforçar-se para compatibilizar os interesses dos diversos segmentos sociais relacionados com a unidade;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Avaliar o orçamento da unidade e o relatório financeiro anual elaborado pelo órgão executor em relação aos objetivos da unidade de conservação;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Opinar, no caso de conselho consultivo, ou ratificar, no caso de conselho deliberativo, a contratação e os dispositivos do termo de parceria com OSCIP, na hipótese de gestão compartilhada da unidade;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Acompanhar a gestão por OSCIP e recomendar a rescisão do termo de parceria, quando constatada irregularidade;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Manifestar-se sobre obra ou atividade potencialmente causadora de impacto na unidade de conservação, em sua zona de amortecimento, mosaicos ou corredores ecológicos; e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Propor diretrizes e ações para compatibilizar, integrar e otimizar a relação com a população do entorno ou do interior da unidade, conforme o caso.</w:t>
      </w:r>
      <w:r/>
    </w:p>
    <w:p>
      <w:pPr>
        <w:pStyle w:val="Normal"/>
        <w:spacing w:before="0" w:after="120"/>
        <w:ind w:hanging="0"/>
        <w:rPr>
          <w:szCs w:val="24"/>
        </w:rPr>
      </w:pPr>
      <w:r>
        <w:rPr>
          <w:szCs w:val="24"/>
        </w:rPr>
        <w:t>As competências acima citadas devem ser direcionadas para o cumprimento dos objetivos das unidades de conservação, que foram estabelecidos no ato de criação e nos planos de manejo.</w:t>
      </w:r>
      <w:r/>
    </w:p>
    <w:p>
      <w:pPr>
        <w:pStyle w:val="NormalWeb"/>
        <w:spacing w:before="280" w:after="0"/>
        <w:jc w:val="both"/>
        <w:rPr>
          <w:lang w:eastAsia="ar-SA"/>
        </w:rPr>
      </w:pPr>
      <w:r>
        <w:rPr/>
        <w:t xml:space="preserve">São objetivos da APA Cavernas do Peruaçu, conforme Artigo 2º do Decreto de Criação </w:t>
      </w:r>
      <w:r>
        <w:rPr>
          <w:bCs/>
        </w:rPr>
        <w:t>nº</w:t>
      </w:r>
      <w:r>
        <w:rPr/>
        <w:t xml:space="preserve"> </w:t>
      </w:r>
      <w:r>
        <w:rPr>
          <w:bCs/>
        </w:rPr>
        <w:t xml:space="preserve">98.182, de 26 de </w:t>
      </w:r>
      <w:r>
        <w:rPr>
          <w:lang w:eastAsia="ar-SA"/>
        </w:rPr>
        <w:t>setembro de 1989: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Garantir a conservação do conjunto paisagístico e da cultura regional;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 xml:space="preserve">Proteger e preservar as cavernas e demais formações cársticas, sítios arqueopaleontológicos; 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Proteger a cobertura vegetal e a fauna silvestre onde há identificação de rotas de migração e sítios de arribação, cuja preservação é de fundamental importância para o ecossistema da região.</w:t>
      </w:r>
      <w:r/>
    </w:p>
    <w:p>
      <w:pPr>
        <w:pStyle w:val="Normal"/>
        <w:spacing w:before="0" w:after="120"/>
        <w:ind w:hanging="0"/>
        <w:rPr>
          <w:bCs/>
        </w:rPr>
      </w:pPr>
      <w:r>
        <w:rPr>
          <w:szCs w:val="24"/>
        </w:rPr>
        <w:t xml:space="preserve">São objetivos do Parna Cavernas do Peruaçu conforme Artigo 1º do Decreto de Criação s/nº de </w:t>
      </w:r>
      <w:r>
        <w:rPr>
          <w:bCs/>
        </w:rPr>
        <w:t>21 de setembro de 1999 e no Plano de Manejo, aprovado pela Portaria nº 90 de 28 de dezembro de 2005: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 xml:space="preserve">Proteger o patrimônio geológico e arqueológico, 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Proteger amostras representativas de cerrado, floresta estacional e demais formas de vegetação natural existentes, ecótonos e encraves entre estas formações, a fauna, as paisagens, os recursos hídricos, e os demais atributos bióticos e abióticos da região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Contribuir para a manutenção da diversidade biológica e dos recursos genéticos no território nacional, da região e nas águas jurisdicionais, considerando-se os biomas Caatinga e Cerrado (e respectivo ecótono), a bacia hidrográfica do rio Peruaçu e trecho da bacia do rio São Francisco;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Proteger paisagens naturais e pouco alteradas de notável beleza cênica, considerando-se o patrimônio arqueológico, espeleológico, paleontológico, biológico e geomorfológico do PARNA e seu entorno;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 xml:space="preserve">Contribuir com o Programa de Revitalização do rio São Francisco; 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Proteger e recuperar os recursos hídricos, considerando-se: as especificidades do rio Peruaçu em seu sistema cárstico; as nascentes cársticas e ressurgências que ocorrem ao longo do curso médio do rio Peruaçu; os corpos d’água no sopé das serras;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Garantir a qualidade da água proveniente do rio Peruaçu que deságua no rio São Francisco (superficial e subterrânea - em atendimento aos parâmetros de Classe I estabelecidos pela Resolução CONAMA 20/86);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Servir como modelo na implementação do uso público sustentável em sítios arqueológicos e espeleológicos;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Proteger e utilizar estruturas arquitetônicas de relevância cultural dentro do PARNA Cavernas do Peruaçu;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Promover o monitoramento dos aspectos ambientais da bacia (incluindo a biodiversidade);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Recuperar ou restaurar ecossistemas degradados presentes em alguns setores do PARNA Cavernas do Peruaçu, especificamente áreas de pastagem e áreas susceptíveis à erosão natural;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Oferecer condições favoráveis para a educação e interpretação ambiental, a recreação em contato com a natureza e o turismo ecológico, com amplo cenário proporcionado pelos distintos ambientes do PARNA Cavernas do Peruaçu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Visar à integração com a comunidade: informação sobre a biodiversidade e o patrimônio paisagístico e histórico-cultural, valorizando o ambiente natural (incluindo pesquisas); orientações e conscientização quanto à preservação e importância da UC (caça, pesca, extrativismo vegetal, práticas agrícolas, endemias, saneamento básico etc); educação patrimonial;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Promover e proporcionar meios e incentivos para a pesquisa científica, em todas as áreas do conhecimento, em especial aquelas relacionadas ao patrimônio arqueológico, espeleológico, paleontológico e bioespeleológico, paleoclima, fauna e flora e recursos hídricos associados aos sistemas cársticos;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Contribuir para a preservação e a restauração da diversidade de ecossistemas naturais, considerando-se a ampla área de vegetação natural em bom estado de conservação do PARNA; ecossistemas associados às margens do rio São Francisco, tais como as matas ciliares e lagoas marginais;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Proteger as espécies ameaçadas de extinção no âmbito regional e nacional, várias integrantes das listas de espécies ameaçadas, raras e algumas até mesmo anteriormente consideradas extintas no Estado de Minas Gerais e no país;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Preservar espécies da flora ameaçadas de extinção, como barrigudas embaré (</w:t>
      </w:r>
      <w:r>
        <w:rPr>
          <w:i/>
          <w:lang w:eastAsia="ar-SA"/>
        </w:rPr>
        <w:t>Cavallinesia arborea</w:t>
      </w:r>
      <w:r>
        <w:rPr>
          <w:lang w:eastAsia="ar-SA"/>
        </w:rPr>
        <w:t>), aroeiras (</w:t>
      </w:r>
      <w:r>
        <w:rPr>
          <w:i/>
          <w:lang w:eastAsia="ar-SA"/>
        </w:rPr>
        <w:t>Myracrodruon urundeuva</w:t>
      </w:r>
      <w:r>
        <w:rPr>
          <w:lang w:eastAsia="ar-SA"/>
        </w:rPr>
        <w:t xml:space="preserve">), dentre outras; 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 xml:space="preserve">Preservar espécies raras de plantas, como </w:t>
      </w:r>
      <w:r>
        <w:rPr>
          <w:i/>
          <w:lang w:eastAsia="ar-SA"/>
        </w:rPr>
        <w:t>Cuervea crenulata</w:t>
      </w:r>
      <w:r>
        <w:rPr>
          <w:lang w:eastAsia="ar-SA"/>
        </w:rPr>
        <w:t xml:space="preserve">, </w:t>
      </w:r>
      <w:r>
        <w:rPr>
          <w:i/>
          <w:lang w:eastAsia="ar-SA"/>
        </w:rPr>
        <w:t>Trachypteris pinnata</w:t>
      </w:r>
      <w:r>
        <w:rPr>
          <w:lang w:eastAsia="ar-SA"/>
        </w:rPr>
        <w:t xml:space="preserve">, </w:t>
      </w:r>
      <w:r>
        <w:rPr>
          <w:i/>
          <w:lang w:eastAsia="ar-SA"/>
        </w:rPr>
        <w:t>Ctenitis ampla</w:t>
      </w:r>
      <w:r>
        <w:rPr>
          <w:lang w:eastAsia="ar-SA"/>
        </w:rPr>
        <w:t xml:space="preserve">, </w:t>
      </w:r>
      <w:r>
        <w:rPr>
          <w:i/>
          <w:lang w:eastAsia="ar-SA"/>
        </w:rPr>
        <w:t>Cissus bahiensis</w:t>
      </w:r>
      <w:r>
        <w:rPr>
          <w:lang w:eastAsia="ar-SA"/>
        </w:rPr>
        <w:t xml:space="preserve"> etc;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Proteger espécies da fauna ameaçada de extinção, como o tatu-canastra (</w:t>
      </w:r>
      <w:r>
        <w:rPr>
          <w:i/>
          <w:lang w:eastAsia="ar-SA"/>
        </w:rPr>
        <w:t>Priodontes maximus</w:t>
      </w:r>
      <w:r>
        <w:rPr>
          <w:lang w:eastAsia="ar-SA"/>
        </w:rPr>
        <w:t>), o tamanduá-bandeira (</w:t>
      </w:r>
      <w:r>
        <w:rPr>
          <w:i/>
          <w:lang w:eastAsia="ar-SA"/>
        </w:rPr>
        <w:t>Myrmecophaga tridactyla</w:t>
      </w:r>
      <w:r>
        <w:rPr>
          <w:lang w:eastAsia="ar-SA"/>
        </w:rPr>
        <w:t>), a onça-pintada (</w:t>
      </w:r>
      <w:r>
        <w:rPr>
          <w:i/>
          <w:lang w:eastAsia="ar-SA"/>
        </w:rPr>
        <w:t>Panthera onca</w:t>
      </w:r>
      <w:r>
        <w:rPr>
          <w:lang w:eastAsia="ar-SA"/>
        </w:rPr>
        <w:t>), o tatu-bola (</w:t>
      </w:r>
      <w:r>
        <w:rPr>
          <w:i/>
          <w:lang w:eastAsia="ar-SA"/>
        </w:rPr>
        <w:t>Tolypeutes tricinctus</w:t>
      </w:r>
      <w:r>
        <w:rPr>
          <w:lang w:eastAsia="ar-SA"/>
        </w:rPr>
        <w:t>), dentre outras;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Proteger espécies de interesse especial, como cachorro-do-mato-vinagre (</w:t>
      </w:r>
      <w:r>
        <w:rPr>
          <w:i/>
          <w:lang w:eastAsia="ar-SA"/>
        </w:rPr>
        <w:t>Speothos venaticus</w:t>
      </w:r>
      <w:r>
        <w:rPr>
          <w:lang w:eastAsia="ar-SA"/>
        </w:rPr>
        <w:t>), o tico-tico-do-mato (</w:t>
      </w:r>
      <w:r>
        <w:rPr>
          <w:i/>
          <w:lang w:eastAsia="ar-SA"/>
        </w:rPr>
        <w:t>Arremon franciscanus</w:t>
      </w:r>
      <w:r>
        <w:rPr>
          <w:lang w:eastAsia="ar-SA"/>
        </w:rPr>
        <w:t>), a jacucaca (</w:t>
      </w:r>
      <w:r>
        <w:rPr>
          <w:i/>
          <w:lang w:eastAsia="ar-SA"/>
        </w:rPr>
        <w:t>Penelope jacucaca</w:t>
      </w:r>
      <w:r>
        <w:rPr>
          <w:lang w:eastAsia="ar-SA"/>
        </w:rPr>
        <w:t>) e o cara dourada (</w:t>
      </w:r>
      <w:r>
        <w:rPr>
          <w:i/>
          <w:lang w:eastAsia="ar-SA"/>
        </w:rPr>
        <w:t>Phylloscartes roquettei</w:t>
      </w:r>
      <w:r>
        <w:rPr>
          <w:lang w:eastAsia="ar-SA"/>
        </w:rPr>
        <w:t>);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Proteger áreas de parada e forrageio de aves migratórias;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 xml:space="preserve">Proteger espécies da entomofauna, especialmente da abelha ameaçada de extinção no Estado de Minas Gerais - </w:t>
      </w:r>
      <w:r>
        <w:rPr>
          <w:i/>
          <w:lang w:eastAsia="ar-SA"/>
        </w:rPr>
        <w:t>Melipona rufiventris</w:t>
      </w:r>
      <w:r>
        <w:rPr>
          <w:lang w:eastAsia="ar-SA"/>
        </w:rPr>
        <w:t>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Preservar comunidades aquáticas de ambientes de alta relevância ecológica;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Proteger locais de reprodução de peixes da bacia do rio Peruaçu;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 xml:space="preserve">Manter a diversidade ictiofaunística da bacia do rio Peruaçu, com destaque para a espécie troglóbia e endêmica do peixe </w:t>
      </w:r>
      <w:r>
        <w:rPr>
          <w:i/>
          <w:lang w:eastAsia="ar-SA"/>
        </w:rPr>
        <w:t>Trichomycterus itacarambiensis</w:t>
      </w:r>
      <w:r>
        <w:rPr>
          <w:lang w:eastAsia="ar-SA"/>
        </w:rPr>
        <w:t>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 xml:space="preserve">Proteger a espécie de invertebrado </w:t>
      </w:r>
      <w:r>
        <w:rPr>
          <w:i/>
          <w:lang w:eastAsia="ar-SA"/>
        </w:rPr>
        <w:t>Trichodamom princeps</w:t>
      </w:r>
      <w:r>
        <w:rPr>
          <w:lang w:eastAsia="ar-SA"/>
        </w:rPr>
        <w:t xml:space="preserve"> (Amblypigy), com ocorrência nas cavidades das Lapas do Janelão, Bonita, Caboclo, Rezar e Brejal;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Promover a utilização dos princípios e práticas de conservação da natureza no processo de desenvolvimento;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Promover o desenvolvimento sustentável a partir dos recursos naturais para as comunidades do entorno do PARNA;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 xml:space="preserve">Valorizar econômica e socialmente a diversidade biológica; 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Propiciar a integração entre a UC e as comunidades vizinhas, com o objetivo de compatibilizar a preservação com o uso adequado dos recursos naturais;</w:t>
      </w:r>
      <w:r/>
    </w:p>
    <w:p>
      <w:pPr>
        <w:pStyle w:val="NormalWeb"/>
        <w:numPr>
          <w:ilvl w:val="0"/>
          <w:numId w:val="2"/>
        </w:numPr>
        <w:spacing w:before="280" w:after="0"/>
        <w:jc w:val="both"/>
        <w:rPr>
          <w:lang w:eastAsia="ar-SA"/>
        </w:rPr>
      </w:pPr>
      <w:r>
        <w:rPr>
          <w:lang w:eastAsia="ar-SA"/>
        </w:rPr>
        <w:t>Difundir e estimular a adoção de práticas ambientalmente saudáveis por parte das comunidades vizinhas.</w:t>
      </w:r>
      <w:r/>
    </w:p>
    <w:p>
      <w:pPr>
        <w:pStyle w:val="Normal"/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pBdr>
          <w:bottom w:val="single" w:sz="4" w:space="1" w:color="00000A"/>
        </w:pBdr>
        <w:spacing w:before="0" w:after="120"/>
        <w:ind w:hanging="0"/>
        <w:rPr>
          <w:szCs w:val="24"/>
        </w:rPr>
      </w:pPr>
      <w:r>
        <w:rPr>
          <w:szCs w:val="24"/>
        </w:rPr>
        <w:t xml:space="preserve">Da Composição dos Conselhos </w:t>
      </w:r>
      <w:r/>
    </w:p>
    <w:p>
      <w:pPr>
        <w:pStyle w:val="Normal"/>
        <w:spacing w:before="0" w:after="120"/>
        <w:ind w:hanging="0"/>
        <w:rPr>
          <w:szCs w:val="24"/>
        </w:rPr>
      </w:pPr>
      <w:r>
        <w:rPr>
          <w:szCs w:val="24"/>
        </w:rPr>
        <w:t>Considerando a necessidade da revisão das Portarias nº 95 e nº 96 de 17 de dezembro de 2004, que apresentam a composição do Conselho Consultivo da APA Cavernas do Peruaçu e do Conselho Consultivo do PARNA Cavernas do Peruaçu, respectivamente, apresentamos uma proposta de revisão da composição dos Conselhos, entretanto espelhada na primeira composição, para subsídios.</w:t>
      </w:r>
      <w:r/>
    </w:p>
    <w:p>
      <w:pPr>
        <w:pStyle w:val="Normal"/>
        <w:spacing w:before="0" w:after="120"/>
        <w:ind w:hanging="0"/>
        <w:rPr>
          <w:szCs w:val="24"/>
        </w:rPr>
      </w:pPr>
      <w:r>
        <w:rPr>
          <w:szCs w:val="24"/>
        </w:rPr>
        <w:t>Merece destaque que a composição dos Conselhos deve seguir as seguintes diretrizes estabelecidas na Lei Federal nº 9.985/2000 e Decreto Federal nº 4.340/2002:</w:t>
      </w:r>
      <w:r/>
    </w:p>
    <w:p>
      <w:pPr>
        <w:pStyle w:val="ListParagraph"/>
        <w:numPr>
          <w:ilvl w:val="0"/>
          <w:numId w:val="3"/>
        </w:numPr>
        <w:spacing w:before="0" w:after="120"/>
        <w:rPr>
          <w:szCs w:val="24"/>
        </w:rPr>
      </w:pPr>
      <w:r>
        <w:rPr>
          <w:szCs w:val="24"/>
        </w:rPr>
        <w:t>As unidades de conservação pertencentes a categoria Área de Proteção Ambiental (APA) e Parque Nacional (PARNA) possuem conselho com perfil consultivo;</w:t>
      </w:r>
      <w:r/>
    </w:p>
    <w:p>
      <w:pPr>
        <w:pStyle w:val="ListParagraph"/>
        <w:numPr>
          <w:ilvl w:val="0"/>
          <w:numId w:val="3"/>
        </w:numPr>
        <w:spacing w:before="0" w:after="120"/>
        <w:rPr>
          <w:szCs w:val="24"/>
        </w:rPr>
      </w:pPr>
      <w:r>
        <w:rPr>
          <w:szCs w:val="24"/>
        </w:rPr>
        <w:t>Os conselhos consultivos das unidades de conservação são presididos pelo órgão responsável por sua administração;</w:t>
      </w:r>
      <w:r/>
    </w:p>
    <w:p>
      <w:pPr>
        <w:pStyle w:val="ListParagraph"/>
        <w:numPr>
          <w:ilvl w:val="0"/>
          <w:numId w:val="3"/>
        </w:numPr>
        <w:spacing w:before="0" w:after="120"/>
        <w:rPr>
          <w:szCs w:val="24"/>
        </w:rPr>
      </w:pPr>
      <w:r>
        <w:rPr>
          <w:szCs w:val="24"/>
        </w:rPr>
        <w:t>A constituição dos conselhos de uma unidade de conservação deve contemplar as seguintes instituições e representações, adequando-se ao contexto local e regional em que a unidade está inserida e com atuação comprovada na região da unidade:</w:t>
      </w:r>
      <w:r/>
    </w:p>
    <w:p>
      <w:pPr>
        <w:pStyle w:val="ListParagraph"/>
        <w:spacing w:before="0" w:after="120"/>
        <w:ind w:left="0"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ListParagraph"/>
        <w:numPr>
          <w:ilvl w:val="1"/>
          <w:numId w:val="3"/>
        </w:numPr>
        <w:spacing w:before="0" w:after="120"/>
        <w:rPr>
          <w:szCs w:val="24"/>
        </w:rPr>
      </w:pPr>
      <w:r>
        <w:rPr>
          <w:szCs w:val="24"/>
        </w:rPr>
        <w:t>Órgãos públicos dos três níveis da Federação;</w:t>
      </w:r>
      <w:r/>
    </w:p>
    <w:p>
      <w:pPr>
        <w:pStyle w:val="ListParagraph"/>
        <w:numPr>
          <w:ilvl w:val="1"/>
          <w:numId w:val="3"/>
        </w:numPr>
        <w:spacing w:before="0" w:after="120"/>
        <w:rPr>
          <w:szCs w:val="24"/>
        </w:rPr>
      </w:pPr>
      <w:r>
        <w:rPr>
          <w:szCs w:val="24"/>
        </w:rPr>
        <w:t>Comunidade científica;</w:t>
      </w:r>
      <w:r/>
    </w:p>
    <w:p>
      <w:pPr>
        <w:pStyle w:val="ListParagraph"/>
        <w:numPr>
          <w:ilvl w:val="1"/>
          <w:numId w:val="3"/>
        </w:numPr>
        <w:spacing w:before="0" w:after="120"/>
        <w:rPr>
          <w:szCs w:val="24"/>
        </w:rPr>
      </w:pPr>
      <w:r>
        <w:rPr>
          <w:szCs w:val="24"/>
        </w:rPr>
        <w:t>Representação da sociedade civil com atuação comprovada na região da unidade;</w:t>
      </w:r>
      <w:r/>
    </w:p>
    <w:p>
      <w:pPr>
        <w:pStyle w:val="ListParagraph"/>
        <w:numPr>
          <w:ilvl w:val="1"/>
          <w:numId w:val="3"/>
        </w:numPr>
        <w:spacing w:before="0" w:after="120"/>
        <w:rPr>
          <w:szCs w:val="24"/>
        </w:rPr>
      </w:pPr>
      <w:r>
        <w:rPr>
          <w:szCs w:val="24"/>
        </w:rPr>
        <w:t>Representação de povos indígenas;</w:t>
      </w:r>
      <w:r/>
    </w:p>
    <w:p>
      <w:pPr>
        <w:pStyle w:val="ListParagraph"/>
        <w:numPr>
          <w:ilvl w:val="1"/>
          <w:numId w:val="3"/>
        </w:numPr>
        <w:spacing w:before="0" w:after="120"/>
        <w:rPr>
          <w:szCs w:val="24"/>
        </w:rPr>
      </w:pPr>
      <w:r>
        <w:rPr>
          <w:szCs w:val="24"/>
        </w:rPr>
        <w:t>Representação de assentamentos agrícola;</w:t>
      </w:r>
      <w:r/>
    </w:p>
    <w:p>
      <w:pPr>
        <w:pStyle w:val="ListParagraph"/>
        <w:numPr>
          <w:ilvl w:val="1"/>
          <w:numId w:val="3"/>
        </w:numPr>
        <w:spacing w:before="0" w:after="120"/>
        <w:rPr>
          <w:szCs w:val="24"/>
        </w:rPr>
      </w:pPr>
      <w:r>
        <w:rPr>
          <w:szCs w:val="24"/>
        </w:rPr>
        <w:t xml:space="preserve">Representação de população residente no interior e entorno da unidade; </w:t>
      </w:r>
      <w:r/>
    </w:p>
    <w:p>
      <w:pPr>
        <w:pStyle w:val="ListParagraph"/>
        <w:numPr>
          <w:ilvl w:val="1"/>
          <w:numId w:val="3"/>
        </w:numPr>
        <w:spacing w:before="0" w:after="120"/>
        <w:rPr>
          <w:szCs w:val="24"/>
        </w:rPr>
      </w:pPr>
      <w:r>
        <w:rPr>
          <w:szCs w:val="24"/>
        </w:rPr>
        <w:t>Representação de população tradicional;</w:t>
      </w:r>
      <w:r/>
    </w:p>
    <w:p>
      <w:pPr>
        <w:pStyle w:val="ListParagraph"/>
        <w:numPr>
          <w:ilvl w:val="1"/>
          <w:numId w:val="3"/>
        </w:numPr>
        <w:spacing w:before="0" w:after="120"/>
        <w:rPr>
          <w:szCs w:val="24"/>
        </w:rPr>
      </w:pPr>
      <w:r>
        <w:rPr>
          <w:szCs w:val="24"/>
        </w:rPr>
        <w:t xml:space="preserve">Representação de proprietários de imóveis no interior da unidade; </w:t>
      </w:r>
      <w:r/>
    </w:p>
    <w:p>
      <w:pPr>
        <w:pStyle w:val="ListParagraph"/>
        <w:numPr>
          <w:ilvl w:val="1"/>
          <w:numId w:val="3"/>
        </w:numPr>
        <w:spacing w:before="0" w:after="120"/>
        <w:rPr>
          <w:szCs w:val="24"/>
        </w:rPr>
      </w:pPr>
      <w:r>
        <w:rPr>
          <w:szCs w:val="24"/>
        </w:rPr>
        <w:t xml:space="preserve">Representação de trabalhadores e do setor privado atuantes na região; </w:t>
      </w:r>
      <w:r/>
    </w:p>
    <w:p>
      <w:pPr>
        <w:pStyle w:val="ListParagraph"/>
        <w:numPr>
          <w:ilvl w:val="1"/>
          <w:numId w:val="3"/>
        </w:numPr>
        <w:spacing w:before="0" w:after="120"/>
        <w:rPr>
          <w:szCs w:val="24"/>
        </w:rPr>
      </w:pPr>
      <w:r>
        <w:rPr>
          <w:szCs w:val="24"/>
        </w:rPr>
        <w:t>Representação dos Comitês de Bacia Hidrográfica.</w:t>
      </w:r>
      <w:r/>
    </w:p>
    <w:p>
      <w:pPr>
        <w:pStyle w:val="ListParagraph"/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ListParagraph"/>
        <w:numPr>
          <w:ilvl w:val="0"/>
          <w:numId w:val="3"/>
        </w:numPr>
        <w:spacing w:before="0" w:after="120"/>
        <w:rPr>
          <w:szCs w:val="24"/>
        </w:rPr>
      </w:pPr>
      <w:r>
        <w:rPr>
          <w:szCs w:val="24"/>
        </w:rPr>
        <w:t>São áreas de atuação que devem ser contempladas na composição de um Conselho:</w:t>
      </w:r>
      <w:r/>
    </w:p>
    <w:p>
      <w:pPr>
        <w:pStyle w:val="ListParagraph"/>
        <w:spacing w:before="0" w:after="120"/>
        <w:ind w:left="0"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sectPr>
          <w:type w:val="continuous"/>
          <w:pgSz w:w="11906" w:h="16838"/>
          <w:pgMar w:left="720" w:right="720" w:header="720" w:top="777" w:footer="720" w:bottom="777" w:gutter="0"/>
          <w:formProt w:val="false"/>
          <w:textDirection w:val="lrTb"/>
          <w:docGrid w:type="default" w:linePitch="312" w:charSpace="4294961151"/>
        </w:sectPr>
      </w:pPr>
    </w:p>
    <w:p>
      <w:pPr>
        <w:pStyle w:val="ListParagraph"/>
        <w:numPr>
          <w:ilvl w:val="1"/>
          <w:numId w:val="3"/>
        </w:numPr>
        <w:spacing w:before="0" w:after="120"/>
        <w:rPr>
          <w:szCs w:val="24"/>
        </w:rPr>
      </w:pPr>
      <w:r>
        <w:rPr>
          <w:szCs w:val="24"/>
        </w:rPr>
        <w:t>Meio Ambiente</w:t>
      </w:r>
      <w:r/>
    </w:p>
    <w:p>
      <w:pPr>
        <w:pStyle w:val="ListParagraph"/>
        <w:numPr>
          <w:ilvl w:val="1"/>
          <w:numId w:val="3"/>
        </w:numPr>
        <w:spacing w:before="0" w:after="120"/>
        <w:contextualSpacing/>
        <w:rPr>
          <w:szCs w:val="24"/>
        </w:rPr>
      </w:pPr>
      <w:r>
        <w:rPr>
          <w:szCs w:val="24"/>
        </w:rPr>
        <w:t>Pesquisa científica</w:t>
      </w:r>
      <w:r/>
    </w:p>
    <w:p>
      <w:pPr>
        <w:pStyle w:val="ListParagraph"/>
        <w:numPr>
          <w:ilvl w:val="1"/>
          <w:numId w:val="3"/>
        </w:numPr>
        <w:spacing w:before="0" w:after="120"/>
        <w:contextualSpacing/>
        <w:rPr>
          <w:szCs w:val="24"/>
        </w:rPr>
      </w:pPr>
      <w:r>
        <w:rPr>
          <w:szCs w:val="24"/>
        </w:rPr>
        <w:t>Educação</w:t>
      </w:r>
      <w:r/>
    </w:p>
    <w:p>
      <w:pPr>
        <w:pStyle w:val="ListParagraph"/>
        <w:numPr>
          <w:ilvl w:val="1"/>
          <w:numId w:val="3"/>
        </w:numPr>
        <w:spacing w:before="0" w:after="120"/>
        <w:contextualSpacing/>
        <w:rPr>
          <w:szCs w:val="24"/>
        </w:rPr>
      </w:pPr>
      <w:r>
        <w:rPr>
          <w:szCs w:val="24"/>
        </w:rPr>
        <w:t>Defesa nacional</w:t>
      </w:r>
      <w:r/>
    </w:p>
    <w:p>
      <w:pPr>
        <w:pStyle w:val="ListParagraph"/>
        <w:numPr>
          <w:ilvl w:val="1"/>
          <w:numId w:val="3"/>
        </w:numPr>
        <w:spacing w:before="0" w:after="120"/>
        <w:contextualSpacing/>
        <w:rPr>
          <w:szCs w:val="24"/>
        </w:rPr>
      </w:pPr>
      <w:r>
        <w:rPr>
          <w:szCs w:val="24"/>
        </w:rPr>
        <w:t>Cultura</w:t>
      </w:r>
      <w:r/>
    </w:p>
    <w:p>
      <w:pPr>
        <w:pStyle w:val="ListParagraph"/>
        <w:numPr>
          <w:ilvl w:val="1"/>
          <w:numId w:val="3"/>
        </w:numPr>
        <w:spacing w:before="0" w:after="120"/>
        <w:contextualSpacing/>
        <w:rPr>
          <w:szCs w:val="24"/>
        </w:rPr>
      </w:pPr>
      <w:r>
        <w:rPr>
          <w:szCs w:val="24"/>
        </w:rPr>
        <w:t>Turismo</w:t>
      </w:r>
      <w:r/>
    </w:p>
    <w:p>
      <w:pPr>
        <w:pStyle w:val="ListParagraph"/>
        <w:numPr>
          <w:ilvl w:val="1"/>
          <w:numId w:val="3"/>
        </w:numPr>
        <w:spacing w:before="0" w:after="120"/>
        <w:contextualSpacing/>
        <w:rPr>
          <w:szCs w:val="24"/>
        </w:rPr>
      </w:pPr>
      <w:r>
        <w:rPr>
          <w:szCs w:val="24"/>
        </w:rPr>
        <w:t>Paisagem</w:t>
      </w:r>
      <w:r/>
    </w:p>
    <w:p>
      <w:pPr>
        <w:pStyle w:val="ListParagraph"/>
        <w:numPr>
          <w:ilvl w:val="1"/>
          <w:numId w:val="3"/>
        </w:numPr>
        <w:spacing w:before="0" w:after="120"/>
        <w:contextualSpacing/>
        <w:rPr>
          <w:szCs w:val="24"/>
        </w:rPr>
      </w:pPr>
      <w:r>
        <w:rPr>
          <w:szCs w:val="24"/>
        </w:rPr>
        <w:t>Arquitetura</w:t>
      </w:r>
      <w:r/>
    </w:p>
    <w:p>
      <w:pPr>
        <w:pStyle w:val="ListParagraph"/>
        <w:numPr>
          <w:ilvl w:val="1"/>
          <w:numId w:val="3"/>
        </w:numPr>
        <w:spacing w:before="0" w:after="120"/>
        <w:contextualSpacing/>
        <w:rPr>
          <w:szCs w:val="24"/>
        </w:rPr>
      </w:pPr>
      <w:r>
        <w:rPr>
          <w:szCs w:val="24"/>
        </w:rPr>
        <w:t xml:space="preserve">Arqueologia </w:t>
      </w:r>
      <w:r/>
    </w:p>
    <w:p>
      <w:pPr>
        <w:sectPr>
          <w:type w:val="continuous"/>
          <w:pgSz w:w="11906" w:h="16838"/>
          <w:pgMar w:left="720" w:right="720" w:header="720" w:top="777" w:footer="720" w:bottom="777" w:gutter="0"/>
          <w:cols w:num="2" w:space="720" w:equalWidth="true" w:sep="false"/>
          <w:formProt w:val="false"/>
          <w:textDirection w:val="lrTb"/>
          <w:docGrid w:type="default" w:linePitch="312" w:charSpace="4294961151"/>
        </w:sectPr>
      </w:pPr>
    </w:p>
    <w:p>
      <w:pPr>
        <w:pStyle w:val="Normal"/>
        <w:numPr>
          <w:ilvl w:val="1"/>
          <w:numId w:val="3"/>
        </w:numPr>
        <w:spacing w:before="0" w:after="120"/>
        <w:ind w:left="720" w:hanging="0"/>
        <w:contextualSpacing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numPr>
          <w:ilvl w:val="1"/>
          <w:numId w:val="3"/>
        </w:numPr>
        <w:spacing w:before="0" w:after="120"/>
        <w:ind w:hanging="0"/>
        <w:rPr>
          <w:szCs w:val="24"/>
        </w:rPr>
      </w:pPr>
      <w:r>
        <w:rPr>
          <w:szCs w:val="24"/>
        </w:rPr>
        <w:t>A representação dos órgãos públicos e da sociedade civil nos conselhos deve ser, sempre que possível, paritária, considerando as peculiaridades regionais.</w:t>
      </w:r>
      <w:r/>
    </w:p>
    <w:p>
      <w:pPr>
        <w:pStyle w:val="Normal"/>
        <w:numPr>
          <w:ilvl w:val="1"/>
          <w:numId w:val="3"/>
        </w:numPr>
        <w:spacing w:before="0" w:after="120"/>
        <w:ind w:hanging="0"/>
        <w:rPr>
          <w:szCs w:val="24"/>
        </w:rPr>
      </w:pPr>
      <w:r>
        <w:rPr>
          <w:szCs w:val="24"/>
        </w:rPr>
        <w:t xml:space="preserve">A Organização da Sociedade Civil de Interesse Público - OSCIP com representação no conselho de unidade de conservação não pode se candidatar à gestão. </w:t>
      </w:r>
      <w:r/>
    </w:p>
    <w:p>
      <w:pPr>
        <w:pStyle w:val="Normal"/>
        <w:numPr>
          <w:ilvl w:val="1"/>
          <w:numId w:val="3"/>
        </w:numPr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numPr>
          <w:ilvl w:val="1"/>
          <w:numId w:val="3"/>
        </w:numPr>
        <w:pBdr>
          <w:bottom w:val="single" w:sz="4" w:space="1" w:color="00000A"/>
        </w:pBdr>
        <w:spacing w:before="0" w:after="120"/>
        <w:ind w:hanging="0"/>
        <w:rPr>
          <w:szCs w:val="24"/>
        </w:rPr>
      </w:pPr>
      <w:r>
        <w:rPr>
          <w:szCs w:val="24"/>
        </w:rPr>
        <w:t>Da Distribuição dos Segmentos</w:t>
      </w:r>
      <w:r/>
    </w:p>
    <w:p>
      <w:pPr>
        <w:pStyle w:val="Normal"/>
        <w:numPr>
          <w:ilvl w:val="1"/>
          <w:numId w:val="3"/>
        </w:numPr>
        <w:spacing w:before="0" w:after="120"/>
        <w:ind w:hanging="0"/>
        <w:rPr>
          <w:szCs w:val="24"/>
        </w:rPr>
      </w:pPr>
      <w:r>
        <w:rPr>
          <w:szCs w:val="24"/>
        </w:rPr>
        <w:t xml:space="preserve">Diante do exposto apresentamos a seguir a proposta de definição dos segmentos a se fazerem representados nos Conselhos Consultivos da APA e do PARNA Cavernas do Peruaçu. </w:t>
      </w:r>
      <w:r/>
    </w:p>
    <w:p>
      <w:pPr>
        <w:pStyle w:val="Normal"/>
        <w:numPr>
          <w:ilvl w:val="1"/>
          <w:numId w:val="3"/>
        </w:numPr>
        <w:spacing w:before="0" w:after="120"/>
        <w:ind w:hanging="0"/>
        <w:rPr>
          <w:szCs w:val="24"/>
        </w:rPr>
      </w:pPr>
      <w:r>
        <w:rPr>
          <w:szCs w:val="24"/>
        </w:rPr>
        <w:t>A proposta construída procurou considerar a segmentação presente na primeira composição dos Conselhos, como também as principais áreas de atuação e atores sociais da atual gestão da APA e do PARNA Cavernas do Peruaçu, assim como das parcerias e colaboração com as unidades.</w:t>
      </w:r>
      <w:r/>
    </w:p>
    <w:p>
      <w:pPr>
        <w:pStyle w:val="Normal"/>
        <w:numPr>
          <w:ilvl w:val="1"/>
          <w:numId w:val="3"/>
        </w:numPr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numPr>
          <w:ilvl w:val="1"/>
          <w:numId w:val="3"/>
        </w:numPr>
        <w:spacing w:before="0" w:after="120"/>
        <w:ind w:left="709" w:hanging="0"/>
        <w:rPr>
          <w:sz w:val="20"/>
          <w:sz w:val="20"/>
        </w:rPr>
      </w:pPr>
      <w:r>
        <w:rPr>
          <w:b/>
          <w:sz w:val="22"/>
          <w:szCs w:val="24"/>
        </w:rPr>
        <w:t xml:space="preserve">       </w:t>
      </w:r>
      <w:r>
        <w:rPr>
          <w:b/>
          <w:sz w:val="22"/>
          <w:szCs w:val="24"/>
        </w:rPr>
        <w:t>Tabela 1</w:t>
      </w:r>
      <w:r>
        <w:rPr>
          <w:sz w:val="22"/>
          <w:szCs w:val="24"/>
        </w:rPr>
        <w:t xml:space="preserve">: </w:t>
      </w:r>
      <w:r>
        <w:rPr>
          <w:sz w:val="18"/>
        </w:rPr>
        <w:t xml:space="preserve">Proposta </w:t>
      </w:r>
      <w:r>
        <w:rPr>
          <w:sz w:val="20"/>
        </w:rPr>
        <w:t>de distribuição de segmentos e número de cadeiras nos Conselhos</w:t>
      </w:r>
      <w:r/>
    </w:p>
    <w:tbl>
      <w:tblPr>
        <w:tblStyle w:val="Tabelacomgrade"/>
        <w:tblW w:w="8755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4"/>
        <w:gridCol w:w="2410"/>
      </w:tblGrid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center"/>
              <w:rPr>
                <w:b/>
                <w:b/>
                <w:szCs w:val="24"/>
              </w:rPr>
            </w:pPr>
            <w:r>
              <w:rPr>
                <w:b/>
                <w:szCs w:val="24"/>
              </w:rPr>
              <w:t>Segmento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center"/>
              <w:rPr>
                <w:b/>
                <w:b/>
                <w:szCs w:val="24"/>
              </w:rPr>
            </w:pPr>
            <w:r>
              <w:rPr>
                <w:b/>
                <w:szCs w:val="24"/>
              </w:rPr>
              <w:t>Nº de Cadeiras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Gestor da Unidade de Conservação 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1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szCs w:val="24"/>
              </w:rPr>
              <w:t>Governo Federal e empresas públicas e/ou de concessionárias de serviços públicos ou de sociedades de economia mista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2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szCs w:val="24"/>
              </w:rPr>
              <w:t>Governo Estadual e empresas públicas e/ou de concessionárias de serviços públicos ou de sociedades de economia mista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2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szCs w:val="24"/>
              </w:rPr>
              <w:t>Governo Municipal (cabe ao governo municipal determinar qual estrutura/segmento da Prefeitura estará presente no Conselho)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2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szCs w:val="24"/>
              </w:rPr>
              <w:t>Representação de moradores e proprietários do interior do PARNA Cavernas do Peruaçu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2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Representação de moradores e proprietários do interior da APA Cavernas do Peruaçu 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3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szCs w:val="24"/>
              </w:rPr>
              <w:t>Representação de população tradicional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1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  <w:szCs w:val="24"/>
              </w:rPr>
              <w:t>Organizações não-governamentais e entidades classistas com atuação em temas socioambientais.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2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color w:val="000000"/>
                <w:szCs w:val="24"/>
              </w:rPr>
              <w:t>Organizações não-governamentais e entidades classistas com atuação em temas espeleologia e arqueológia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2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  <w:lang w:eastAsia="pt-BR"/>
              </w:rPr>
            </w:pPr>
            <w:r>
              <w:rPr>
                <w:szCs w:val="24"/>
                <w:lang w:eastAsia="pt-BR"/>
              </w:rPr>
              <w:t>Representação dos segmentos de Turismo, hotelaria, comércio, indústria e mineração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2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szCs w:val="24"/>
                <w:lang w:eastAsia="pt-BR"/>
              </w:rPr>
              <w:t>Representações de produtores rurais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2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szCs w:val="24"/>
                <w:lang w:eastAsia="pt-BR"/>
              </w:rPr>
              <w:t xml:space="preserve">Instituições </w:t>
            </w:r>
            <w:r>
              <w:rPr>
                <w:szCs w:val="24"/>
              </w:rPr>
              <w:t xml:space="preserve">de ensino superior e pesquisa, pública ou privada 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2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szCs w:val="24"/>
                <w:lang w:eastAsia="pt-BR"/>
              </w:rPr>
              <w:t>Comitês de bacias hidrográficas e demais conselhos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1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</w:rPr>
            </w:pPr>
            <w:r>
              <w:rPr>
                <w:szCs w:val="24"/>
                <w:lang w:eastAsia="pt-BR"/>
              </w:rPr>
              <w:t>Instituição de desenvolvimento e extensão rural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szCs w:val="24"/>
                <w:color w:val="000000"/>
              </w:rPr>
            </w:pPr>
            <w:r>
              <w:rPr>
                <w:color w:val="000000"/>
              </w:rPr>
              <w:t>1</w:t>
            </w:r>
            <w:r/>
          </w:p>
        </w:tc>
      </w:tr>
      <w:tr>
        <w:trPr/>
        <w:tc>
          <w:tcPr>
            <w:tcW w:w="634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jc w:val="left"/>
              <w:rPr>
                <w:szCs w:val="24"/>
                <w:lang w:eastAsia="pt-BR"/>
              </w:rPr>
            </w:pPr>
            <w:r>
              <w:rPr>
                <w:szCs w:val="24"/>
                <w:lang w:eastAsia="pt-BR"/>
              </w:rPr>
              <w:t>Total de Cadeiras</w:t>
            </w:r>
            <w:r/>
          </w:p>
        </w:tc>
        <w:tc>
          <w:tcPr>
            <w:tcW w:w="241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numPr>
                <w:ilvl w:val="1"/>
                <w:numId w:val="3"/>
              </w:numPr>
              <w:spacing w:before="12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25</w:t>
            </w:r>
            <w:r/>
          </w:p>
        </w:tc>
      </w:tr>
    </w:tbl>
    <w:p>
      <w:pPr>
        <w:pStyle w:val="Normal"/>
        <w:numPr>
          <w:ilvl w:val="1"/>
          <w:numId w:val="3"/>
        </w:numPr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tbl>
      <w:tblPr>
        <w:tblStyle w:val="Tabelacomgrade"/>
        <w:tblW w:w="10607" w:type="dxa"/>
        <w:jc w:val="left"/>
        <w:tblInd w:w="0" w:type="dxa"/>
        <w:tblBorders>
          <w:top w:val="nil"/>
          <w:left w:val="nil"/>
          <w:bottom w:val="nil"/>
          <w:insideH w:val="nil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7"/>
      </w:tblGrid>
      <w:tr>
        <w:trPr/>
        <w:tc>
          <w:tcPr>
            <w:tcW w:w="10607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rPr>
                <w:sz w:val="20"/>
                <w:sz w:val="20"/>
              </w:rPr>
            </w:pPr>
            <w:r>
              <w:rPr>
                <w:b/>
                <w:sz w:val="20"/>
              </w:rPr>
              <w:t>Figura 1</w:t>
            </w:r>
            <w:r>
              <w:rPr>
                <w:sz w:val="20"/>
              </w:rPr>
              <w:t>: Gráfico demonstrando a distribuição de numero de cadeiras por segmento a ser representado nos Conselhos da APA e Parna Cavernas do Peruaçu.</w:t>
            </w:r>
            <w:r/>
          </w:p>
        </w:tc>
      </w:tr>
      <w:tr>
        <w:trPr/>
        <w:tc>
          <w:tcPr>
            <w:tcW w:w="10607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numPr>
                <w:ilvl w:val="1"/>
                <w:numId w:val="3"/>
              </w:numPr>
              <w:spacing w:before="0" w:after="120"/>
              <w:ind w:hanging="0"/>
              <w:rPr>
                <w:szCs w:val="24"/>
              </w:rPr>
            </w:pPr>
            <w:r>
              <w:rPr/>
              <w:drawing>
                <wp:inline distT="0" distB="0" distL="0" distR="0">
                  <wp:extent cx="6470015" cy="4055110"/>
                  <wp:effectExtent l="0" t="0" r="0" b="0"/>
                  <wp:docPr id="1" name="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"/>
                    </a:graphicData>
                  </a:graphic>
                </wp:inline>
              </w:drawing>
            </w:r>
            <w:r/>
          </w:p>
        </w:tc>
      </w:tr>
    </w:tbl>
    <w:p>
      <w:pPr>
        <w:pStyle w:val="Normal"/>
        <w:numPr>
          <w:ilvl w:val="1"/>
          <w:numId w:val="3"/>
        </w:numPr>
        <w:spacing w:before="0" w:after="120"/>
        <w:ind w:hanging="0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numPr>
          <w:ilvl w:val="1"/>
          <w:numId w:val="3"/>
        </w:numPr>
        <w:spacing w:before="0" w:after="120"/>
        <w:contextualSpacing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numPr>
          <w:ilvl w:val="1"/>
          <w:numId w:val="3"/>
        </w:numPr>
        <w:spacing w:before="0" w:after="120"/>
        <w:contextualSpacing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sectPr>
          <w:type w:val="continuous"/>
          <w:pgSz w:w="11906" w:h="16838"/>
          <w:pgMar w:left="720" w:right="720" w:header="720" w:top="777" w:footer="720" w:bottom="777" w:gutter="0"/>
          <w:formProt w:val="false"/>
          <w:textDirection w:val="lrTb"/>
          <w:docGrid w:type="default" w:linePitch="312" w:charSpace="4294961151"/>
        </w:sectPr>
      </w:pPr>
    </w:p>
    <w:p>
      <w:pPr>
        <w:pStyle w:val="Normal"/>
        <w:numPr>
          <w:ilvl w:val="0"/>
          <w:numId w:val="3"/>
        </w:numPr>
        <w:spacing w:before="0" w:after="120"/>
        <w:ind w:left="720" w:hanging="0"/>
        <w:contextualSpacing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numPr>
          <w:ilvl w:val="0"/>
          <w:numId w:val="3"/>
        </w:numPr>
        <w:suppressAutoHyphens w:val="false"/>
        <w:spacing w:before="0" w:after="0"/>
        <w:ind w:hanging="0"/>
        <w:contextualSpacing/>
        <w:jc w:val="left"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numPr>
          <w:ilvl w:val="0"/>
          <w:numId w:val="3"/>
        </w:numPr>
        <w:spacing w:before="0" w:after="120"/>
        <w:ind w:left="720" w:hanging="0"/>
        <w:contextualSpacing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numPr>
          <w:ilvl w:val="0"/>
          <w:numId w:val="3"/>
        </w:numPr>
        <w:pBdr>
          <w:bottom w:val="single" w:sz="4" w:space="1" w:color="00000A"/>
        </w:pBdr>
        <w:spacing w:before="0" w:after="120"/>
        <w:ind w:hanging="0"/>
        <w:rPr>
          <w:szCs w:val="24"/>
        </w:rPr>
      </w:pPr>
      <w:r>
        <w:rPr>
          <w:szCs w:val="24"/>
        </w:rPr>
        <w:t xml:space="preserve">Dos Critérios para Candidatura </w:t>
      </w:r>
      <w:r/>
    </w:p>
    <w:p>
      <w:pPr>
        <w:pStyle w:val="Normal"/>
        <w:numPr>
          <w:ilvl w:val="0"/>
          <w:numId w:val="3"/>
        </w:numPr>
        <w:spacing w:before="0" w:after="120"/>
        <w:ind w:hanging="0"/>
        <w:rPr>
          <w:szCs w:val="24"/>
        </w:rPr>
      </w:pPr>
      <w:r>
        <w:rPr>
          <w:szCs w:val="24"/>
        </w:rPr>
        <w:t>Na Etapa 2, citada no presente Termo de Referência, oportunizará a realização da Reunião Publica Aberta. Nessa reunião, os participantes, que são compostos pelas instituições e representações convidadas durante a Etapa 1 constituirão a “Plenária para Composição dos Conselhos” que tem como atribuição discutir e deliberar sobre a composição dos Conselhos.</w:t>
      </w:r>
      <w:r/>
    </w:p>
    <w:p>
      <w:pPr>
        <w:pStyle w:val="Normal"/>
        <w:numPr>
          <w:ilvl w:val="0"/>
          <w:numId w:val="3"/>
        </w:numPr>
        <w:spacing w:before="0" w:after="120"/>
        <w:ind w:hanging="0"/>
        <w:rPr>
          <w:szCs w:val="24"/>
        </w:rPr>
      </w:pPr>
      <w:r>
        <w:rPr>
          <w:szCs w:val="24"/>
        </w:rPr>
        <w:t>Os participantes da Plenária serão devidamente identificados durante a reunião para que sejam organizadas as manifestações durante a realização da Reunião.</w:t>
      </w:r>
      <w:r/>
    </w:p>
    <w:p>
      <w:pPr>
        <w:pStyle w:val="Normal"/>
        <w:numPr>
          <w:ilvl w:val="0"/>
          <w:numId w:val="3"/>
        </w:numPr>
        <w:spacing w:before="0" w:after="120"/>
        <w:ind w:hanging="0"/>
        <w:rPr>
          <w:szCs w:val="24"/>
        </w:rPr>
      </w:pPr>
      <w:r>
        <w:rPr>
          <w:szCs w:val="24"/>
        </w:rPr>
        <w:t>A Plenária primeiramente efetuará a discussão e deliberação sobre dois aspectos da composição dos Conselhos, considerando a proposta aqui apresentada:</w:t>
      </w:r>
      <w:r/>
    </w:p>
    <w:p>
      <w:pPr>
        <w:pStyle w:val="ListParagraph"/>
        <w:numPr>
          <w:ilvl w:val="0"/>
          <w:numId w:val="4"/>
        </w:numPr>
        <w:spacing w:before="0" w:after="120"/>
        <w:rPr>
          <w:szCs w:val="24"/>
        </w:rPr>
      </w:pPr>
      <w:r>
        <w:rPr>
          <w:szCs w:val="24"/>
        </w:rPr>
        <w:t>Discussão e Deliberação sobre a identificação dos segmentos que devem estar representados nos Conselhos Consultivos, e</w:t>
      </w:r>
      <w:r/>
    </w:p>
    <w:p>
      <w:pPr>
        <w:pStyle w:val="ListParagraph"/>
        <w:numPr>
          <w:ilvl w:val="0"/>
          <w:numId w:val="4"/>
        </w:numPr>
        <w:spacing w:before="0" w:after="120"/>
        <w:rPr>
          <w:szCs w:val="24"/>
        </w:rPr>
      </w:pPr>
      <w:r>
        <w:rPr>
          <w:szCs w:val="24"/>
        </w:rPr>
        <w:t>Discussão e Deliberação do número de cadeiras destinadas a cada segmento definido dentro dos Conselhos Consultivos.</w:t>
      </w:r>
      <w:r/>
    </w:p>
    <w:p>
      <w:pPr>
        <w:pStyle w:val="Normal"/>
        <w:numPr>
          <w:ilvl w:val="0"/>
          <w:numId w:val="3"/>
        </w:numPr>
        <w:spacing w:before="0" w:after="120"/>
        <w:ind w:left="720" w:hanging="0"/>
        <w:contextualSpacing/>
        <w:rPr>
          <w:sz w:val="24"/>
          <w:sz w:val="24"/>
          <w:szCs w:val="24"/>
          <w:lang w:eastAsia="ar-SA"/>
        </w:rPr>
      </w:pPr>
      <w:r>
        <w:rPr>
          <w:szCs w:val="24"/>
        </w:rPr>
      </w:r>
      <w:r/>
    </w:p>
    <w:p>
      <w:pPr>
        <w:pStyle w:val="Normal"/>
        <w:numPr>
          <w:ilvl w:val="0"/>
          <w:numId w:val="3"/>
        </w:numPr>
        <w:spacing w:before="0" w:after="120"/>
        <w:ind w:hanging="0"/>
        <w:rPr>
          <w:szCs w:val="24"/>
        </w:rPr>
      </w:pPr>
      <w:r>
        <w:rPr>
          <w:szCs w:val="24"/>
        </w:rPr>
        <w:t>Outro aspecto que dever ser discutido e deliberado em Plenária são os critérios para candidatura de uma instituição/representação, chamada aqui de entidade, para ocupar a cadeira do conselho, titular ou suplente, dentro do segmento em que ela se identifique.</w:t>
      </w:r>
      <w:r/>
    </w:p>
    <w:p>
      <w:pPr>
        <w:pStyle w:val="Normal"/>
        <w:numPr>
          <w:ilvl w:val="0"/>
          <w:numId w:val="3"/>
        </w:numPr>
        <w:spacing w:before="0" w:after="120"/>
        <w:ind w:hanging="0"/>
        <w:rPr>
          <w:szCs w:val="24"/>
        </w:rPr>
      </w:pPr>
      <w:r>
        <w:rPr>
          <w:szCs w:val="24"/>
        </w:rPr>
        <w:t>São orientações para condução da Etapa 2, no que tange a habilitação das entidades para participar do momento de seleção (eleição), ou seja candidatura:</w:t>
      </w:r>
      <w:r/>
    </w:p>
    <w:p>
      <w:pPr>
        <w:pStyle w:val="ListParagraph"/>
        <w:numPr>
          <w:ilvl w:val="0"/>
          <w:numId w:val="5"/>
        </w:numPr>
        <w:suppressAutoHyphens w:val="false"/>
        <w:spacing w:before="0" w:after="120"/>
        <w:rPr>
          <w:szCs w:val="24"/>
          <w:lang w:eastAsia="pt-BR"/>
        </w:rPr>
      </w:pPr>
      <w:r>
        <w:rPr>
          <w:szCs w:val="24"/>
          <w:lang w:eastAsia="pt-BR"/>
        </w:rPr>
        <w:t>Caberá a cada entidade, considerados os seus objetivos legais ou estatutários, se identificar como integrante de um dos segmentos a estar presente nos Conselhos, acima descritos e disputará as vagas referentes a este segmento;</w:t>
      </w:r>
      <w:r/>
    </w:p>
    <w:p>
      <w:pPr>
        <w:pStyle w:val="ListParagraph"/>
        <w:numPr>
          <w:ilvl w:val="0"/>
          <w:numId w:val="5"/>
        </w:numPr>
        <w:suppressAutoHyphens w:val="false"/>
        <w:spacing w:before="120" w:after="120"/>
      </w:pPr>
      <w:r>
        <w:rPr>
          <w:szCs w:val="24"/>
          <w:lang w:eastAsia="pt-BR"/>
        </w:rPr>
        <w:t>A entidade deve ter atuação comprovada de no mínimo 2 (dois) anos na região. A entidade deverá apresentar em Plenária, se assim for requerido, relato de sua atuação na região. E posteriormente documentação comprobatória;</w:t>
      </w:r>
      <w:r/>
    </w:p>
    <w:p>
      <w:pPr>
        <w:pStyle w:val="ListParagraph"/>
        <w:numPr>
          <w:ilvl w:val="0"/>
          <w:numId w:val="5"/>
        </w:numPr>
        <w:suppressAutoHyphens w:val="false"/>
        <w:spacing w:before="0" w:after="120"/>
        <w:rPr>
          <w:szCs w:val="24"/>
        </w:rPr>
      </w:pPr>
      <w:r>
        <w:rPr/>
        <w:t>A entidade além de possuir atuação na região das unidades há mais de 2 (dois) anos, deve encontra-se diretamente relacionado aos trabalhos e atividades desenvolvidas pela APA e do PARNA Cavernas do Peruaçu;</w:t>
      </w:r>
      <w:r/>
    </w:p>
    <w:p>
      <w:pPr>
        <w:pStyle w:val="ListParagraph"/>
        <w:numPr>
          <w:ilvl w:val="0"/>
          <w:numId w:val="5"/>
        </w:numPr>
        <w:suppressAutoHyphens w:val="false"/>
        <w:spacing w:before="0" w:after="120"/>
        <w:rPr>
          <w:szCs w:val="24"/>
        </w:rPr>
      </w:pPr>
      <w:r>
        <w:rPr>
          <w:szCs w:val="24"/>
        </w:rPr>
        <w:t>A entidade deve desenvolver atividades que contribuam para a gestão socioambiental das unidades; e</w:t>
      </w:r>
      <w:r/>
    </w:p>
    <w:p>
      <w:pPr>
        <w:pStyle w:val="ListParagraph"/>
        <w:numPr>
          <w:ilvl w:val="0"/>
          <w:numId w:val="5"/>
        </w:numPr>
        <w:suppressAutoHyphens w:val="false"/>
        <w:spacing w:before="0" w:after="120"/>
        <w:rPr>
          <w:szCs w:val="24"/>
          <w:lang w:eastAsia="pt-BR"/>
        </w:rPr>
      </w:pPr>
      <w:r>
        <w:rPr>
          <w:szCs w:val="24"/>
        </w:rPr>
        <w:t>As</w:t>
      </w:r>
      <w:r>
        <w:rPr>
          <w:szCs w:val="24"/>
          <w:lang w:eastAsia="pt-BR"/>
        </w:rPr>
        <w:t xml:space="preserve"> finalidades da entidade devem ser compatíveis com os objetivos das unidades.</w:t>
      </w:r>
      <w:r/>
    </w:p>
    <w:p>
      <w:pPr>
        <w:pStyle w:val="Default"/>
        <w:numPr>
          <w:ilvl w:val="0"/>
          <w:numId w:val="3"/>
        </w:numPr>
        <w:spacing w:before="120" w:after="120"/>
        <w:contextualSpacing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</w:rPr>
      </w:r>
      <w:r/>
    </w:p>
    <w:p>
      <w:pPr>
        <w:pStyle w:val="Default"/>
        <w:numPr>
          <w:ilvl w:val="0"/>
          <w:numId w:val="3"/>
        </w:numPr>
        <w:pBdr>
          <w:bottom w:val="single" w:sz="4" w:space="1" w:color="00000A"/>
        </w:pBdr>
        <w:spacing w:before="12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 Seleção dos Candidatos</w:t>
      </w:r>
      <w:r/>
    </w:p>
    <w:p>
      <w:pPr>
        <w:pStyle w:val="Default"/>
        <w:numPr>
          <w:ilvl w:val="0"/>
          <w:numId w:val="3"/>
        </w:numPr>
        <w:spacing w:before="12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Após a definição das entidades que foram previamente habilitadas como candidatas estabelecidas para ocuparem uma cadeira dos Conselhos, conforme critérios de habilitação que foram discutidos e deliberados em plenária, será procedido o processo de seleção (eleição). </w:t>
      </w:r>
      <w:r/>
    </w:p>
    <w:p>
      <w:pPr>
        <w:pStyle w:val="Default"/>
        <w:numPr>
          <w:ilvl w:val="0"/>
          <w:numId w:val="3"/>
        </w:numPr>
        <w:spacing w:before="12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Para o processo de seleção das entidades que foram previamente aprovadas, estabelecemos os seguintes passos:</w:t>
      </w:r>
      <w:r/>
    </w:p>
    <w:p>
      <w:pPr>
        <w:pStyle w:val="ListParagraph"/>
        <w:numPr>
          <w:ilvl w:val="0"/>
          <w:numId w:val="6"/>
        </w:numPr>
        <w:suppressAutoHyphens w:val="false"/>
        <w:spacing w:before="0" w:after="120"/>
        <w:rPr>
          <w:szCs w:val="24"/>
          <w:lang w:eastAsia="pt-BR"/>
        </w:rPr>
      </w:pPr>
      <w:r>
        <w:rPr>
          <w:szCs w:val="24"/>
          <w:lang w:eastAsia="pt-BR"/>
        </w:rPr>
        <w:t>Fica a cargo de cada entidade definir em qual segmento pertencerá, a título de participação no processo seletivo das entidades conselheiras;</w:t>
      </w:r>
      <w:r/>
    </w:p>
    <w:p>
      <w:pPr>
        <w:pStyle w:val="ListParagraph"/>
        <w:numPr>
          <w:ilvl w:val="0"/>
          <w:numId w:val="6"/>
        </w:numPr>
        <w:suppressAutoHyphens w:val="false"/>
        <w:spacing w:before="0" w:after="120"/>
        <w:rPr>
          <w:szCs w:val="24"/>
          <w:lang w:eastAsia="pt-BR"/>
        </w:rPr>
      </w:pPr>
      <w:r>
        <w:rPr>
          <w:szCs w:val="24"/>
          <w:lang w:eastAsia="pt-BR"/>
        </w:rPr>
        <w:t>A eleição das entidades dar-se-á por meio de consenso entre aquelas do mesmo segmento, que se fizerem representadas na reunião.</w:t>
      </w:r>
      <w:r/>
    </w:p>
    <w:p>
      <w:pPr>
        <w:pStyle w:val="Default"/>
        <w:numPr>
          <w:ilvl w:val="0"/>
          <w:numId w:val="6"/>
        </w:numPr>
        <w:spacing w:before="120" w:after="12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Quando existir a possibilidade de disputa entre entidades, ou seja, quando houver mais de um candidato indicado para a(s) mesma(s) vaga(s), procederemos:</w:t>
      </w:r>
      <w:r/>
    </w:p>
    <w:p>
      <w:pPr>
        <w:pStyle w:val="ListParagraph"/>
        <w:numPr>
          <w:ilvl w:val="1"/>
          <w:numId w:val="6"/>
        </w:numPr>
        <w:suppressAutoHyphens w:val="false"/>
        <w:spacing w:before="0" w:after="120"/>
      </w:pPr>
      <w:r>
        <w:rPr>
          <w:szCs w:val="24"/>
          <w:lang w:eastAsia="pt-BR"/>
        </w:rPr>
        <w:t xml:space="preserve">Caso o interesse pelas vagas exceda o número de cadeiras disponíveis, o segmento poderá indicar uma lista por ordem de prioridade, que será utilizada caso haja desistência ou </w:t>
      </w:r>
      <w:r>
        <w:rPr/>
        <w:t>qualquer outro impedimento para o efetivo exercício do mandato por instituição eleita;</w:t>
      </w:r>
      <w:r/>
    </w:p>
    <w:p>
      <w:pPr>
        <w:pStyle w:val="Default"/>
        <w:numPr>
          <w:ilvl w:val="1"/>
          <w:numId w:val="6"/>
        </w:numPr>
        <w:spacing w:before="120" w:after="12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Que seja realizada livre eleição entre os candidatos, com o objetivo de que os mesmos elejam entre si, de modo democrático, o representante a ocupar a vaga de titular e suplente; </w:t>
      </w:r>
      <w:r/>
    </w:p>
    <w:p>
      <w:pPr>
        <w:pStyle w:val="Default"/>
        <w:numPr>
          <w:ilvl w:val="1"/>
          <w:numId w:val="6"/>
        </w:numPr>
        <w:spacing w:before="120" w:after="12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Caso os candidatos não cheguem a um consenso quanto ao nome do eleito à vaga de titular e suplente, a Plenária procederá à realização de sorteio ou votação entre os candidatos concorrentes; critério este, a ser igualmente adotado em caso de empate. </w:t>
      </w:r>
      <w:r/>
    </w:p>
    <w:p>
      <w:pPr>
        <w:pStyle w:val="Default"/>
        <w:numPr>
          <w:ilvl w:val="0"/>
          <w:numId w:val="6"/>
        </w:numPr>
        <w:spacing w:before="120" w:after="12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Quando não existir a possibilidade de disputa entre candidatos, ou seja, quando houver apenas um candidato indicado à vaga de titular ou suplente, ou ainda, quando o número de candidato(s) for idêntico ao número de vagas ofertadas para titular ou suplente, procederemos:</w:t>
      </w:r>
      <w:r/>
    </w:p>
    <w:p>
      <w:pPr>
        <w:pStyle w:val="Default"/>
        <w:numPr>
          <w:ilvl w:val="1"/>
          <w:numId w:val="6"/>
        </w:numPr>
        <w:spacing w:before="120" w:after="12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Que seja anunciado o nome do(s) único(s) candidato(s) indicado(s) e, consequentemente, selecionado(s) para a(s) vaga(s) de titular ou suplente em Plenária. </w:t>
      </w:r>
      <w:r/>
    </w:p>
    <w:p>
      <w:pPr>
        <w:pStyle w:val="Default"/>
        <w:numPr>
          <w:ilvl w:val="0"/>
          <w:numId w:val="6"/>
        </w:numPr>
        <w:spacing w:before="120" w:after="12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Quando não houver candidatos ou representantes indicados para determinada(s) vaga(s), ou seja, no caso de existência de vaga(s) em aberto (sem indicação), procederemos: </w:t>
      </w:r>
      <w:r/>
    </w:p>
    <w:p>
      <w:pPr>
        <w:pStyle w:val="Default"/>
        <w:numPr>
          <w:ilvl w:val="1"/>
          <w:numId w:val="6"/>
        </w:numPr>
        <w:spacing w:before="120" w:after="12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Será realizada eleição entre todos os candidatos presentes e não eleitos que escolherão, de maneira democrática, o nome de representante para ocupar a(s) vaga(s) em aberto; </w:t>
      </w:r>
      <w:r/>
    </w:p>
    <w:p>
      <w:pPr>
        <w:pStyle w:val="Default"/>
        <w:numPr>
          <w:ilvl w:val="1"/>
          <w:numId w:val="6"/>
        </w:numPr>
        <w:spacing w:before="120" w:after="12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Caso os candidatos não cheguem a um consenso, a Plenária procederá à realização de sorteio ou eleição entre os candidatos presentes e não eleitos; critério este a ser igualmente adotado em caso de empate; </w:t>
      </w:r>
      <w:r/>
    </w:p>
    <w:p>
      <w:pPr>
        <w:pStyle w:val="Default"/>
        <w:numPr>
          <w:ilvl w:val="1"/>
          <w:numId w:val="6"/>
        </w:numPr>
        <w:spacing w:before="120" w:after="12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Caso o número de candidatos presentes e não eleitos for idêntico ao número de vagas em aberto, estes serão automaticamente selecionados para ocupá-las, caso manifestem concordância; </w:t>
      </w:r>
      <w:r/>
    </w:p>
    <w:p>
      <w:pPr>
        <w:pStyle w:val="Default"/>
        <w:numPr>
          <w:ilvl w:val="1"/>
          <w:numId w:val="6"/>
        </w:numPr>
        <w:spacing w:before="120" w:after="12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No caso de não aceitação dos candidatos presentes e não eleitos em ocupar vaga(s) remanescente(s), serão reabertos para Plenária apresentar uma entidade candidata ou optar pelo não preenchimento.</w:t>
      </w:r>
      <w:r/>
    </w:p>
    <w:p>
      <w:pPr>
        <w:pStyle w:val="ListParagraph"/>
        <w:numPr>
          <w:ilvl w:val="0"/>
          <w:numId w:val="6"/>
        </w:numPr>
        <w:suppressAutoHyphens w:val="false"/>
        <w:spacing w:before="0" w:after="120"/>
      </w:pPr>
      <w:r>
        <w:rPr>
          <w:szCs w:val="24"/>
          <w:lang w:eastAsia="pt-BR"/>
        </w:rPr>
        <w:t xml:space="preserve">Cada instituição eleita indicará, a seu critério, um conselheiro titular e um suplente, sendo que o suplente poderá ser outra instituição do mesmo segmento desde que habilitada no </w:t>
      </w:r>
      <w:r>
        <w:rPr/>
        <w:t>processo seletivo.</w:t>
      </w:r>
      <w:r/>
    </w:p>
    <w:p>
      <w:pPr>
        <w:pStyle w:val="ListParagraph"/>
        <w:numPr>
          <w:ilvl w:val="0"/>
          <w:numId w:val="6"/>
        </w:numPr>
        <w:suppressAutoHyphens w:val="false"/>
        <w:spacing w:before="0" w:after="120"/>
      </w:pPr>
      <w:r>
        <w:rPr>
          <w:szCs w:val="24"/>
          <w:lang w:eastAsia="pt-BR"/>
        </w:rPr>
        <w:t xml:space="preserve">Não serão aceitas representações de pessoa física, bem como não serão aceitas representações de pessoa jurídica com fins lucrativos. O setor produtivo poderá candidatar-se por meio de suas instituições representativas, como sindicatos, associações, institutos, fundações, </w:t>
      </w:r>
      <w:r>
        <w:rPr/>
        <w:t>comitês e clubes.</w:t>
      </w:r>
      <w:r/>
    </w:p>
    <w:p>
      <w:pPr>
        <w:pStyle w:val="ListParagraph"/>
        <w:numPr>
          <w:ilvl w:val="0"/>
          <w:numId w:val="6"/>
        </w:numPr>
        <w:suppressAutoHyphens w:val="false"/>
        <w:spacing w:before="0" w:after="120"/>
        <w:rPr>
          <w:szCs w:val="24"/>
          <w:lang w:eastAsia="pt-BR"/>
        </w:rPr>
      </w:pPr>
      <w:r>
        <w:rPr>
          <w:szCs w:val="24"/>
          <w:lang w:eastAsia="pt-BR"/>
        </w:rPr>
        <w:t>A titulo de contabilização de votos será obedecido o limite de 01 (um) voto por entidade inscrita.</w:t>
      </w:r>
      <w:r/>
    </w:p>
    <w:p>
      <w:pPr>
        <w:pStyle w:val="Default"/>
        <w:numPr>
          <w:ilvl w:val="0"/>
          <w:numId w:val="3"/>
        </w:numPr>
        <w:spacing w:before="120" w:after="120"/>
        <w:contextualSpacing/>
        <w:jc w:val="both"/>
        <w:rPr>
          <w:sz w:val="24"/>
          <w:sz w:val="24"/>
          <w:szCs w:val="24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</w:rPr>
      </w:r>
      <w:r/>
    </w:p>
    <w:p>
      <w:pPr>
        <w:pStyle w:val="Default"/>
        <w:numPr>
          <w:ilvl w:val="0"/>
          <w:numId w:val="3"/>
        </w:numPr>
        <w:pBdr>
          <w:bottom w:val="single" w:sz="4" w:space="1" w:color="00000A"/>
        </w:pBdr>
        <w:spacing w:before="12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 Posse e Funcionamento</w:t>
      </w:r>
      <w:r/>
    </w:p>
    <w:p>
      <w:pPr>
        <w:pStyle w:val="Default"/>
        <w:numPr>
          <w:ilvl w:val="0"/>
          <w:numId w:val="3"/>
        </w:numPr>
        <w:spacing w:before="12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Sobre o funcionamento dos Conselhos, respaldados pelo Decreto nº 4.340/2002, são regras e diretrizes:</w:t>
      </w:r>
      <w:r/>
    </w:p>
    <w:p>
      <w:pPr>
        <w:pStyle w:val="ListParagraph"/>
        <w:numPr>
          <w:ilvl w:val="0"/>
          <w:numId w:val="7"/>
        </w:numPr>
        <w:spacing w:before="0" w:after="120"/>
        <w:rPr>
          <w:szCs w:val="24"/>
        </w:rPr>
      </w:pPr>
      <w:r>
        <w:rPr>
          <w:szCs w:val="24"/>
        </w:rPr>
        <w:t>O conselheiro realizará atividade não remunerada, considerada de relevante interesse público, conforme disposto no inciso V, do art. 17, do, de 22 de agosto de 2002;</w:t>
      </w:r>
      <w:r/>
    </w:p>
    <w:p>
      <w:pPr>
        <w:pStyle w:val="ListParagraph"/>
        <w:numPr>
          <w:ilvl w:val="0"/>
          <w:numId w:val="7"/>
        </w:numPr>
        <w:spacing w:before="0" w:after="120"/>
        <w:rPr>
          <w:szCs w:val="24"/>
        </w:rPr>
      </w:pPr>
      <w:r>
        <w:rPr>
          <w:szCs w:val="24"/>
        </w:rPr>
        <w:t>Cabe a Presidência dos Conselhos convocá-los com antecedência mínima de sete dias;</w:t>
      </w:r>
      <w:r/>
    </w:p>
    <w:p>
      <w:pPr>
        <w:pStyle w:val="ListParagraph"/>
        <w:numPr>
          <w:ilvl w:val="0"/>
          <w:numId w:val="7"/>
        </w:numPr>
        <w:spacing w:before="0" w:after="120"/>
      </w:pPr>
      <w:r>
        <w:rPr>
          <w:szCs w:val="24"/>
        </w:rPr>
        <w:t xml:space="preserve">Pode o órgão gestor das unidades de conservação </w:t>
      </w:r>
      <w:r>
        <w:rPr/>
        <w:t>prestar apoio à participação dos conselheiros nas reuniões, sempre que solicitado e devidamente justificado. E que o apoio do órgão gestor não restringe aquele que possa ser prestado por outras organizações;</w:t>
      </w:r>
      <w:r/>
    </w:p>
    <w:p>
      <w:pPr>
        <w:pStyle w:val="ListParagraph"/>
        <w:numPr>
          <w:ilvl w:val="0"/>
          <w:numId w:val="7"/>
        </w:numPr>
        <w:spacing w:before="0" w:after="120"/>
        <w:rPr>
          <w:szCs w:val="24"/>
        </w:rPr>
      </w:pPr>
      <w:r>
        <w:rPr>
          <w:szCs w:val="24"/>
        </w:rPr>
        <w:t>Os conselheiros exercerão o mandato pelo período de dois anos;</w:t>
      </w:r>
      <w:r/>
    </w:p>
    <w:p>
      <w:pPr>
        <w:pStyle w:val="ListParagraph"/>
        <w:numPr>
          <w:ilvl w:val="0"/>
          <w:numId w:val="7"/>
        </w:numPr>
        <w:spacing w:before="0" w:after="120"/>
        <w:rPr>
          <w:sz w:val="24"/>
          <w:sz w:val="24"/>
          <w:lang w:eastAsia="ar-SA"/>
        </w:rPr>
      </w:pPr>
      <w:r>
        <w:rPr/>
        <w:t>Elaborar o seu regimento interno, no prazo de noventa dias, contados da sua instalação.</w:t>
      </w:r>
      <w:r/>
    </w:p>
    <w:p>
      <w:pPr>
        <w:pStyle w:val="Default"/>
        <w:numPr>
          <w:ilvl w:val="0"/>
          <w:numId w:val="3"/>
        </w:numPr>
        <w:spacing w:before="12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Após a reunião de renovação, as instituições eleitas terão até 15 dias para indicar os seus representantes titular e suplente, por meio de carta oficial a ser enviada ao presidente do conselho, da APA e do PARNA Cavernas do Peruaçu, contendo nome completo, telefone, e-mail de contato e endereço dos representantes.</w:t>
      </w:r>
      <w:r/>
    </w:p>
    <w:p>
      <w:pPr>
        <w:pStyle w:val="ListParagraph"/>
        <w:numPr>
          <w:ilvl w:val="0"/>
          <w:numId w:val="8"/>
        </w:numPr>
        <w:suppressAutoHyphens w:val="false"/>
        <w:spacing w:before="0" w:after="120"/>
        <w:rPr>
          <w:szCs w:val="24"/>
          <w:lang w:eastAsia="pt-BR"/>
        </w:rPr>
      </w:pPr>
      <w:r>
        <w:rPr>
          <w:szCs w:val="24"/>
          <w:lang w:eastAsia="pt-BR"/>
        </w:rPr>
        <w:t>A partir desta data as instituições que não apresentarem seus representantes serão substituídas pela subseqüente, obedecendo-se a lista apresentada pelo segmento social correspondente.</w:t>
      </w:r>
      <w:r/>
    </w:p>
    <w:p>
      <w:pPr>
        <w:pStyle w:val="Default"/>
        <w:numPr>
          <w:ilvl w:val="0"/>
          <w:numId w:val="3"/>
        </w:numPr>
        <w:spacing w:before="12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Os novos conselheiros titulares e suplentes deverão tomar posse na primeira reunião ordinária de 2014 a ser realizada nos dias 13 e 14 de novembro de 2014, em local e hora a serem divulgados pelo ICMBio.</w:t>
      </w:r>
      <w:r/>
    </w:p>
    <w:p>
      <w:pPr>
        <w:pStyle w:val="ListParagraph"/>
        <w:numPr>
          <w:ilvl w:val="0"/>
          <w:numId w:val="8"/>
        </w:numPr>
        <w:suppressAutoHyphens w:val="false"/>
        <w:spacing w:before="0" w:after="120"/>
        <w:rPr>
          <w:szCs w:val="24"/>
          <w:lang w:eastAsia="pt-BR"/>
        </w:rPr>
      </w:pPr>
      <w:r>
        <w:rPr>
          <w:szCs w:val="24"/>
          <w:lang w:eastAsia="pt-BR"/>
        </w:rPr>
        <w:t xml:space="preserve">As entidades que não tomarem posse serão substituídas pela subseqüente, obedecendo-se a lista apresentada pelo segmento social correspondente. </w:t>
      </w:r>
      <w:r/>
    </w:p>
    <w:p>
      <w:pPr>
        <w:pStyle w:val="ListParagraph"/>
        <w:numPr>
          <w:ilvl w:val="0"/>
          <w:numId w:val="8"/>
        </w:numPr>
        <w:suppressAutoHyphens w:val="false"/>
        <w:spacing w:before="0" w:after="120"/>
        <w:rPr>
          <w:szCs w:val="24"/>
          <w:lang w:eastAsia="pt-BR"/>
        </w:rPr>
      </w:pPr>
      <w:r>
        <w:rPr>
          <w:szCs w:val="24"/>
          <w:lang w:eastAsia="pt-BR"/>
        </w:rPr>
        <w:t>Neste caso a instituição subseqüente terá 10 dias para indicar seus representantes titular e suplente, que tomarão posse na reunião dos Conselhos imediatamente seguinte.</w:t>
      </w:r>
      <w:r/>
    </w:p>
    <w:p>
      <w:pPr>
        <w:pStyle w:val="Default"/>
        <w:numPr>
          <w:ilvl w:val="0"/>
          <w:numId w:val="3"/>
        </w:numPr>
        <w:spacing w:before="12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 termo de posse, assinado pelos representantes titulares e suplentes subsidiará a publicação de uma portaria do ICMBio que homologará a composição do Conselhos.</w:t>
      </w:r>
      <w:r/>
    </w:p>
    <w:p>
      <w:pPr>
        <w:pStyle w:val="Normal"/>
        <w:numPr>
          <w:ilvl w:val="0"/>
          <w:numId w:val="3"/>
        </w:numPr>
        <w:suppressAutoHyphens w:val="false"/>
        <w:spacing w:before="0" w:after="120"/>
        <w:ind w:left="720" w:hanging="0"/>
        <w:contextualSpacing/>
        <w:rPr>
          <w:sz w:val="24"/>
          <w:sz w:val="24"/>
          <w:lang w:eastAsia="ar-SA"/>
        </w:rPr>
      </w:pPr>
      <w:r>
        <w:rPr/>
      </w:r>
      <w:r/>
    </w:p>
    <w:p>
      <w:pPr>
        <w:pStyle w:val="Normal"/>
        <w:numPr>
          <w:ilvl w:val="0"/>
          <w:numId w:val="3"/>
        </w:numPr>
        <w:suppressAutoHyphens w:val="false"/>
        <w:spacing w:before="0" w:after="120"/>
        <w:ind w:left="720" w:hanging="0"/>
        <w:contextualSpacing/>
        <w:jc w:val="right"/>
        <w:rPr>
          <w:sz w:val="24"/>
          <w:sz w:val="24"/>
          <w:lang w:eastAsia="ar-SA"/>
        </w:rPr>
      </w:pPr>
      <w:r>
        <w:rPr/>
        <w:t>Januária-MG, 13 de outubro de 2014.</w:t>
      </w:r>
      <w:r/>
    </w:p>
    <w:sectPr>
      <w:type w:val="continuous"/>
      <w:pgSz w:w="11906" w:h="16838"/>
      <w:pgMar w:left="720" w:right="720" w:header="720" w:top="777" w:footer="720" w:bottom="777" w:gutter="0"/>
      <w:cols w:num="2" w:space="720" w:equalWidth="true" w:sep="false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10"/>
  <w:defaultTabStop w:val="709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semiHidden="0" w:unhideWhenUsed="0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footnote text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500884"/>
    <w:pPr>
      <w:widowControl/>
      <w:suppressAutoHyphens w:val="true"/>
      <w:bidi w:val="0"/>
      <w:spacing w:before="120" w:after="0"/>
      <w:ind w:firstLine="1418"/>
      <w:jc w:val="both"/>
    </w:pPr>
    <w:rPr>
      <w:rFonts w:ascii="Times New Roman" w:hAnsi="Times New Roman" w:eastAsia="Times New Roman" w:cs="Times New Roman"/>
      <w:color w:val="auto"/>
      <w:sz w:val="24"/>
      <w:szCs w:val="20"/>
      <w:lang w:eastAsia="ar-SA" w:val="pt-BR" w:bidi="ar-SA"/>
    </w:rPr>
  </w:style>
  <w:style w:type="paragraph" w:styleId="Ttulo1">
    <w:name w:val="Título 1"/>
    <w:basedOn w:val="Normal"/>
    <w:next w:val="Normal"/>
    <w:qFormat/>
    <w:rsid w:val="00500884"/>
    <w:pPr>
      <w:keepNext/>
      <w:tabs>
        <w:tab w:val="left" w:pos="432" w:leader="none"/>
      </w:tabs>
      <w:ind w:left="432" w:hanging="432"/>
      <w:outlineLvl w:val="0"/>
    </w:pPr>
    <w:rPr>
      <w:rFonts w:ascii="Arial" w:hAnsi="Arial"/>
      <w:b/>
    </w:rPr>
  </w:style>
  <w:style w:type="paragraph" w:styleId="Ttulo4">
    <w:name w:val="Título 4"/>
    <w:basedOn w:val="Normal"/>
    <w:next w:val="Normal"/>
    <w:qFormat/>
    <w:rsid w:val="00500884"/>
    <w:pPr>
      <w:keepNext/>
      <w:tabs>
        <w:tab w:val="left" w:pos="864" w:leader="none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AbsatzStandardschriftart" w:customStyle="1">
    <w:name w:val="Absatz-Standardschriftart"/>
    <w:rsid w:val="00500884"/>
    <w:rPr/>
  </w:style>
  <w:style w:type="character" w:styleId="WWAbsatzStandardschriftart" w:customStyle="1">
    <w:name w:val="WW-Absatz-Standardschriftart"/>
    <w:rsid w:val="00500884"/>
    <w:rPr/>
  </w:style>
  <w:style w:type="character" w:styleId="WW8Num2z0" w:customStyle="1">
    <w:name w:val="WW8Num2z0"/>
    <w:rsid w:val="00500884"/>
    <w:rPr>
      <w:rFonts w:ascii="Symbol" w:hAnsi="Symbol"/>
    </w:rPr>
  </w:style>
  <w:style w:type="character" w:styleId="WW8Num2z1" w:customStyle="1">
    <w:name w:val="WW8Num2z1"/>
    <w:rsid w:val="00500884"/>
    <w:rPr>
      <w:rFonts w:ascii="Courier New" w:hAnsi="Courier New" w:cs="Courier New"/>
    </w:rPr>
  </w:style>
  <w:style w:type="character" w:styleId="WW8Num2z2" w:customStyle="1">
    <w:name w:val="WW8Num2z2"/>
    <w:rsid w:val="00500884"/>
    <w:rPr>
      <w:rFonts w:ascii="Wingdings" w:hAnsi="Wingdings"/>
    </w:rPr>
  </w:style>
  <w:style w:type="character" w:styleId="WW8Num3z0" w:customStyle="1">
    <w:name w:val="WW8Num3z0"/>
    <w:rsid w:val="00500884"/>
    <w:rPr>
      <w:rFonts w:ascii="Symbol" w:hAnsi="Symbol"/>
    </w:rPr>
  </w:style>
  <w:style w:type="character" w:styleId="WW8Num3z1" w:customStyle="1">
    <w:name w:val="WW8Num3z1"/>
    <w:rsid w:val="00500884"/>
    <w:rPr>
      <w:rFonts w:ascii="Courier New" w:hAnsi="Courier New" w:cs="Courier New"/>
    </w:rPr>
  </w:style>
  <w:style w:type="character" w:styleId="WW8Num3z2" w:customStyle="1">
    <w:name w:val="WW8Num3z2"/>
    <w:rsid w:val="00500884"/>
    <w:rPr>
      <w:rFonts w:ascii="Wingdings" w:hAnsi="Wingdings"/>
    </w:rPr>
  </w:style>
  <w:style w:type="character" w:styleId="WW8Num4z0" w:customStyle="1">
    <w:name w:val="WW8Num4z0"/>
    <w:rsid w:val="00500884"/>
    <w:rPr>
      <w:rFonts w:ascii="Symbol" w:hAnsi="Symbol"/>
    </w:rPr>
  </w:style>
  <w:style w:type="character" w:styleId="WW8Num4z1" w:customStyle="1">
    <w:name w:val="WW8Num4z1"/>
    <w:rsid w:val="00500884"/>
    <w:rPr>
      <w:rFonts w:ascii="Courier New" w:hAnsi="Courier New"/>
    </w:rPr>
  </w:style>
  <w:style w:type="character" w:styleId="WW8Num4z2" w:customStyle="1">
    <w:name w:val="WW8Num4z2"/>
    <w:rsid w:val="00500884"/>
    <w:rPr>
      <w:rFonts w:ascii="Wingdings" w:hAnsi="Wingdings"/>
    </w:rPr>
  </w:style>
  <w:style w:type="character" w:styleId="WW8Num6z0" w:customStyle="1">
    <w:name w:val="WW8Num6z0"/>
    <w:rsid w:val="00500884"/>
    <w:rPr>
      <w:rFonts w:ascii="Symbol" w:hAnsi="Symbol"/>
    </w:rPr>
  </w:style>
  <w:style w:type="character" w:styleId="WW8Num6z1" w:customStyle="1">
    <w:name w:val="WW8Num6z1"/>
    <w:rsid w:val="00500884"/>
    <w:rPr>
      <w:rFonts w:ascii="Courier New" w:hAnsi="Courier New"/>
    </w:rPr>
  </w:style>
  <w:style w:type="character" w:styleId="WW8Num6z2" w:customStyle="1">
    <w:name w:val="WW8Num6z2"/>
    <w:rsid w:val="00500884"/>
    <w:rPr>
      <w:rFonts w:ascii="Wingdings" w:hAnsi="Wingdings"/>
    </w:rPr>
  </w:style>
  <w:style w:type="character" w:styleId="WW8Num7z0" w:customStyle="1">
    <w:name w:val="WW8Num7z0"/>
    <w:rsid w:val="00500884"/>
    <w:rPr>
      <w:rFonts w:ascii="Symbol" w:hAnsi="Symbol"/>
    </w:rPr>
  </w:style>
  <w:style w:type="character" w:styleId="WW8Num7z1" w:customStyle="1">
    <w:name w:val="WW8Num7z1"/>
    <w:rsid w:val="00500884"/>
    <w:rPr>
      <w:rFonts w:ascii="Courier New" w:hAnsi="Courier New"/>
    </w:rPr>
  </w:style>
  <w:style w:type="character" w:styleId="WW8Num7z2" w:customStyle="1">
    <w:name w:val="WW8Num7z2"/>
    <w:rsid w:val="00500884"/>
    <w:rPr>
      <w:rFonts w:ascii="Wingdings" w:hAnsi="Wingdings"/>
    </w:rPr>
  </w:style>
  <w:style w:type="character" w:styleId="WW8Num8z0" w:customStyle="1">
    <w:name w:val="WW8Num8z0"/>
    <w:rsid w:val="00500884"/>
    <w:rPr>
      <w:rFonts w:ascii="Symbol" w:hAnsi="Symbol"/>
    </w:rPr>
  </w:style>
  <w:style w:type="character" w:styleId="WW8Num8z1" w:customStyle="1">
    <w:name w:val="WW8Num8z1"/>
    <w:rsid w:val="00500884"/>
    <w:rPr>
      <w:rFonts w:ascii="Courier New" w:hAnsi="Courier New" w:cs="Courier New"/>
    </w:rPr>
  </w:style>
  <w:style w:type="character" w:styleId="WW8Num8z2" w:customStyle="1">
    <w:name w:val="WW8Num8z2"/>
    <w:rsid w:val="00500884"/>
    <w:rPr>
      <w:rFonts w:ascii="Wingdings" w:hAnsi="Wingdings"/>
    </w:rPr>
  </w:style>
  <w:style w:type="character" w:styleId="WW8Num9z0" w:customStyle="1">
    <w:name w:val="WW8Num9z0"/>
    <w:rsid w:val="00500884"/>
    <w:rPr>
      <w:rFonts w:ascii="Symbol" w:hAnsi="Symbol"/>
    </w:rPr>
  </w:style>
  <w:style w:type="character" w:styleId="WW8Num9z1" w:customStyle="1">
    <w:name w:val="WW8Num9z1"/>
    <w:rsid w:val="00500884"/>
    <w:rPr>
      <w:rFonts w:ascii="Courier New" w:hAnsi="Courier New" w:cs="Courier New"/>
    </w:rPr>
  </w:style>
  <w:style w:type="character" w:styleId="WW8Num9z2" w:customStyle="1">
    <w:name w:val="WW8Num9z2"/>
    <w:rsid w:val="00500884"/>
    <w:rPr>
      <w:rFonts w:ascii="Wingdings" w:hAnsi="Wingdings"/>
    </w:rPr>
  </w:style>
  <w:style w:type="character" w:styleId="Fontepargpadro1" w:customStyle="1">
    <w:name w:val="Fonte parág. padrão1"/>
    <w:rsid w:val="00500884"/>
    <w:rPr/>
  </w:style>
  <w:style w:type="character" w:styleId="LinkdaInternet" w:customStyle="1">
    <w:name w:val="Link da Internet"/>
    <w:semiHidden/>
    <w:rsid w:val="00500884"/>
    <w:rPr>
      <w:color w:val="0000FF"/>
      <w:u w:val="single"/>
      <w:lang w:val="zxx" w:eastAsia="zxx" w:bidi="zxx"/>
    </w:rPr>
  </w:style>
  <w:style w:type="character" w:styleId="CabealhoChar" w:customStyle="1">
    <w:name w:val="Cabeçalho Char"/>
    <w:link w:val="Cabealho"/>
    <w:uiPriority w:val="99"/>
    <w:rsid w:val="00f42aae"/>
    <w:rPr>
      <w:lang w:eastAsia="ar-SA"/>
    </w:rPr>
  </w:style>
  <w:style w:type="character" w:styleId="RodapChar" w:customStyle="1">
    <w:name w:val="Rodapé Char"/>
    <w:link w:val="Rodap"/>
    <w:uiPriority w:val="99"/>
    <w:rsid w:val="00f42aae"/>
    <w:rPr>
      <w:lang w:eastAsia="ar-SA"/>
    </w:rPr>
  </w:style>
  <w:style w:type="character" w:styleId="MapadoDocumentoChar" w:customStyle="1">
    <w:name w:val="Mapa do Documento Char"/>
    <w:link w:val="MapadoDocumento"/>
    <w:uiPriority w:val="99"/>
    <w:semiHidden/>
    <w:rsid w:val="00cd1e15"/>
    <w:rPr>
      <w:rFonts w:ascii="Tahoma" w:hAnsi="Tahoma" w:cs="Tahoma"/>
      <w:sz w:val="16"/>
      <w:szCs w:val="16"/>
      <w:lang w:eastAsia="ar-SA"/>
    </w:rPr>
  </w:style>
  <w:style w:type="character" w:styleId="Annotationreference">
    <w:name w:val="annotation reference"/>
    <w:uiPriority w:val="99"/>
    <w:semiHidden/>
    <w:unhideWhenUsed/>
    <w:rsid w:val="00383c90"/>
    <w:rPr>
      <w:sz w:val="16"/>
      <w:szCs w:val="16"/>
    </w:rPr>
  </w:style>
  <w:style w:type="character" w:styleId="TextodecomentrioChar" w:customStyle="1">
    <w:name w:val="Texto de comentário Char"/>
    <w:link w:val="Textodecomentrio"/>
    <w:uiPriority w:val="99"/>
    <w:semiHidden/>
    <w:rsid w:val="00383c90"/>
    <w:rPr>
      <w:sz w:val="20"/>
      <w:lang w:eastAsia="ar-SA"/>
    </w:rPr>
  </w:style>
  <w:style w:type="character" w:styleId="AssuntodocomentrioChar" w:customStyle="1">
    <w:name w:val="Assunto do comentário Char"/>
    <w:link w:val="Assuntodocomentrio"/>
    <w:uiPriority w:val="99"/>
    <w:semiHidden/>
    <w:rsid w:val="00383c90"/>
    <w:rPr>
      <w:b/>
      <w:bCs/>
      <w:sz w:val="20"/>
      <w:lang w:eastAsia="ar-SA"/>
    </w:rPr>
  </w:style>
  <w:style w:type="character" w:styleId="TextodebaloChar" w:customStyle="1">
    <w:name w:val="Texto de balão Char"/>
    <w:link w:val="Textodebalo"/>
    <w:uiPriority w:val="99"/>
    <w:semiHidden/>
    <w:rsid w:val="00383c90"/>
    <w:rPr>
      <w:rFonts w:ascii="Tahoma" w:hAnsi="Tahoma" w:cs="Tahoma"/>
      <w:sz w:val="16"/>
      <w:szCs w:val="16"/>
      <w:lang w:eastAsia="ar-SA"/>
    </w:rPr>
  </w:style>
  <w:style w:type="character" w:styleId="Appleconvertedspace" w:customStyle="1">
    <w:name w:val="apple-converted-space"/>
    <w:basedOn w:val="DefaultParagraphFont"/>
    <w:rsid w:val="001025b5"/>
    <w:rPr/>
  </w:style>
  <w:style w:type="character" w:styleId="Caracteresdenotaderodap" w:customStyle="1">
    <w:name w:val="Caracteres de nota de rodapé"/>
    <w:basedOn w:val="Fontepargpadro1"/>
    <w:rsid w:val="002724f4"/>
    <w:rPr>
      <w:vertAlign w:val="superscript"/>
    </w:rPr>
  </w:style>
  <w:style w:type="character" w:styleId="TextodenotaderodapChar" w:customStyle="1">
    <w:name w:val="Texto de nota de rodapé Char"/>
    <w:basedOn w:val="DefaultParagraphFont"/>
    <w:link w:val="Textodenotaderodap"/>
    <w:rsid w:val="002724f4"/>
    <w:rPr>
      <w:rFonts w:ascii="Calibri" w:hAnsi="Calibri" w:eastAsia="Calibri" w:cs="Calibri"/>
      <w:lang w:eastAsia="ar-SA"/>
    </w:rPr>
  </w:style>
  <w:style w:type="character" w:styleId="Strong">
    <w:name w:val="Strong"/>
    <w:basedOn w:val="DefaultParagraphFont"/>
    <w:uiPriority w:val="22"/>
    <w:qFormat/>
    <w:rsid w:val="0024757b"/>
    <w:rPr>
      <w:b/>
      <w:bCs/>
    </w:rPr>
  </w:style>
  <w:style w:type="character" w:styleId="ListLabel1" w:customStyle="1">
    <w:name w:val="ListLabel 1"/>
    <w:rsid w:val="00864fcf"/>
    <w:rPr>
      <w:rFonts w:eastAsia="Times New Roman" w:cs="Times New Roman"/>
    </w:rPr>
  </w:style>
  <w:style w:type="character" w:styleId="ListLabel2" w:customStyle="1">
    <w:name w:val="ListLabel 2"/>
    <w:rsid w:val="00864fcf"/>
    <w:rPr>
      <w:rFonts w:cs="Courier New"/>
    </w:rPr>
  </w:style>
  <w:style w:type="character" w:styleId="ListLabel3" w:customStyle="1">
    <w:name w:val="ListLabel 3"/>
    <w:rsid w:val="00864fcf"/>
    <w:rPr>
      <w:b w:val="false"/>
    </w:rPr>
  </w:style>
  <w:style w:type="character" w:styleId="ListLabel4">
    <w:name w:val="ListLabel 4"/>
    <w:rPr>
      <w:rFonts w:cs="Symbol"/>
    </w:rPr>
  </w:style>
  <w:style w:type="character" w:styleId="ListLabel5">
    <w:name w:val="ListLabel 5"/>
    <w:rPr>
      <w:rFonts w:cs="Courier New"/>
    </w:rPr>
  </w:style>
  <w:style w:type="character" w:styleId="ListLabel6">
    <w:name w:val="ListLabel 6"/>
    <w:rPr>
      <w:rFonts w:cs="Wingdings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 w:customStyle="1">
    <w:name w:val="Corpo do texto"/>
    <w:basedOn w:val="Normal"/>
    <w:semiHidden/>
    <w:rsid w:val="00500884"/>
    <w:pPr>
      <w:spacing w:lineRule="auto" w:line="288" w:before="0" w:after="120"/>
    </w:pPr>
    <w:rPr/>
  </w:style>
  <w:style w:type="paragraph" w:styleId="Lista">
    <w:name w:val="Lista"/>
    <w:basedOn w:val="Corpodotexto"/>
    <w:semiHidden/>
    <w:rsid w:val="00500884"/>
    <w:pPr/>
    <w:rPr>
      <w:rFonts w:cs="Tahoma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rsid w:val="00500884"/>
    <w:pPr>
      <w:suppressLineNumbers/>
    </w:pPr>
    <w:rPr>
      <w:rFonts w:cs="Tahoma"/>
    </w:rPr>
  </w:style>
  <w:style w:type="paragraph" w:styleId="Ttulododocumento">
    <w:name w:val="Título do documento"/>
    <w:basedOn w:val="Normal"/>
    <w:rsid w:val="00864fcf"/>
    <w:pPr>
      <w:keepNext/>
      <w:spacing w:before="240" w:after="120"/>
      <w:jc w:val="left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rsid w:val="00864fcf"/>
    <w:pPr>
      <w:suppressLineNumbers/>
      <w:spacing w:before="120" w:after="120"/>
    </w:pPr>
    <w:rPr>
      <w:rFonts w:cs="Mangal"/>
      <w:i/>
      <w:iCs/>
      <w:szCs w:val="24"/>
    </w:rPr>
  </w:style>
  <w:style w:type="paragraph" w:styleId="Captulo" w:customStyle="1">
    <w:name w:val="Capítulo"/>
    <w:basedOn w:val="Normal"/>
    <w:rsid w:val="00500884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Legenda1" w:customStyle="1">
    <w:name w:val="Legenda1"/>
    <w:basedOn w:val="Normal"/>
    <w:rsid w:val="00500884"/>
    <w:pPr>
      <w:suppressLineNumbers/>
      <w:spacing w:before="120" w:after="120"/>
    </w:pPr>
    <w:rPr>
      <w:rFonts w:cs="Tahoma"/>
      <w:i/>
      <w:iCs/>
      <w:szCs w:val="24"/>
    </w:rPr>
  </w:style>
  <w:style w:type="paragraph" w:styleId="Corpodetextorecuado" w:customStyle="1">
    <w:name w:val="Corpo de texto recuado"/>
    <w:basedOn w:val="Normal"/>
    <w:semiHidden/>
    <w:rsid w:val="00500884"/>
    <w:pPr>
      <w:ind w:firstLine="720"/>
    </w:pPr>
    <w:rPr>
      <w:rFonts w:ascii="Arial" w:hAnsi="Arial"/>
      <w:sz w:val="22"/>
    </w:rPr>
  </w:style>
  <w:style w:type="paragraph" w:styleId="Recuodecorpodetexto21" w:customStyle="1">
    <w:name w:val="Recuo de corpo de texto 21"/>
    <w:basedOn w:val="Normal"/>
    <w:rsid w:val="00500884"/>
    <w:pPr>
      <w:spacing w:lineRule="auto" w:line="360"/>
      <w:ind w:left="360" w:hanging="0"/>
    </w:pPr>
    <w:rPr/>
  </w:style>
  <w:style w:type="paragraph" w:styleId="Cabealho">
    <w:name w:val="Cabeçalho"/>
    <w:basedOn w:val="Normal"/>
    <w:link w:val="CabealhoChar"/>
    <w:uiPriority w:val="99"/>
    <w:unhideWhenUsed/>
    <w:rsid w:val="00f42aae"/>
    <w:pPr>
      <w:tabs>
        <w:tab w:val="center" w:pos="4252" w:leader="none"/>
        <w:tab w:val="right" w:pos="8504" w:leader="none"/>
      </w:tabs>
    </w:pPr>
    <w:rPr>
      <w:sz w:val="20"/>
    </w:rPr>
  </w:style>
  <w:style w:type="paragraph" w:styleId="Rodap">
    <w:name w:val="Rodapé"/>
    <w:basedOn w:val="Normal"/>
    <w:link w:val="RodapChar"/>
    <w:uiPriority w:val="99"/>
    <w:unhideWhenUsed/>
    <w:rsid w:val="00f42aae"/>
    <w:pPr>
      <w:tabs>
        <w:tab w:val="center" w:pos="4252" w:leader="none"/>
        <w:tab w:val="right" w:pos="8504" w:leader="none"/>
      </w:tabs>
    </w:pPr>
    <w:rPr>
      <w:sz w:val="20"/>
    </w:rPr>
  </w:style>
  <w:style w:type="paragraph" w:styleId="DocumentMap">
    <w:name w:val="Document Map"/>
    <w:basedOn w:val="Normal"/>
    <w:link w:val="MapadoDocumentoChar"/>
    <w:uiPriority w:val="99"/>
    <w:semiHidden/>
    <w:unhideWhenUsed/>
    <w:rsid w:val="00cd1e15"/>
    <w:pPr/>
    <w:rPr>
      <w:rFonts w:ascii="Tahoma" w:hAnsi="Tahoma"/>
      <w:sz w:val="16"/>
      <w:szCs w:val="16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rsid w:val="00383c90"/>
    <w:pPr/>
    <w:rPr>
      <w:sz w:val="20"/>
    </w:rPr>
  </w:style>
  <w:style w:type="paragraph" w:styleId="Annotationsubject">
    <w:name w:val="annotation subject"/>
    <w:basedOn w:val="Annotationtext"/>
    <w:link w:val="AssuntodocomentrioChar"/>
    <w:uiPriority w:val="99"/>
    <w:semiHidden/>
    <w:unhideWhenUsed/>
    <w:rsid w:val="00383c90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unhideWhenUsed/>
    <w:rsid w:val="00383c90"/>
    <w:pPr>
      <w:spacing w:before="0" w:after="0"/>
    </w:pPr>
    <w:rPr>
      <w:rFonts w:ascii="Tahoma" w:hAnsi="Tahoma"/>
      <w:sz w:val="16"/>
      <w:szCs w:val="16"/>
    </w:rPr>
  </w:style>
  <w:style w:type="paragraph" w:styleId="Revision">
    <w:name w:val="Revision"/>
    <w:uiPriority w:val="99"/>
    <w:semiHidden/>
    <w:rsid w:val="00383c90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0"/>
      <w:lang w:eastAsia="ar-SA" w:val="pt-BR" w:bidi="ar-SA"/>
    </w:rPr>
  </w:style>
  <w:style w:type="paragraph" w:styleId="ListParagraph">
    <w:name w:val="List Paragraph"/>
    <w:basedOn w:val="Normal"/>
    <w:uiPriority w:val="34"/>
    <w:qFormat/>
    <w:rsid w:val="00e64d87"/>
    <w:pPr>
      <w:spacing w:before="120" w:after="0"/>
      <w:ind w:left="720" w:firstLine="1418"/>
      <w:contextualSpacing/>
    </w:pPr>
    <w:rPr/>
  </w:style>
  <w:style w:type="paragraph" w:styleId="NormalWeb">
    <w:name w:val="Normal (Web)"/>
    <w:basedOn w:val="Normal"/>
    <w:uiPriority w:val="99"/>
    <w:unhideWhenUsed/>
    <w:rsid w:val="001025b5"/>
    <w:pPr>
      <w:spacing w:before="120" w:after="280"/>
      <w:ind w:hanging="0"/>
      <w:jc w:val="left"/>
    </w:pPr>
    <w:rPr>
      <w:szCs w:val="24"/>
      <w:lang w:eastAsia="pt-BR"/>
    </w:rPr>
  </w:style>
  <w:style w:type="paragraph" w:styleId="Default" w:customStyle="1">
    <w:name w:val="Default"/>
    <w:rsid w:val="0018208d"/>
    <w:pPr>
      <w:widowControl/>
      <w:suppressAutoHyphens w:val="true"/>
      <w:bidi w:val="0"/>
      <w:jc w:val="left"/>
    </w:pPr>
    <w:rPr>
      <w:rFonts w:ascii="Arial" w:hAnsi="Arial" w:cs="Arial" w:eastAsia="Times New Roman"/>
      <w:color w:val="000000"/>
      <w:sz w:val="24"/>
      <w:szCs w:val="24"/>
      <w:lang w:val="pt-BR" w:eastAsia="pt-BR" w:bidi="ar-SA"/>
    </w:rPr>
  </w:style>
  <w:style w:type="paragraph" w:styleId="Textolegal" w:customStyle="1">
    <w:name w:val="Texto legal"/>
    <w:basedOn w:val="Normal"/>
    <w:rsid w:val="002724f4"/>
    <w:pPr>
      <w:spacing w:before="0" w:after="0"/>
      <w:ind w:hanging="0"/>
    </w:pPr>
    <w:rPr>
      <w:rFonts w:ascii="Arial" w:hAnsi="Arial" w:cs="Arial"/>
    </w:rPr>
  </w:style>
  <w:style w:type="paragraph" w:styleId="Corpodetexto31" w:customStyle="1">
    <w:name w:val="Corpo de texto 31"/>
    <w:basedOn w:val="Normal"/>
    <w:rsid w:val="002724f4"/>
    <w:pPr>
      <w:spacing w:before="0" w:after="0"/>
      <w:ind w:hanging="0"/>
    </w:pPr>
    <w:rPr>
      <w:rFonts w:ascii="Arial" w:hAnsi="Arial" w:cs="Arial"/>
      <w:color w:val="000000"/>
    </w:rPr>
  </w:style>
  <w:style w:type="paragraph" w:styleId="Footnotetext">
    <w:name w:val="footnote text"/>
    <w:basedOn w:val="Normal"/>
    <w:link w:val="TextodenotaderodapChar"/>
    <w:rsid w:val="002724f4"/>
    <w:pPr>
      <w:spacing w:lineRule="auto" w:line="276" w:before="0" w:after="200"/>
      <w:ind w:hanging="0"/>
      <w:jc w:val="left"/>
    </w:pPr>
    <w:rPr>
      <w:rFonts w:ascii="Calibri" w:hAnsi="Calibri" w:eastAsia="Calibri" w:cs="Calibri"/>
      <w:sz w:val="20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f0cf9"/>
    <w:tblPr>
      <w:tblInd w:type="dxa" w:w="0"/>
      <w:tblBorders>
        <w:top w:space="0" w:sz="4" w:color="000000" w:val="single"/>
        <w:left w:space="0" w:sz="4" w:color="000000" w:val="single"/>
        <w:bottom w:space="0" w:sz="4" w:color="000000" w:val="single"/>
        <w:right w:space="0" w:sz="4" w:color="000000" w:val="single"/>
        <w:insideH w:space="0" w:sz="4" w:color="000000" w:val="single"/>
        <w:insideV w:space="0" w:sz="4" w:color="000000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2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plotArea>
      <c:layout/>
      <c:pieChart>
        <c:varyColors val="1"/>
        <c:ser>
          <c:idx val="0"/>
          <c:order val="0"/>
          <c:tx>
            <c:strRef>
              <c:f>label 1</c:f>
              <c:strCache>
                <c:ptCount val="1"/>
                <c:pt idx="0">
                  <c:v/>
                </c:pt>
              </c:strCache>
            </c:strRef>
          </c:tx>
          <c:spPr>
            <a:solidFill>
              <a:srgbClr val="4f81bd"/>
            </a:solidFill>
            <a:ln>
              <a:noFill/>
            </a:ln>
          </c:spPr>
          <c:explosion val="25"/>
          <c:dPt>
            <c:idx val="0"/>
            <c:spPr>
              <a:solidFill>
                <a:srgbClr val="416a9c"/>
              </a:solidFill>
              <a:ln>
                <a:noFill/>
              </a:ln>
            </c:spPr>
          </c:dPt>
          <c:dPt>
            <c:idx val="1"/>
            <c:spPr>
              <a:solidFill>
                <a:srgbClr val="9f423f"/>
              </a:solidFill>
              <a:ln>
                <a:noFill/>
              </a:ln>
            </c:spPr>
          </c:dPt>
          <c:dPt>
            <c:idx val="2"/>
            <c:spPr>
              <a:solidFill>
                <a:srgbClr val="809b49"/>
              </a:solidFill>
              <a:ln>
                <a:noFill/>
              </a:ln>
            </c:spPr>
          </c:dPt>
          <c:dPt>
            <c:idx val="3"/>
            <c:spPr>
              <a:solidFill>
                <a:srgbClr val="6a5286"/>
              </a:solidFill>
              <a:ln>
                <a:noFill/>
              </a:ln>
            </c:spPr>
          </c:dPt>
          <c:dPt>
            <c:idx val="4"/>
            <c:spPr>
              <a:solidFill>
                <a:srgbClr val="3e8ea4"/>
              </a:solidFill>
              <a:ln>
                <a:noFill/>
              </a:ln>
            </c:spPr>
          </c:dPt>
          <c:dPt>
            <c:idx val="5"/>
            <c:spPr>
              <a:solidFill>
                <a:srgbClr val="cc7c3a"/>
              </a:solidFill>
              <a:ln>
                <a:noFill/>
              </a:ln>
            </c:spPr>
          </c:dPt>
          <c:dPt>
            <c:idx val="6"/>
            <c:spPr>
              <a:solidFill>
                <a:srgbClr val="4f81bd"/>
              </a:solidFill>
              <a:ln>
                <a:noFill/>
              </a:ln>
            </c:spPr>
          </c:dPt>
          <c:dPt>
            <c:idx val="7"/>
            <c:spPr>
              <a:solidFill>
                <a:srgbClr val="c0504d"/>
              </a:solidFill>
              <a:ln>
                <a:noFill/>
              </a:ln>
            </c:spPr>
          </c:dPt>
          <c:dPt>
            <c:idx val="8"/>
            <c:spPr>
              <a:solidFill>
                <a:srgbClr val="9bbb59"/>
              </a:solidFill>
              <a:ln>
                <a:noFill/>
              </a:ln>
            </c:spPr>
          </c:dPt>
          <c:dPt>
            <c:idx val="9"/>
            <c:spPr>
              <a:solidFill>
                <a:srgbClr val="8064a2"/>
              </a:solidFill>
              <a:ln>
                <a:noFill/>
              </a:ln>
            </c:spPr>
          </c:dPt>
          <c:dPt>
            <c:idx val="10"/>
            <c:spPr>
              <a:solidFill>
                <a:srgbClr val="4bacc6"/>
              </a:solidFill>
              <a:ln>
                <a:noFill/>
              </a:ln>
            </c:spPr>
          </c:dPt>
          <c:dPt>
            <c:idx val="11"/>
            <c:spPr>
              <a:solidFill>
                <a:srgbClr val="f79646"/>
              </a:solidFill>
              <a:ln>
                <a:noFill/>
              </a:ln>
            </c:spPr>
          </c:dPt>
          <c:dPt>
            <c:idx val="12"/>
            <c:spPr>
              <a:solidFill>
                <a:srgbClr val="aabad7"/>
              </a:solidFill>
              <a:ln>
                <a:noFill/>
              </a:ln>
            </c:spPr>
          </c:dPt>
          <c:dPt>
            <c:idx val="13"/>
            <c:spPr>
              <a:solidFill>
                <a:srgbClr val="d8aaa9"/>
              </a:solidFill>
              <a:ln>
                <a:noFill/>
              </a:ln>
            </c:spPr>
          </c:dPt>
          <c:dLbls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14"/>
                <c:pt idx="0">
                  <c:v>Gestor da Unidade de Conservação</c:v>
                </c:pt>
                <c:pt idx="1">
                  <c:v>Governo Federal e empresas públicas e/ou de concessionárias de serviços públicos ou de sociedades de economia mista</c:v>
                </c:pt>
                <c:pt idx="2">
                  <c:v>Governo Estadual e empresas públicas e/ou de concessionárias de serviços públicos ou de sociedades de economia mista</c:v>
                </c:pt>
                <c:pt idx="3">
                  <c:v>Governo Municipal (cabe ao governo municipal determinar qual estrutura/segmento da Prefeitura estará presente no Conselho)</c:v>
                </c:pt>
                <c:pt idx="4">
                  <c:v>Representação de moradores e proprietários do interior do PARNA Cavernas do Peruaçu</c:v>
                </c:pt>
                <c:pt idx="5">
                  <c:v>Representação de moradores e proprietários do interior da APA Cavernas do Peruaçu</c:v>
                </c:pt>
                <c:pt idx="6">
                  <c:v>Representação de população tradicional</c:v>
                </c:pt>
                <c:pt idx="7">
                  <c:v>Organizações não-governamentais e entidades classistas com atuação em temas socioambientais.</c:v>
                </c:pt>
                <c:pt idx="8">
                  <c:v>Organizações não-governamentais e entidades classistas com atuação em temas espeleologia e arqueológia</c:v>
                </c:pt>
                <c:pt idx="9">
                  <c:v>Representação dos segmentos de Turismo, hotelaria, comércio, indústria e mineração</c:v>
                </c:pt>
                <c:pt idx="10">
                  <c:v>Representações de produtores rurais</c:v>
                </c:pt>
                <c:pt idx="11">
                  <c:v>Instituições de ensino superior e pesquisa, pública ou privada</c:v>
                </c:pt>
                <c:pt idx="12">
                  <c:v>Comitês de bacias hidrográficas e demais conselhos</c:v>
                </c:pt>
                <c:pt idx="13">
                  <c:v>Instituição de desenvolvimento e extensão rural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4"/>
                <c:pt idx="0">
                  <c:v>1</c:v>
                </c:pt>
                <c:pt idx="1">
                  <c:v>2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3</c:v>
                </c:pt>
                <c:pt idx="6">
                  <c:v>1</c:v>
                </c:pt>
                <c:pt idx="7">
                  <c:v>2</c:v>
                </c:pt>
                <c:pt idx="8">
                  <c:v>2</c:v>
                </c:pt>
                <c:pt idx="9">
                  <c:v>2</c:v>
                </c:pt>
                <c:pt idx="10">
                  <c:v>2</c:v>
                </c:pt>
                <c:pt idx="11">
                  <c:v>2</c:v>
                </c:pt>
                <c:pt idx="12">
                  <c:v>1</c:v>
                </c:pt>
                <c:pt idx="13">
                  <c:v>1</c:v>
                </c:pt>
              </c:numCache>
            </c:numRef>
          </c:val>
        </c:ser>
        <c:firstSliceAng val="0"/>
      </c:pieChart>
      <c:spPr>
        <a:solidFill>
          <a:srgbClr val="ffffff"/>
        </a:solidFill>
        <a:ln>
          <a:noFill/>
        </a:ln>
      </c:spPr>
    </c:plotArea>
    <c:legend>
      <c:spPr>
        <a:noFill/>
        <a:ln>
          <a:noFill/>
        </a:ln>
      </c:spPr>
    </c:legend>
    <c:plotVisOnly val="1"/>
  </c:chart>
  <c:spPr>
    <a:noFill/>
    <a:ln>
      <a:noFill/>
    </a:ln>
  </c:spPr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Application>LibreOffice/4.3.0.4$Windows_x86 LibreOffice_project/62ad5818884a2fc2e5780dd45466868d41009ec0</Application>
  <Paragraphs>194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2014-10-10T16:37:00Z</dcterms:created>
  <dc:creator>DIREC</dc:creator>
  <dc:language>pt-BR</dc:language>
  <cp:lastPrinted>2014-10-03T15:46:00Z</cp:lastPrinted>
  <dcterms:modified xsi:type="dcterms:W3CDTF">2014-10-13T14:37:48Z</dcterms:modified>
  <cp:revision>27</cp:revision>
</cp:coreProperties>
</file>