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D8F2" w14:textId="77777777" w:rsidR="000526A4" w:rsidRDefault="000526A4" w:rsidP="00B96B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entury" w:hAnsi="Century" w:cs="Segoe UI"/>
          <w:color w:val="000000"/>
          <w:sz w:val="22"/>
          <w:szCs w:val="22"/>
        </w:rPr>
      </w:pPr>
    </w:p>
    <w:p w14:paraId="4FA59D7E" w14:textId="77777777" w:rsidR="000526A4" w:rsidRPr="000526A4" w:rsidRDefault="000526A4" w:rsidP="00B96B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53C73A00" w14:textId="19D901C2" w:rsidR="00F267B7" w:rsidRPr="000526A4" w:rsidRDefault="00F267B7" w:rsidP="00F267B7">
      <w:pPr>
        <w:ind w:right="141"/>
        <w:jc w:val="both"/>
        <w:rPr>
          <w:rStyle w:val="normaltextrun"/>
          <w:rFonts w:ascii="Century" w:hAnsi="Century"/>
          <w:b/>
          <w:bCs/>
          <w:color w:val="000000"/>
          <w:lang w:eastAsia="pt-BR"/>
        </w:rPr>
      </w:pPr>
      <w:r w:rsidRPr="006A11D4">
        <w:rPr>
          <w:rFonts w:ascii="Century" w:hAnsi="Century"/>
          <w:b/>
          <w:bCs/>
        </w:rPr>
        <w:t>Anexo I</w:t>
      </w:r>
      <w:r w:rsidRPr="006A11D4">
        <w:rPr>
          <w:rFonts w:ascii="Century" w:hAnsi="Century"/>
        </w:rPr>
        <w:t xml:space="preserve"> - </w:t>
      </w:r>
      <w:hyperlink r:id="rId4" w:history="1">
        <w:r w:rsidRPr="006A11D4">
          <w:rPr>
            <w:rStyle w:val="Hyperlink"/>
            <w:rFonts w:ascii="Century" w:hAnsi="Century"/>
            <w:b/>
            <w:bCs/>
          </w:rPr>
          <w:t>INSTRUÇÃO NORMATIVA ICMBIO Nº 24, DE 12 DE AGOSTO DE 2025</w:t>
        </w:r>
      </w:hyperlink>
      <w:r>
        <w:t xml:space="preserve"> </w:t>
      </w:r>
      <w:r w:rsidRPr="00013C56">
        <w:rPr>
          <w:rFonts w:ascii="Century" w:hAnsi="Century"/>
        </w:rPr>
        <w:t>alterada pela</w:t>
      </w:r>
      <w:r>
        <w:t xml:space="preserve"> </w:t>
      </w:r>
      <w:hyperlink r:id="rId5" w:history="1">
        <w:r w:rsidRPr="00013C56">
          <w:rPr>
            <w:rStyle w:val="Hyperlink"/>
            <w:rFonts w:ascii="Century" w:hAnsi="Century"/>
            <w:b/>
            <w:bCs/>
          </w:rPr>
          <w:t>INSTRUÇÃO NORMATIVA ICMBIO  Nº 16, DE 13 DE MARÇO DE 2026</w:t>
        </w:r>
      </w:hyperlink>
    </w:p>
    <w:p w14:paraId="00976618" w14:textId="77777777" w:rsidR="00F267B7" w:rsidRDefault="00F267B7" w:rsidP="000526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" w:hAnsi="Century"/>
          <w:b/>
          <w:bCs/>
          <w:color w:val="000000"/>
          <w:sz w:val="22"/>
          <w:szCs w:val="22"/>
        </w:rPr>
      </w:pPr>
    </w:p>
    <w:p w14:paraId="3235C4AF" w14:textId="77777777" w:rsidR="00F267B7" w:rsidRDefault="00F267B7" w:rsidP="000526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" w:hAnsi="Century"/>
          <w:b/>
          <w:bCs/>
          <w:color w:val="000000"/>
          <w:sz w:val="22"/>
          <w:szCs w:val="22"/>
        </w:rPr>
      </w:pPr>
    </w:p>
    <w:p w14:paraId="6672318A" w14:textId="4B34588C" w:rsidR="000526A4" w:rsidRDefault="000526A4" w:rsidP="000526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" w:hAnsi="Century"/>
          <w:b/>
          <w:bCs/>
          <w:color w:val="000000"/>
          <w:sz w:val="22"/>
          <w:szCs w:val="22"/>
        </w:rPr>
      </w:pPr>
      <w:r w:rsidRPr="000526A4">
        <w:rPr>
          <w:rStyle w:val="normaltextrun"/>
          <w:rFonts w:ascii="Century" w:hAnsi="Century"/>
          <w:b/>
          <w:bCs/>
          <w:color w:val="000000"/>
          <w:sz w:val="22"/>
          <w:szCs w:val="22"/>
        </w:rPr>
        <w:t>REQUERIMENTO PARA HABILITAÇÃO/DOAÇÃO DE IMÓVEL COM FINS DE PARTICIPAÇÃO EM PROCESSO DE COMPENSAÇÃO DE RESERVA LEGAL E/OU OUTRAS MEDIDAS COMPENSATÓRIAS</w:t>
      </w:r>
    </w:p>
    <w:p w14:paraId="2E52F8EC" w14:textId="77777777" w:rsidR="000526A4" w:rsidRDefault="000526A4" w:rsidP="000526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" w:hAnsi="Century"/>
          <w:b/>
          <w:bCs/>
          <w:color w:val="000000"/>
          <w:sz w:val="22"/>
          <w:szCs w:val="22"/>
        </w:rPr>
      </w:pPr>
    </w:p>
    <w:p w14:paraId="6A1B0D68" w14:textId="77777777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45E377E3" w14:textId="15B2094A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Nos termos da Lei Federal n° 12.651/2012 ou do instrumento que estabelece a necessidade de medidas compensatórias (licenciamento, termo de ajustamento de conduta, decisão judicial ou outros), o(s) interessado(s) ________________________________, portador(es) do(s) RG n°___________ e do(s) CPF/CNPJ n° _____________, residente(s)/sediado(s) à ___________________, endereço eletrônico _______________, telefone ________________, proprietário(s) do imóvel denominado ________________, situado na localidade de ______________________________, município de ___________________________, registrado no Cartório de Registro de Imóveis da Comarca de _________________________, sob a matrícula de n° _________, Livro _____, com área de ______________ ha, Cadastro do INCRA n° _______, n° do imóvel na Secretaria da Receita Federal do Brasil (NIRF) _________, inserido (___) integralmente / (__) parcialmente nos limites da(o) ______________________________________, Unidade de Conservação federal, pelo que vem, mui respeitosamente, requerer a análise de conformidade processual para:</w:t>
      </w:r>
    </w:p>
    <w:p w14:paraId="2DE7C6F4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427B29DD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EMISSÃO DA CERTIDÃO DE HABILITAÇÃO PARA FINS DE COMPENSAÇÃO DE RESERVA LEGAL OU OUTRAS MEDIDAS COMPENSATÓRIAS.</w:t>
      </w:r>
    </w:p>
    <w:p w14:paraId="0A01DA6E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DOAÇÃO DO IMÓVEL AO ICMBio NA MODALIDADE DE:</w:t>
      </w:r>
    </w:p>
    <w:p w14:paraId="04256AF5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Compensação de Reserva Legal; </w:t>
      </w: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Outra medida compensatória;</w:t>
      </w:r>
    </w:p>
    <w:p w14:paraId="2A84E6F0" w14:textId="77777777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Doação Voluntária; </w:t>
      </w:r>
      <w:proofErr w:type="gram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( )</w:t>
      </w:r>
      <w:proofErr w:type="gram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Doação Antecipada.</w:t>
      </w:r>
    </w:p>
    <w:p w14:paraId="30C3FD37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479C45ED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*No caso de se tratar de doação de imóvel previamente habilitado citar o número do processo no qual foi emitida Certidão de Habilitação:</w:t>
      </w:r>
    </w:p>
    <w:p w14:paraId="51336C8A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Processo SEI n°____________________________________________</w:t>
      </w:r>
    </w:p>
    <w:p w14:paraId="73C20333" w14:textId="77777777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3CD7C300" w14:textId="41E11A7D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Para tanto, segue anexo ao presente, a documentação estabelecida nos termos da Instrução Normativa ICMBio n° 24, de 12 de agosto de 2025.</w:t>
      </w:r>
    </w:p>
    <w:p w14:paraId="73AFFF46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3C609AD0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b/>
          <w:bCs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b/>
          <w:bCs/>
          <w:color w:val="000000" w:themeColor="text1"/>
          <w:sz w:val="22"/>
          <w:szCs w:val="22"/>
        </w:rPr>
        <w:t>Declaro(amos) conhecer que a conclusão do presente procedimento demanda o atendimento do disposto nas regulamentações estaduais e demais dispositivos pertinentes à matéria.</w:t>
      </w:r>
    </w:p>
    <w:p w14:paraId="0E095D67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611FDFCC" w14:textId="77777777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Nestes Termos,</w:t>
      </w:r>
    </w:p>
    <w:p w14:paraId="1414B03D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1ED984D4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Pede(imos) Deferimento,</w:t>
      </w:r>
    </w:p>
    <w:p w14:paraId="19C98C30" w14:textId="77777777" w:rsid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____________________________, _____ de ______________ </w:t>
      </w:r>
      <w:proofErr w:type="spellStart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de</w:t>
      </w:r>
      <w:proofErr w:type="spellEnd"/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 xml:space="preserve"> 20___.</w:t>
      </w:r>
    </w:p>
    <w:p w14:paraId="324E43F4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ascii="Century" w:hAnsi="Century"/>
          <w:color w:val="000000" w:themeColor="text1"/>
          <w:sz w:val="22"/>
          <w:szCs w:val="22"/>
        </w:rPr>
      </w:pPr>
    </w:p>
    <w:p w14:paraId="6413D8BD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center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t>____________________________________________</w:t>
      </w:r>
    </w:p>
    <w:p w14:paraId="686EB98D" w14:textId="77777777" w:rsidR="000526A4" w:rsidRPr="000526A4" w:rsidRDefault="000526A4" w:rsidP="000526A4">
      <w:pPr>
        <w:pStyle w:val="paragraph"/>
        <w:spacing w:before="0" w:beforeAutospacing="0" w:after="0" w:afterAutospacing="0"/>
        <w:ind w:firstLine="705"/>
        <w:jc w:val="center"/>
        <w:rPr>
          <w:rStyle w:val="normaltextrun"/>
          <w:rFonts w:ascii="Century" w:hAnsi="Century"/>
          <w:color w:val="000000" w:themeColor="text1"/>
          <w:sz w:val="22"/>
          <w:szCs w:val="22"/>
        </w:rPr>
      </w:pPr>
      <w:r w:rsidRPr="000526A4">
        <w:rPr>
          <w:rStyle w:val="normaltextrun"/>
          <w:rFonts w:ascii="Century" w:hAnsi="Century"/>
          <w:color w:val="000000" w:themeColor="text1"/>
          <w:sz w:val="22"/>
          <w:szCs w:val="22"/>
        </w:rPr>
        <w:lastRenderedPageBreak/>
        <w:t>Assinatura(s)</w:t>
      </w:r>
    </w:p>
    <w:p w14:paraId="1BE01266" w14:textId="77777777" w:rsidR="000526A4" w:rsidRDefault="000526A4" w:rsidP="000526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7B8EDAC" w14:textId="69D5F19B" w:rsidR="00B96B7D" w:rsidRDefault="00B96B7D" w:rsidP="000526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A7CA48B" w14:textId="77777777" w:rsidR="00A50B15" w:rsidRDefault="00A50B15"/>
    <w:sectPr w:rsidR="00A50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7D"/>
    <w:rsid w:val="00002DD2"/>
    <w:rsid w:val="0001110F"/>
    <w:rsid w:val="00023D16"/>
    <w:rsid w:val="000447D3"/>
    <w:rsid w:val="00045594"/>
    <w:rsid w:val="000526A4"/>
    <w:rsid w:val="000719E3"/>
    <w:rsid w:val="00074B15"/>
    <w:rsid w:val="00127197"/>
    <w:rsid w:val="00151DC4"/>
    <w:rsid w:val="00152CAD"/>
    <w:rsid w:val="00187F57"/>
    <w:rsid w:val="00206322"/>
    <w:rsid w:val="00210B71"/>
    <w:rsid w:val="002407D3"/>
    <w:rsid w:val="00293688"/>
    <w:rsid w:val="002A3F34"/>
    <w:rsid w:val="002D4D0D"/>
    <w:rsid w:val="002D58DB"/>
    <w:rsid w:val="002E0F17"/>
    <w:rsid w:val="00311107"/>
    <w:rsid w:val="00317205"/>
    <w:rsid w:val="00340DE7"/>
    <w:rsid w:val="00385781"/>
    <w:rsid w:val="003C3B57"/>
    <w:rsid w:val="004415A1"/>
    <w:rsid w:val="004A0AE0"/>
    <w:rsid w:val="004A2C80"/>
    <w:rsid w:val="004C40DD"/>
    <w:rsid w:val="0050726F"/>
    <w:rsid w:val="0052316E"/>
    <w:rsid w:val="00567313"/>
    <w:rsid w:val="005A545B"/>
    <w:rsid w:val="00653E03"/>
    <w:rsid w:val="0066178B"/>
    <w:rsid w:val="006A6AC5"/>
    <w:rsid w:val="006B34C9"/>
    <w:rsid w:val="006E5870"/>
    <w:rsid w:val="006F462C"/>
    <w:rsid w:val="00724E5A"/>
    <w:rsid w:val="00724F80"/>
    <w:rsid w:val="00747007"/>
    <w:rsid w:val="007C2F5C"/>
    <w:rsid w:val="00814668"/>
    <w:rsid w:val="00842DEF"/>
    <w:rsid w:val="00853B60"/>
    <w:rsid w:val="00857EF4"/>
    <w:rsid w:val="00865AFD"/>
    <w:rsid w:val="008666AE"/>
    <w:rsid w:val="0090165E"/>
    <w:rsid w:val="00976DF4"/>
    <w:rsid w:val="00995DDE"/>
    <w:rsid w:val="009F5589"/>
    <w:rsid w:val="00A50B15"/>
    <w:rsid w:val="00B11093"/>
    <w:rsid w:val="00B14734"/>
    <w:rsid w:val="00B27498"/>
    <w:rsid w:val="00B3388B"/>
    <w:rsid w:val="00B96B7D"/>
    <w:rsid w:val="00BB17B1"/>
    <w:rsid w:val="00BC7F05"/>
    <w:rsid w:val="00BE4830"/>
    <w:rsid w:val="00C47F9A"/>
    <w:rsid w:val="00C8775D"/>
    <w:rsid w:val="00CA7AAF"/>
    <w:rsid w:val="00CC38E9"/>
    <w:rsid w:val="00D36B0A"/>
    <w:rsid w:val="00DC6F39"/>
    <w:rsid w:val="00DF7B9B"/>
    <w:rsid w:val="00EE21DB"/>
    <w:rsid w:val="00F0279A"/>
    <w:rsid w:val="00F059B8"/>
    <w:rsid w:val="00F22A5B"/>
    <w:rsid w:val="00F267B7"/>
    <w:rsid w:val="00F608E0"/>
    <w:rsid w:val="0223F8F5"/>
    <w:rsid w:val="02CEAB90"/>
    <w:rsid w:val="08755980"/>
    <w:rsid w:val="0A14E60E"/>
    <w:rsid w:val="0A97495D"/>
    <w:rsid w:val="0DFB5719"/>
    <w:rsid w:val="0F5BA81F"/>
    <w:rsid w:val="0FE731C3"/>
    <w:rsid w:val="11A2E093"/>
    <w:rsid w:val="166F564D"/>
    <w:rsid w:val="1C3182FE"/>
    <w:rsid w:val="1C750B70"/>
    <w:rsid w:val="1E5A88EB"/>
    <w:rsid w:val="1F04A89A"/>
    <w:rsid w:val="1FD76480"/>
    <w:rsid w:val="1FE6D54A"/>
    <w:rsid w:val="21A2FFF8"/>
    <w:rsid w:val="239940AE"/>
    <w:rsid w:val="23E3F102"/>
    <w:rsid w:val="24B77FEC"/>
    <w:rsid w:val="265BD6C4"/>
    <w:rsid w:val="2E11E710"/>
    <w:rsid w:val="2F26378E"/>
    <w:rsid w:val="31B107BD"/>
    <w:rsid w:val="31E9E918"/>
    <w:rsid w:val="33E532C5"/>
    <w:rsid w:val="34560262"/>
    <w:rsid w:val="348A3503"/>
    <w:rsid w:val="34C7F22F"/>
    <w:rsid w:val="352010C2"/>
    <w:rsid w:val="35334969"/>
    <w:rsid w:val="36D017F6"/>
    <w:rsid w:val="38883AE3"/>
    <w:rsid w:val="38EF3788"/>
    <w:rsid w:val="38F8A39C"/>
    <w:rsid w:val="3A6DFD15"/>
    <w:rsid w:val="3B03DACC"/>
    <w:rsid w:val="3C7DD8BE"/>
    <w:rsid w:val="3E8F87EF"/>
    <w:rsid w:val="3F793E0B"/>
    <w:rsid w:val="4239ED95"/>
    <w:rsid w:val="4625284F"/>
    <w:rsid w:val="469AB825"/>
    <w:rsid w:val="4754FDA9"/>
    <w:rsid w:val="47CA8AC3"/>
    <w:rsid w:val="4B94C8C5"/>
    <w:rsid w:val="4D7F3955"/>
    <w:rsid w:val="4EA248F9"/>
    <w:rsid w:val="4EFFE2A4"/>
    <w:rsid w:val="4F7210ED"/>
    <w:rsid w:val="52A21DBB"/>
    <w:rsid w:val="52DE7B82"/>
    <w:rsid w:val="59022E58"/>
    <w:rsid w:val="5ABDAF48"/>
    <w:rsid w:val="5D164E00"/>
    <w:rsid w:val="5D1A6079"/>
    <w:rsid w:val="5E53304E"/>
    <w:rsid w:val="5F2B61ED"/>
    <w:rsid w:val="62CD905A"/>
    <w:rsid w:val="6418EA4F"/>
    <w:rsid w:val="65C5C2B1"/>
    <w:rsid w:val="6729AE57"/>
    <w:rsid w:val="6834542B"/>
    <w:rsid w:val="68A4410A"/>
    <w:rsid w:val="6C8C67D7"/>
    <w:rsid w:val="6E0C93EE"/>
    <w:rsid w:val="7348FE75"/>
    <w:rsid w:val="754B440B"/>
    <w:rsid w:val="77182E41"/>
    <w:rsid w:val="7AA13E75"/>
    <w:rsid w:val="7B17B6B7"/>
    <w:rsid w:val="7C81BD99"/>
    <w:rsid w:val="7D11063C"/>
    <w:rsid w:val="7D7DED82"/>
    <w:rsid w:val="7DD42A45"/>
    <w:rsid w:val="7EE62C26"/>
    <w:rsid w:val="7FF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0C25"/>
  <w15:chartTrackingRefBased/>
  <w15:docId w15:val="{EAF86788-42A2-4AC3-97B8-A32EB560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6B7D"/>
  </w:style>
  <w:style w:type="character" w:customStyle="1" w:styleId="eop">
    <w:name w:val="eop"/>
    <w:basedOn w:val="Fontepargpadro"/>
    <w:rsid w:val="00B96B7D"/>
  </w:style>
  <w:style w:type="character" w:customStyle="1" w:styleId="scxw251760363">
    <w:name w:val="scxw251760363"/>
    <w:basedOn w:val="Fontepargpadro"/>
    <w:rsid w:val="00B96B7D"/>
  </w:style>
  <w:style w:type="character" w:customStyle="1" w:styleId="tabchar">
    <w:name w:val="tabchar"/>
    <w:basedOn w:val="Fontepargpadro"/>
    <w:rsid w:val="00B96B7D"/>
  </w:style>
  <w:style w:type="character" w:styleId="Hyperlink">
    <w:name w:val="Hyperlink"/>
    <w:basedOn w:val="Fontepargpadro"/>
    <w:uiPriority w:val="99"/>
    <w:unhideWhenUsed/>
    <w:rsid w:val="00F26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cmbio-n-16-de-13-de-marco-de-2026-693132826" TargetMode="External"/><Relationship Id="rId4" Type="http://schemas.openxmlformats.org/officeDocument/2006/relationships/hyperlink" Target="https://www.in.gov.br/en/web/dou/-/instrucao-normativa-icmbio-n-24-de-12-de-agosto-de-2025-64831191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2194</Characters>
  <Application>Microsoft Office Word</Application>
  <DocSecurity>0</DocSecurity>
  <Lines>32</Lines>
  <Paragraphs>1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Leao Ferreira</dc:creator>
  <cp:keywords/>
  <dc:description/>
  <cp:lastModifiedBy>Vivian Mara Uhlig</cp:lastModifiedBy>
  <cp:revision>10</cp:revision>
  <dcterms:created xsi:type="dcterms:W3CDTF">2025-09-16T12:56:00Z</dcterms:created>
  <dcterms:modified xsi:type="dcterms:W3CDTF">2026-04-08T20:28:00Z</dcterms:modified>
</cp:coreProperties>
</file>