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DFF9" w14:textId="3D108410" w:rsidR="00B8586D" w:rsidRDefault="00FD4335">
      <w:p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4" w:line="360" w:lineRule="auto"/>
        <w:rPr>
          <w:rFonts w:ascii="Calibri" w:eastAsia="Calibri" w:hAnsi="Calibri" w:cs="Calibri"/>
          <w:b/>
          <w:smallCaps/>
          <w:color w:val="000000"/>
          <w:shd w:val="clear" w:color="auto" w:fill="D9D9D9"/>
        </w:rPr>
      </w:pPr>
      <w:r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>SOLICITAÇÃO DE ACESSO DE VISITANTE</w:t>
      </w:r>
      <w:r w:rsidR="001D4573"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>(</w:t>
      </w:r>
      <w:r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>S</w:t>
      </w:r>
      <w:r w:rsidR="001D4573"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>)</w:t>
      </w:r>
      <w:r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 xml:space="preserve"> AO IBC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514"/>
      </w:tblGrid>
      <w:tr w:rsidR="00B8586D" w14:paraId="05B1CD51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592F3191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  <w:t>BASE DE CONHECIMENTO – LEVANTAMENTO</w:t>
            </w:r>
          </w:p>
          <w:p w14:paraId="028D66EA" w14:textId="77777777" w:rsidR="00B8586D" w:rsidRDefault="00B8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B8586D" w14:paraId="4B2BB65A" w14:textId="77777777">
        <w:tc>
          <w:tcPr>
            <w:tcW w:w="1980" w:type="dxa"/>
            <w:vAlign w:val="center"/>
          </w:tcPr>
          <w:p w14:paraId="111E59A6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Representante</w:t>
            </w:r>
          </w:p>
        </w:tc>
        <w:tc>
          <w:tcPr>
            <w:tcW w:w="6514" w:type="dxa"/>
          </w:tcPr>
          <w:p w14:paraId="5461E8C5" w14:textId="132D5439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Marcelo Leite – representante da </w:t>
            </w:r>
            <w:r w:rsidR="00A97C18">
              <w:rPr>
                <w:rFonts w:ascii="Calibri" w:eastAsia="Calibri" w:hAnsi="Calibri" w:cs="Calibri"/>
                <w:color w:val="000000"/>
              </w:rPr>
              <w:t>DSG/DADM</w:t>
            </w:r>
          </w:p>
        </w:tc>
      </w:tr>
      <w:tr w:rsidR="00B8586D" w14:paraId="4CA47607" w14:textId="77777777">
        <w:tc>
          <w:tcPr>
            <w:tcW w:w="1980" w:type="dxa"/>
            <w:vAlign w:val="center"/>
          </w:tcPr>
          <w:p w14:paraId="66FF88B0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</w:t>
            </w:r>
          </w:p>
        </w:tc>
        <w:tc>
          <w:tcPr>
            <w:tcW w:w="6514" w:type="dxa"/>
          </w:tcPr>
          <w:p w14:paraId="742BBAA6" w14:textId="516B2983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Marcelo Leite – representante da </w:t>
            </w:r>
            <w:r w:rsidR="00A97C18">
              <w:rPr>
                <w:rFonts w:ascii="Calibri" w:eastAsia="Calibri" w:hAnsi="Calibri" w:cs="Calibri"/>
                <w:color w:val="000000"/>
              </w:rPr>
              <w:t>DSG/DADM</w:t>
            </w:r>
          </w:p>
        </w:tc>
      </w:tr>
      <w:tr w:rsidR="00B8586D" w14:paraId="3F8E9573" w14:textId="77777777">
        <w:tc>
          <w:tcPr>
            <w:tcW w:w="1980" w:type="dxa"/>
            <w:vAlign w:val="center"/>
          </w:tcPr>
          <w:p w14:paraId="5C50D0F8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Departamento</w:t>
            </w:r>
          </w:p>
        </w:tc>
        <w:tc>
          <w:tcPr>
            <w:tcW w:w="6514" w:type="dxa"/>
          </w:tcPr>
          <w:p w14:paraId="236D9F8C" w14:textId="1D4B7C7A" w:rsidR="00B8586D" w:rsidRDefault="00A6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 w:rsidR="00FD4335">
              <w:rPr>
                <w:rFonts w:ascii="Calibri" w:eastAsia="Calibri" w:hAnsi="Calibri" w:cs="Calibri"/>
                <w:color w:val="000000"/>
              </w:rPr>
              <w:t>epartamento de Administação</w:t>
            </w:r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r w:rsidR="00342F40">
              <w:rPr>
                <w:rFonts w:ascii="Calibri" w:eastAsia="Calibri" w:hAnsi="Calibri" w:cs="Calibri"/>
                <w:color w:val="000000"/>
              </w:rPr>
              <w:t>D</w:t>
            </w:r>
            <w:r w:rsidR="00A97C18">
              <w:rPr>
                <w:rFonts w:ascii="Calibri" w:eastAsia="Calibri" w:hAnsi="Calibri" w:cs="Calibri"/>
                <w:color w:val="000000"/>
              </w:rPr>
              <w:t>ADM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B8586D" w14:paraId="0411A404" w14:textId="77777777">
        <w:tc>
          <w:tcPr>
            <w:tcW w:w="1980" w:type="dxa"/>
            <w:vAlign w:val="center"/>
          </w:tcPr>
          <w:p w14:paraId="5C084394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Processo</w:t>
            </w:r>
          </w:p>
        </w:tc>
        <w:tc>
          <w:tcPr>
            <w:tcW w:w="6514" w:type="dxa"/>
          </w:tcPr>
          <w:p w14:paraId="441566B2" w14:textId="16C7F0C4" w:rsidR="00B8586D" w:rsidRDefault="00FD4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>Solicitação de acesso de visitante(s) ao IBC</w:t>
            </w:r>
          </w:p>
        </w:tc>
      </w:tr>
      <w:tr w:rsidR="00B8586D" w14:paraId="4391C418" w14:textId="77777777">
        <w:tc>
          <w:tcPr>
            <w:tcW w:w="1980" w:type="dxa"/>
            <w:vAlign w:val="center"/>
          </w:tcPr>
          <w:p w14:paraId="33CDEFC4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Macroprocesso</w:t>
            </w:r>
          </w:p>
        </w:tc>
        <w:tc>
          <w:tcPr>
            <w:tcW w:w="6514" w:type="dxa"/>
          </w:tcPr>
          <w:p w14:paraId="7E740286" w14:textId="114C214F" w:rsidR="00B8586D" w:rsidRDefault="00B13EB7" w:rsidP="00B13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B13EB7">
              <w:rPr>
                <w:rFonts w:ascii="Calibri" w:eastAsia="Calibri" w:hAnsi="Calibri" w:cs="Calibri"/>
                <w:color w:val="000000"/>
              </w:rPr>
              <w:t xml:space="preserve">Gestão do </w:t>
            </w:r>
            <w:r w:rsidR="004B6029">
              <w:rPr>
                <w:rFonts w:ascii="Calibri" w:eastAsia="Calibri" w:hAnsi="Calibri" w:cs="Calibri"/>
                <w:color w:val="000000"/>
              </w:rPr>
              <w:t>a</w:t>
            </w:r>
            <w:r w:rsidRPr="00B13EB7">
              <w:rPr>
                <w:rFonts w:ascii="Calibri" w:eastAsia="Calibri" w:hAnsi="Calibri" w:cs="Calibri"/>
                <w:color w:val="000000"/>
              </w:rPr>
              <w:t xml:space="preserve">cesso às </w:t>
            </w:r>
            <w:r w:rsidR="004B6029">
              <w:rPr>
                <w:rFonts w:ascii="Calibri" w:eastAsia="Calibri" w:hAnsi="Calibri" w:cs="Calibri"/>
                <w:color w:val="000000"/>
              </w:rPr>
              <w:t>d</w:t>
            </w:r>
            <w:r w:rsidRPr="00B13EB7">
              <w:rPr>
                <w:rFonts w:ascii="Calibri" w:eastAsia="Calibri" w:hAnsi="Calibri" w:cs="Calibri"/>
                <w:color w:val="000000"/>
              </w:rPr>
              <w:t>ependências do Instituto Benjamin Constant</w:t>
            </w:r>
          </w:p>
        </w:tc>
      </w:tr>
      <w:tr w:rsidR="00B8586D" w14:paraId="3AAE4E46" w14:textId="77777777">
        <w:tc>
          <w:tcPr>
            <w:tcW w:w="1980" w:type="dxa"/>
            <w:vAlign w:val="center"/>
          </w:tcPr>
          <w:p w14:paraId="4A1C9879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Interface com outro processo</w:t>
            </w:r>
          </w:p>
        </w:tc>
        <w:tc>
          <w:tcPr>
            <w:tcW w:w="6514" w:type="dxa"/>
            <w:vAlign w:val="center"/>
          </w:tcPr>
          <w:p w14:paraId="414622B5" w14:textId="1B0F8C39" w:rsidR="001A2F44" w:rsidRDefault="00242BB2" w:rsidP="00236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Não se aplica</w:t>
            </w:r>
          </w:p>
        </w:tc>
      </w:tr>
      <w:tr w:rsidR="00B8586D" w14:paraId="49015F2C" w14:textId="77777777">
        <w:tc>
          <w:tcPr>
            <w:tcW w:w="1980" w:type="dxa"/>
            <w:vMerge w:val="restart"/>
            <w:vAlign w:val="center"/>
          </w:tcPr>
          <w:p w14:paraId="4BFDA913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Limites do processo</w:t>
            </w:r>
          </w:p>
        </w:tc>
        <w:tc>
          <w:tcPr>
            <w:tcW w:w="6514" w:type="dxa"/>
          </w:tcPr>
          <w:p w14:paraId="5D4C08FB" w14:textId="012C77EB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Início: </w:t>
            </w:r>
            <w:r w:rsidR="00FD4335">
              <w:rPr>
                <w:rFonts w:ascii="Calibri" w:eastAsia="Calibri" w:hAnsi="Calibri" w:cs="Calibri"/>
                <w:color w:val="000000"/>
              </w:rPr>
              <w:t>setor requisitante</w:t>
            </w:r>
          </w:p>
        </w:tc>
      </w:tr>
      <w:tr w:rsidR="00B8586D" w14:paraId="75FB671F" w14:textId="77777777">
        <w:tc>
          <w:tcPr>
            <w:tcW w:w="1980" w:type="dxa"/>
            <w:vMerge/>
            <w:vAlign w:val="center"/>
          </w:tcPr>
          <w:p w14:paraId="54ACFA98" w14:textId="77777777" w:rsidR="00B8586D" w:rsidRDefault="00B8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14" w:type="dxa"/>
          </w:tcPr>
          <w:p w14:paraId="0B166A5F" w14:textId="208BD93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Término: </w:t>
            </w:r>
            <w:r w:rsidR="00FD4335">
              <w:rPr>
                <w:rFonts w:ascii="Calibri" w:eastAsia="Calibri" w:hAnsi="Calibri" w:cs="Calibri"/>
                <w:color w:val="000000"/>
              </w:rPr>
              <w:t>setor requisitante</w:t>
            </w:r>
          </w:p>
        </w:tc>
      </w:tr>
      <w:tr w:rsidR="00B8586D" w14:paraId="06749004" w14:textId="77777777">
        <w:tc>
          <w:tcPr>
            <w:tcW w:w="1980" w:type="dxa"/>
            <w:vAlign w:val="center"/>
          </w:tcPr>
          <w:p w14:paraId="48AFFB56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Beneficiado</w:t>
            </w:r>
          </w:p>
        </w:tc>
        <w:tc>
          <w:tcPr>
            <w:tcW w:w="6514" w:type="dxa"/>
          </w:tcPr>
          <w:p w14:paraId="2249DB73" w14:textId="7475C43E" w:rsidR="00B8586D" w:rsidRDefault="00FD4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Equipe gestora </w:t>
            </w:r>
          </w:p>
        </w:tc>
      </w:tr>
      <w:tr w:rsidR="00B8586D" w14:paraId="38097B17" w14:textId="77777777" w:rsidTr="00242BB2">
        <w:tc>
          <w:tcPr>
            <w:tcW w:w="1980" w:type="dxa"/>
            <w:vAlign w:val="center"/>
          </w:tcPr>
          <w:p w14:paraId="40C596A3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Exceções (fora do fluxo normal)</w:t>
            </w:r>
          </w:p>
        </w:tc>
        <w:tc>
          <w:tcPr>
            <w:tcW w:w="6514" w:type="dxa"/>
            <w:vAlign w:val="center"/>
          </w:tcPr>
          <w:p w14:paraId="3BC963E1" w14:textId="00CE40AC" w:rsidR="00B8586D" w:rsidRPr="00242BB2" w:rsidRDefault="0024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42BB2">
              <w:rPr>
                <w:rFonts w:ascii="Calibri" w:eastAsia="Calibri" w:hAnsi="Calibri" w:cs="Calibri"/>
                <w:color w:val="000000"/>
              </w:rPr>
              <w:t>Não se aplica</w:t>
            </w:r>
          </w:p>
        </w:tc>
      </w:tr>
      <w:tr w:rsidR="00B8586D" w14:paraId="116421FF" w14:textId="77777777">
        <w:tc>
          <w:tcPr>
            <w:tcW w:w="1980" w:type="dxa"/>
            <w:vAlign w:val="center"/>
          </w:tcPr>
          <w:p w14:paraId="5EC3FEB7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6514" w:type="dxa"/>
          </w:tcPr>
          <w:p w14:paraId="200F98C3" w14:textId="56F607AC" w:rsidR="00B8586D" w:rsidRDefault="00B13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B13EB7">
              <w:rPr>
                <w:rFonts w:ascii="Calibri" w:eastAsia="Calibri" w:hAnsi="Calibri" w:cs="Calibri"/>
                <w:color w:val="000000"/>
              </w:rPr>
              <w:t>O macroprocesso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13EB7">
              <w:rPr>
                <w:rFonts w:ascii="Calibri" w:eastAsia="Calibri" w:hAnsi="Calibri" w:cs="Calibri"/>
                <w:color w:val="000000"/>
              </w:rPr>
              <w:t>compreende o conjunto de atividades administrativas e operacionais destinadas a planejar, autorizar, controlar e registrar a entrada, a permanência e a saída de pessoas nas dependências do IBC, com o objetivo de assegurar a segurança institucional, a proteção do ambiente escolar e administrativo, a rastreabilidade das autorizações e a observância dos normativos internos.</w:t>
            </w:r>
          </w:p>
        </w:tc>
      </w:tr>
    </w:tbl>
    <w:p w14:paraId="4978ED1B" w14:textId="77777777" w:rsidR="00B8586D" w:rsidRDefault="00B858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3E0682E6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3F2D0ADC" w14:textId="01057646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ATIVIDADES / TAREFAS </w:t>
            </w:r>
            <w:r w:rsidR="00C86547"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C86547" w:rsidRPr="00C86547">
              <w:rPr>
                <w:rFonts w:ascii="Calibri" w:eastAsia="Calibri" w:hAnsi="Calibri" w:cs="Calibri"/>
                <w:b/>
                <w:color w:val="000000"/>
              </w:rPr>
              <w:t>Fluxo de Controle de Acesso de Visitantes ao IBC</w:t>
            </w:r>
            <w:r w:rsidR="00C86547"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B8586D" w14:paraId="3EAE1F5E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1AD87764" w14:textId="77777777" w:rsidR="00B8586D" w:rsidRPr="005208A1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208A1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790" w:type="dxa"/>
            <w:vAlign w:val="center"/>
          </w:tcPr>
          <w:p w14:paraId="63AFCB19" w14:textId="77777777" w:rsidR="00B8586D" w:rsidRPr="007B2A14" w:rsidRDefault="00C86547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7B2A1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Início do Processo – Setor Requisitante</w:t>
            </w:r>
          </w:p>
          <w:p w14:paraId="7D68F5E4" w14:textId="735E840B" w:rsidR="00C86547" w:rsidRPr="00D11DE8" w:rsidRDefault="00C8654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C86547">
              <w:rPr>
                <w:rFonts w:ascii="Calibri" w:eastAsia="Calibri" w:hAnsi="Calibri" w:cs="Calibri"/>
                <w:iCs/>
                <w:color w:val="000000"/>
              </w:rPr>
              <w:t>O processo tem início no setor requisitante, que identifica a necessidade de acesso de visitante(s) às dependências do IBC.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</w:t>
            </w:r>
            <w:r w:rsidRPr="00C86547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É obrigatória a indicação de servidor responsável pela visita.</w:t>
            </w:r>
          </w:p>
        </w:tc>
      </w:tr>
      <w:tr w:rsidR="00BB138B" w14:paraId="1EDEF860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61CDC15D" w14:textId="25BC3916" w:rsidR="00BB138B" w:rsidRPr="005208A1" w:rsidRDefault="00BB1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208A1"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790" w:type="dxa"/>
            <w:vAlign w:val="center"/>
          </w:tcPr>
          <w:p w14:paraId="27EEBE5D" w14:textId="77777777" w:rsidR="00BB138B" w:rsidRPr="007B2A14" w:rsidRDefault="00C86547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7B2A1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Abertura do Processo no SUAP</w:t>
            </w:r>
          </w:p>
          <w:p w14:paraId="2D7FE773" w14:textId="55849ED5" w:rsidR="00C86547" w:rsidRPr="00C86547" w:rsidRDefault="00C86547" w:rsidP="00C8654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C86547">
              <w:rPr>
                <w:rFonts w:ascii="Calibri" w:eastAsia="Calibri" w:hAnsi="Calibri" w:cs="Calibri"/>
                <w:iCs/>
                <w:color w:val="000000"/>
              </w:rPr>
              <w:t>O setor requisitante deverá abrir processo administrativo no SUAP, do tipo: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</w:t>
            </w:r>
            <w:r w:rsidRPr="00C86547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“Segurança Institucional: Controle de Acesso/Portaria”.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 xml:space="preserve"> 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O processo será único por ano, podendo contemplar uma ou mais solicitações, conforme a recorrência das visitas.</w:t>
            </w:r>
          </w:p>
        </w:tc>
      </w:tr>
      <w:tr w:rsidR="00BB138B" w14:paraId="11FD3977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28733875" w14:textId="7ED68256" w:rsidR="00BB138B" w:rsidRPr="005208A1" w:rsidRDefault="00BB1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208A1"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790" w:type="dxa"/>
            <w:vAlign w:val="center"/>
          </w:tcPr>
          <w:p w14:paraId="655DE3C7" w14:textId="77777777" w:rsidR="00BB138B" w:rsidRPr="007B2A14" w:rsidRDefault="00C86547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7B2A1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Instrução do Processo</w:t>
            </w:r>
          </w:p>
          <w:p w14:paraId="6749B6F8" w14:textId="132039CB" w:rsidR="00C86547" w:rsidRDefault="00C8654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C86547">
              <w:rPr>
                <w:rFonts w:ascii="Calibri" w:eastAsia="Calibri" w:hAnsi="Calibri" w:cs="Calibri"/>
                <w:iCs/>
                <w:color w:val="000000"/>
              </w:rPr>
              <w:t>O setor requisitante deverá anexar ofício contendo, no mínimo: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Nome completo do visitante;</w:t>
            </w:r>
            <w:r>
              <w:t xml:space="preserve"> </w:t>
            </w:r>
            <w:r>
              <w:rPr>
                <w:rFonts w:ascii="Calibri" w:eastAsia="Calibri" w:hAnsi="Calibri" w:cs="Calibri"/>
                <w:iCs/>
                <w:color w:val="000000"/>
              </w:rPr>
              <w:t>indicação do número do CPF ou RG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d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ata e horário da visita;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l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ocal/setor a ser visitado;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</w:t>
            </w:r>
            <w:r w:rsidRPr="00C86547">
              <w:rPr>
                <w:rFonts w:ascii="Calibri" w:eastAsia="Calibri" w:hAnsi="Calibri" w:cs="Calibri"/>
                <w:iCs/>
                <w:color w:val="000000"/>
              </w:rPr>
              <w:t>Nome do servidor responsável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pela entrada do visitante</w:t>
            </w:r>
            <w:r w:rsidR="004F1C7E">
              <w:rPr>
                <w:rFonts w:ascii="Calibri" w:eastAsia="Calibri" w:hAnsi="Calibri" w:cs="Calibri"/>
                <w:iCs/>
                <w:color w:val="000000"/>
              </w:rPr>
              <w:t xml:space="preserve">. </w:t>
            </w:r>
            <w:r w:rsidR="007C54D4">
              <w:rPr>
                <w:rFonts w:ascii="Calibri" w:eastAsia="Calibri" w:hAnsi="Calibri" w:cs="Calibri"/>
                <w:iCs/>
                <w:color w:val="000000"/>
              </w:rPr>
              <w:t>O</w:t>
            </w:r>
            <w:r w:rsidR="007C54D4" w:rsidRPr="007C54D4">
              <w:rPr>
                <w:rFonts w:ascii="Calibri" w:eastAsia="Calibri" w:hAnsi="Calibri" w:cs="Calibri"/>
                <w:iCs/>
                <w:color w:val="000000"/>
              </w:rPr>
              <w:t xml:space="preserve"> processo será encaminhado à Divisão de Serviços Gerais (DSG).</w:t>
            </w:r>
          </w:p>
        </w:tc>
      </w:tr>
      <w:tr w:rsidR="00BB138B" w14:paraId="767FF3E3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2A38FCF0" w14:textId="7E5C9C42" w:rsidR="00BB138B" w:rsidRPr="005208A1" w:rsidRDefault="00EB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208A1"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790" w:type="dxa"/>
            <w:vAlign w:val="center"/>
          </w:tcPr>
          <w:p w14:paraId="1A1F79B0" w14:textId="77777777" w:rsidR="00BB138B" w:rsidRPr="007B2A14" w:rsidRDefault="007C54D4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7B2A1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Análise e Comunicação pela DSG</w:t>
            </w:r>
          </w:p>
          <w:p w14:paraId="674C55AE" w14:textId="3292DD4D" w:rsidR="007C54D4" w:rsidRDefault="007B2A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7B2A14">
              <w:rPr>
                <w:rFonts w:ascii="Calibri" w:eastAsia="Calibri" w:hAnsi="Calibri" w:cs="Calibri"/>
                <w:iCs/>
                <w:color w:val="000000"/>
              </w:rPr>
              <w:t>A DSG receberá o processo, realizará a análise das informações e: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c</w:t>
            </w:r>
            <w:r w:rsidRPr="007B2A14">
              <w:rPr>
                <w:rFonts w:ascii="Calibri" w:eastAsia="Calibri" w:hAnsi="Calibri" w:cs="Calibri"/>
                <w:iCs/>
                <w:color w:val="000000"/>
              </w:rPr>
              <w:t>omunicará previamente às portarias os dados do(s) visitante(s);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v</w:t>
            </w:r>
            <w:r w:rsidRPr="007B2A14">
              <w:rPr>
                <w:rFonts w:ascii="Calibri" w:eastAsia="Calibri" w:hAnsi="Calibri" w:cs="Calibri"/>
                <w:iCs/>
                <w:color w:val="000000"/>
              </w:rPr>
              <w:t>alidará o acesso conforme a Portaria IBC n</w:t>
            </w:r>
            <w:r>
              <w:rPr>
                <w:rFonts w:ascii="Calibri" w:eastAsia="Calibri" w:hAnsi="Calibri" w:cs="Calibri"/>
                <w:iCs/>
                <w:color w:val="000000"/>
              </w:rPr>
              <w:t>.</w:t>
            </w:r>
            <w:r w:rsidRPr="007B2A14">
              <w:rPr>
                <w:rFonts w:ascii="Calibri" w:eastAsia="Calibri" w:hAnsi="Calibri" w:cs="Calibri"/>
                <w:iCs/>
                <w:color w:val="000000"/>
              </w:rPr>
              <w:t>º 76/2023.</w:t>
            </w:r>
          </w:p>
        </w:tc>
      </w:tr>
      <w:tr w:rsidR="007C54D4" w14:paraId="0AB10C1A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03832587" w14:textId="5176EA41" w:rsidR="007C54D4" w:rsidRPr="005208A1" w:rsidRDefault="000E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790" w:type="dxa"/>
            <w:vAlign w:val="center"/>
          </w:tcPr>
          <w:p w14:paraId="1A70E11F" w14:textId="77777777" w:rsidR="007C54D4" w:rsidRPr="000E0217" w:rsidRDefault="000E0217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0E0217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Acesso do Visitante ao IBC (Execução Operacional)</w:t>
            </w:r>
          </w:p>
          <w:p w14:paraId="75FFE100" w14:textId="77777777" w:rsidR="000E0217" w:rsidRDefault="000E021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0E0217">
              <w:rPr>
                <w:rFonts w:ascii="Calibri" w:eastAsia="Calibri" w:hAnsi="Calibri" w:cs="Calibri"/>
                <w:iCs/>
                <w:color w:val="000000"/>
              </w:rPr>
              <w:t xml:space="preserve">O visitante deverá acessar o IBC pela Portaria </w:t>
            </w:r>
            <w:r>
              <w:rPr>
                <w:rFonts w:ascii="Calibri" w:eastAsia="Calibri" w:hAnsi="Calibri" w:cs="Calibri"/>
                <w:iCs/>
                <w:color w:val="000000"/>
              </w:rPr>
              <w:t>“A” ou “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>B</w:t>
            </w:r>
            <w:r>
              <w:rPr>
                <w:rFonts w:ascii="Calibri" w:eastAsia="Calibri" w:hAnsi="Calibri" w:cs="Calibri"/>
                <w:iCs/>
                <w:color w:val="000000"/>
              </w:rPr>
              <w:t>”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  <w:p w14:paraId="59436CC8" w14:textId="3A7AFF8D" w:rsidR="000E0217" w:rsidRDefault="000E021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0E0217">
              <w:rPr>
                <w:rFonts w:ascii="Calibri" w:eastAsia="Calibri" w:hAnsi="Calibri" w:cs="Calibri"/>
                <w:iCs/>
                <w:color w:val="000000"/>
              </w:rPr>
              <w:t>Na portaria, o porteiro deverá: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c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 xml:space="preserve">onferir 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as informações; se houver necessidade, </w:t>
            </w:r>
            <w:r w:rsidR="00153CA4">
              <w:rPr>
                <w:rFonts w:ascii="Calibri" w:eastAsia="Calibri" w:hAnsi="Calibri" w:cs="Calibri"/>
                <w:iCs/>
                <w:color w:val="000000"/>
              </w:rPr>
              <w:t>r</w:t>
            </w:r>
            <w:r w:rsidR="00153CA4" w:rsidRPr="00153CA4">
              <w:rPr>
                <w:rFonts w:ascii="Calibri" w:eastAsia="Calibri" w:hAnsi="Calibri" w:cs="Calibri"/>
                <w:iCs/>
                <w:color w:val="000000"/>
              </w:rPr>
              <w:t>egistrar os dados no Formulário de Entrada e Saída de Visitantes;</w:t>
            </w:r>
            <w:r w:rsidR="00153CA4">
              <w:rPr>
                <w:rFonts w:ascii="Calibri" w:eastAsia="Calibri" w:hAnsi="Calibri" w:cs="Calibri"/>
                <w:iCs/>
                <w:color w:val="000000"/>
              </w:rPr>
              <w:t xml:space="preserve"> a</w:t>
            </w:r>
            <w:r w:rsidR="00153CA4" w:rsidRPr="00153CA4">
              <w:rPr>
                <w:rFonts w:ascii="Calibri" w:eastAsia="Calibri" w:hAnsi="Calibri" w:cs="Calibri"/>
                <w:iCs/>
                <w:color w:val="000000"/>
              </w:rPr>
              <w:t>notar, quando aplicável, a placa do veícul</w:t>
            </w:r>
            <w:r w:rsidR="00153CA4">
              <w:rPr>
                <w:rFonts w:ascii="Calibri" w:eastAsia="Calibri" w:hAnsi="Calibri" w:cs="Calibri"/>
                <w:iCs/>
                <w:color w:val="000000"/>
              </w:rPr>
              <w:t xml:space="preserve">o. </w:t>
            </w:r>
          </w:p>
        </w:tc>
      </w:tr>
      <w:tr w:rsidR="007C54D4" w14:paraId="56754792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5C18B597" w14:textId="1BAAA449" w:rsidR="007C54D4" w:rsidRPr="005208A1" w:rsidRDefault="001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790" w:type="dxa"/>
            <w:vAlign w:val="center"/>
          </w:tcPr>
          <w:p w14:paraId="1681428B" w14:textId="77777777" w:rsidR="007C54D4" w:rsidRPr="00CA1364" w:rsidRDefault="00CA1364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CA136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Permanência nas Dependências</w:t>
            </w:r>
          </w:p>
          <w:p w14:paraId="3AFB5193" w14:textId="72404BE5" w:rsidR="00CA1364" w:rsidRDefault="00CA136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CA1364">
              <w:rPr>
                <w:rFonts w:ascii="Calibri" w:eastAsia="Calibri" w:hAnsi="Calibri" w:cs="Calibri"/>
                <w:iCs/>
                <w:color w:val="000000"/>
              </w:rPr>
              <w:t>O visitante deverá: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p</w:t>
            </w:r>
            <w:r w:rsidRPr="00CA1364">
              <w:rPr>
                <w:rFonts w:ascii="Calibri" w:eastAsia="Calibri" w:hAnsi="Calibri" w:cs="Calibri"/>
                <w:iCs/>
                <w:color w:val="000000"/>
              </w:rPr>
              <w:t>ermanecer apenas no setor informado no processo;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e</w:t>
            </w:r>
            <w:r w:rsidRPr="00CA1364">
              <w:rPr>
                <w:rFonts w:ascii="Calibri" w:eastAsia="Calibri" w:hAnsi="Calibri" w:cs="Calibri"/>
                <w:iCs/>
                <w:color w:val="000000"/>
              </w:rPr>
              <w:t xml:space="preserve">star </w:t>
            </w:r>
            <w:r w:rsidRPr="00CA1364">
              <w:rPr>
                <w:rFonts w:ascii="Calibri" w:eastAsia="Calibri" w:hAnsi="Calibri" w:cs="Calibri"/>
                <w:iCs/>
                <w:color w:val="000000"/>
              </w:rPr>
              <w:lastRenderedPageBreak/>
              <w:t>acompanhado ou sob responsabilidade do servidor indicado;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o</w:t>
            </w:r>
            <w:r w:rsidRPr="00CA1364">
              <w:rPr>
                <w:rFonts w:ascii="Calibri" w:eastAsia="Calibri" w:hAnsi="Calibri" w:cs="Calibri"/>
                <w:iCs/>
                <w:color w:val="000000"/>
              </w:rPr>
              <w:t>bservar as normas internas de circulação e segurança institucional.</w:t>
            </w:r>
          </w:p>
        </w:tc>
      </w:tr>
      <w:tr w:rsidR="007C54D4" w14:paraId="4E01A9E1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6B2A50C3" w14:textId="27AC86F4" w:rsidR="007C54D4" w:rsidRPr="005208A1" w:rsidRDefault="00CA1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7790" w:type="dxa"/>
            <w:vAlign w:val="center"/>
          </w:tcPr>
          <w:p w14:paraId="021E7F9A" w14:textId="77777777" w:rsidR="007C54D4" w:rsidRPr="00113D72" w:rsidRDefault="00113D72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113D72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Saída do Visitante</w:t>
            </w:r>
          </w:p>
          <w:p w14:paraId="7D487EBD" w14:textId="77777777" w:rsidR="00113D72" w:rsidRDefault="00113D72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A saída ocorrerá pela 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 xml:space="preserve">Portaria </w:t>
            </w:r>
            <w:r>
              <w:rPr>
                <w:rFonts w:ascii="Calibri" w:eastAsia="Calibri" w:hAnsi="Calibri" w:cs="Calibri"/>
                <w:iCs/>
                <w:color w:val="000000"/>
              </w:rPr>
              <w:t>“A” ou “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>B</w:t>
            </w:r>
            <w:r>
              <w:rPr>
                <w:rFonts w:ascii="Calibri" w:eastAsia="Calibri" w:hAnsi="Calibri" w:cs="Calibri"/>
                <w:iCs/>
                <w:color w:val="000000"/>
              </w:rPr>
              <w:t>”</w:t>
            </w:r>
            <w:r w:rsidRPr="000E0217"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  <w:p w14:paraId="51694179" w14:textId="617E784B" w:rsidR="00113D72" w:rsidRDefault="00113D72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Se houver necessidade, registrar o horário de saída no formulário correspondente.</w:t>
            </w:r>
          </w:p>
        </w:tc>
      </w:tr>
      <w:tr w:rsidR="00113D72" w14:paraId="1031A506" w14:textId="77777777" w:rsidTr="0023676E">
        <w:trPr>
          <w:trHeight w:val="358"/>
        </w:trPr>
        <w:tc>
          <w:tcPr>
            <w:tcW w:w="704" w:type="dxa"/>
            <w:vAlign w:val="center"/>
          </w:tcPr>
          <w:p w14:paraId="1F2F2030" w14:textId="5B9480C3" w:rsidR="00113D72" w:rsidRDefault="00113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790" w:type="dxa"/>
            <w:vAlign w:val="center"/>
          </w:tcPr>
          <w:p w14:paraId="30337F8E" w14:textId="77777777" w:rsidR="00113D72" w:rsidRDefault="00113D72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113D72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Encerramento do Processo</w:t>
            </w:r>
          </w:p>
          <w:p w14:paraId="6DEFC5F3" w14:textId="77777777" w:rsidR="00113D72" w:rsidRDefault="00113D72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113D72">
              <w:rPr>
                <w:rFonts w:ascii="Calibri" w:eastAsia="Calibri" w:hAnsi="Calibri" w:cs="Calibri"/>
                <w:iCs/>
                <w:color w:val="000000"/>
              </w:rPr>
              <w:t>Os formulários físicos de controle deverão ser encaminhados à DSG.</w:t>
            </w:r>
          </w:p>
          <w:p w14:paraId="6DF2A1AF" w14:textId="4862843E" w:rsidR="00113D72" w:rsidRPr="00113D72" w:rsidRDefault="00113D72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113D72">
              <w:rPr>
                <w:rFonts w:ascii="Calibri" w:eastAsia="Calibri" w:hAnsi="Calibri" w:cs="Calibri"/>
                <w:iCs/>
                <w:color w:val="000000"/>
              </w:rPr>
              <w:t>O processo administrativo permanecerá ativo para novas tramitações, quando houver necessidade, ou será encerrado conforme orientação do setor requisitante.</w:t>
            </w:r>
          </w:p>
        </w:tc>
      </w:tr>
    </w:tbl>
    <w:p w14:paraId="6E6914B9" w14:textId="77777777" w:rsidR="00B8586D" w:rsidRDefault="00B858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31F095EE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504CEB6D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DOCUMENTOS NECESSÁRIOS</w:t>
            </w:r>
          </w:p>
        </w:tc>
      </w:tr>
      <w:tr w:rsidR="00B8586D" w14:paraId="2F46D824" w14:textId="77777777">
        <w:tc>
          <w:tcPr>
            <w:tcW w:w="704" w:type="dxa"/>
            <w:vAlign w:val="center"/>
          </w:tcPr>
          <w:p w14:paraId="75B4A36C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2DEE6FE1" w14:textId="0102FBFE" w:rsidR="00B8586D" w:rsidRDefault="00EC1D09">
            <w:pPr>
              <w:jc w:val="both"/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Ofício </w:t>
            </w:r>
            <w:r w:rsidR="00683DF0">
              <w:rPr>
                <w:rFonts w:ascii="Calibri" w:eastAsia="Calibri" w:hAnsi="Calibri" w:cs="Calibri"/>
                <w:iCs/>
                <w:color w:val="000000"/>
              </w:rPr>
              <w:t xml:space="preserve">do setor requisitante </w:t>
            </w:r>
            <w:r>
              <w:rPr>
                <w:rFonts w:ascii="Calibri" w:eastAsia="Calibri" w:hAnsi="Calibri" w:cs="Calibri"/>
                <w:iCs/>
                <w:color w:val="000000"/>
              </w:rPr>
              <w:t>com as informações necessárias ao acesso do(s) visitante(s)</w:t>
            </w:r>
            <w:r w:rsidR="00D614A1"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</w:tc>
      </w:tr>
    </w:tbl>
    <w:p w14:paraId="53BC1C8A" w14:textId="77777777" w:rsidR="00B8586D" w:rsidRDefault="00B858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2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  <w:gridCol w:w="6"/>
      </w:tblGrid>
      <w:tr w:rsidR="00EF64A0" w14:paraId="18EE4119" w14:textId="77777777" w:rsidTr="00260332">
        <w:trPr>
          <w:gridAfter w:val="1"/>
          <w:wAfter w:w="6" w:type="dxa"/>
          <w:trHeight w:val="273"/>
        </w:trPr>
        <w:tc>
          <w:tcPr>
            <w:tcW w:w="8494" w:type="dxa"/>
            <w:shd w:val="clear" w:color="auto" w:fill="DEEBF6"/>
            <w:vAlign w:val="center"/>
          </w:tcPr>
          <w:p w14:paraId="79C1BFF6" w14:textId="77777777" w:rsidR="00EF64A0" w:rsidRDefault="00EF64A0" w:rsidP="00157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ORIENTAÇÕES E PROCEDIMENTOS</w:t>
            </w:r>
          </w:p>
        </w:tc>
      </w:tr>
      <w:tr w:rsidR="00EF64A0" w14:paraId="793F93A6" w14:textId="77777777" w:rsidTr="001D4573">
        <w:trPr>
          <w:trHeight w:val="1089"/>
        </w:trPr>
        <w:tc>
          <w:tcPr>
            <w:tcW w:w="8500" w:type="dxa"/>
            <w:gridSpan w:val="2"/>
            <w:vAlign w:val="center"/>
          </w:tcPr>
          <w:p w14:paraId="6F679978" w14:textId="77777777" w:rsidR="00683DF0" w:rsidRPr="00683DF0" w:rsidRDefault="00A45119" w:rsidP="00683DF0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- </w:t>
            </w:r>
            <w:r w:rsidR="00683DF0" w:rsidRPr="00683DF0">
              <w:rPr>
                <w:rFonts w:ascii="Calibri" w:eastAsia="Calibri" w:hAnsi="Calibri" w:cs="Calibri"/>
                <w:iCs/>
                <w:color w:val="000000"/>
              </w:rPr>
              <w:t>O setor requisitante deverá autuar processo administrativo no SUAP, de caráter único por exercício, destinado à solicitação de acesso de visitante(s) às dependências do Instituto Benjamin Constant, utilizando a tipologia:</w:t>
            </w:r>
          </w:p>
          <w:p w14:paraId="7477954A" w14:textId="77777777" w:rsidR="00683DF0" w:rsidRPr="00683DF0" w:rsidRDefault="00683DF0" w:rsidP="00683DF0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683DF0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“Segurança Institucional: Controle de Acesso/Portaria”</w:t>
            </w:r>
            <w:r w:rsidRPr="00683DF0">
              <w:rPr>
                <w:rFonts w:ascii="Calibri" w:eastAsia="Calibri" w:hAnsi="Calibri" w:cs="Calibri"/>
                <w:iCs/>
                <w:color w:val="000000"/>
              </w:rPr>
              <w:t>, com identificação clara do objeto, a exemplo de:</w:t>
            </w:r>
          </w:p>
          <w:p w14:paraId="49352063" w14:textId="2AA72C19" w:rsidR="00EF64A0" w:rsidRPr="00683DF0" w:rsidRDefault="00683DF0" w:rsidP="00683DF0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</w:rPr>
            </w:pPr>
            <w:r w:rsidRPr="00683DF0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“Acesso de visitante(s) ao IBC – Exercício 20XX – [nome do setor requisitante]”.</w:t>
            </w:r>
          </w:p>
          <w:p w14:paraId="5971AE7B" w14:textId="459E27B0" w:rsidR="00EB3654" w:rsidRPr="00EB3654" w:rsidRDefault="00A45119" w:rsidP="00683DF0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- </w:t>
            </w:r>
            <w:r w:rsidR="00683DF0" w:rsidRPr="00683DF0">
              <w:rPr>
                <w:rFonts w:ascii="Calibri" w:eastAsia="Calibri" w:hAnsi="Calibri" w:cs="Calibri"/>
                <w:iCs/>
                <w:color w:val="000000"/>
              </w:rPr>
              <w:t xml:space="preserve">Nos casos em que determinado(s) visitante(s) acessarem o IBC de forma recorrente, </w:t>
            </w:r>
            <w:r w:rsidR="00683DF0" w:rsidRPr="00683DF0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o(s) setor(es) interessado(s) poderá(ão) instruir o processo com Ofício único, válido para o exercício correspondente, contendo todas as informações exigidas para o controle de acesso</w:t>
            </w:r>
            <w:r w:rsidR="00683DF0" w:rsidRPr="00683DF0">
              <w:rPr>
                <w:rFonts w:ascii="Calibri" w:eastAsia="Calibri" w:hAnsi="Calibri" w:cs="Calibri"/>
                <w:iCs/>
                <w:color w:val="000000"/>
              </w:rPr>
              <w:t>, sem prejuízo de atualização ou complementação sempre que houver alteração de dados ou necessidade específica.</w:t>
            </w:r>
          </w:p>
        </w:tc>
      </w:tr>
    </w:tbl>
    <w:p w14:paraId="66D21512" w14:textId="77777777" w:rsidR="00EF64A0" w:rsidRDefault="00EF64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53A0FEF4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6C0D41C4" w14:textId="2358F962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D2AE9">
              <w:rPr>
                <w:rFonts w:ascii="Calibri" w:eastAsia="Calibri" w:hAnsi="Calibri" w:cs="Calibri"/>
                <w:b/>
              </w:rPr>
              <w:t>BASE LEGAL</w:t>
            </w:r>
          </w:p>
        </w:tc>
      </w:tr>
      <w:tr w:rsidR="00B8586D" w14:paraId="05A47A6C" w14:textId="77777777">
        <w:tc>
          <w:tcPr>
            <w:tcW w:w="704" w:type="dxa"/>
            <w:vAlign w:val="center"/>
          </w:tcPr>
          <w:p w14:paraId="6261AF21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588872AF" w14:textId="1E5823FB" w:rsidR="00B8586D" w:rsidRDefault="00EC1D09">
            <w:pPr>
              <w:rPr>
                <w:rFonts w:ascii="Calibri" w:eastAsia="Calibri" w:hAnsi="Calibri" w:cs="Calibri"/>
                <w:color w:val="000000"/>
              </w:rPr>
            </w:pPr>
            <w:r w:rsidRPr="00EC1D09">
              <w:rPr>
                <w:rFonts w:ascii="Calibri" w:eastAsia="Calibri" w:hAnsi="Calibri" w:cs="Calibri"/>
                <w:color w:val="000000"/>
              </w:rPr>
              <w:t>Portaria IBC n</w:t>
            </w:r>
            <w:r w:rsidR="001D4573">
              <w:rPr>
                <w:rFonts w:ascii="Calibri" w:eastAsia="Calibri" w:hAnsi="Calibri" w:cs="Calibri"/>
                <w:color w:val="000000"/>
              </w:rPr>
              <w:t>.</w:t>
            </w:r>
            <w:r w:rsidRPr="00EC1D09">
              <w:rPr>
                <w:rFonts w:ascii="Calibri" w:eastAsia="Calibri" w:hAnsi="Calibri" w:cs="Calibri"/>
                <w:color w:val="000000"/>
              </w:rPr>
              <w:t>º 76, de 31 de maio de 2023</w:t>
            </w:r>
            <w:r w:rsidR="00D614A1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B36D28" w14:paraId="651F9CFC" w14:textId="77777777">
        <w:tc>
          <w:tcPr>
            <w:tcW w:w="704" w:type="dxa"/>
            <w:vAlign w:val="center"/>
          </w:tcPr>
          <w:p w14:paraId="6FE550FE" w14:textId="59E0D838" w:rsidR="00B36D28" w:rsidRDefault="00B3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</w:tcPr>
          <w:p w14:paraId="4B610C3F" w14:textId="08C713AC" w:rsidR="00B36D28" w:rsidRPr="00EC1D09" w:rsidRDefault="00B36D28" w:rsidP="00B36D2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36D28">
              <w:rPr>
                <w:rFonts w:ascii="Calibri" w:eastAsia="Calibri" w:hAnsi="Calibri" w:cs="Calibri"/>
                <w:color w:val="000000"/>
              </w:rPr>
              <w:t>Regimento Interno do Instituto Benjamin Constant, aprovado pela Portaria MEC n</w:t>
            </w:r>
            <w:r w:rsidR="009E020B">
              <w:rPr>
                <w:rFonts w:ascii="Calibri" w:eastAsia="Calibri" w:hAnsi="Calibri" w:cs="Calibri"/>
                <w:color w:val="000000"/>
              </w:rPr>
              <w:t>.</w:t>
            </w:r>
            <w:r w:rsidRPr="00B36D28">
              <w:rPr>
                <w:rFonts w:ascii="Calibri" w:eastAsia="Calibri" w:hAnsi="Calibri" w:cs="Calibri"/>
                <w:color w:val="000000"/>
              </w:rPr>
              <w:t>º 325, de 17 de abril de 1998, e alterações posteriores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B36D28" w14:paraId="0297ED5E" w14:textId="77777777">
        <w:tc>
          <w:tcPr>
            <w:tcW w:w="704" w:type="dxa"/>
            <w:vAlign w:val="center"/>
          </w:tcPr>
          <w:p w14:paraId="009A12E1" w14:textId="21D3B8F5" w:rsidR="00B36D28" w:rsidRDefault="00B3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</w:tcPr>
          <w:p w14:paraId="31D2E495" w14:textId="099407AB" w:rsidR="00B36D28" w:rsidRPr="00EC1D09" w:rsidRDefault="00B36D28" w:rsidP="00B36D2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36D28">
              <w:rPr>
                <w:rFonts w:ascii="Calibri" w:eastAsia="Calibri" w:hAnsi="Calibri" w:cs="Calibri"/>
                <w:color w:val="000000"/>
              </w:rPr>
              <w:t>Lei n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 w:rsidRPr="00B36D28">
              <w:rPr>
                <w:rFonts w:ascii="Calibri" w:eastAsia="Calibri" w:hAnsi="Calibri" w:cs="Calibri"/>
                <w:color w:val="000000"/>
              </w:rPr>
              <w:t>º 9.784, de 29 de janeiro de 1999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B36D28" w14:paraId="262197EA" w14:textId="77777777">
        <w:tc>
          <w:tcPr>
            <w:tcW w:w="704" w:type="dxa"/>
            <w:vAlign w:val="center"/>
          </w:tcPr>
          <w:p w14:paraId="785572E6" w14:textId="526B55F6" w:rsidR="00B36D28" w:rsidRDefault="00B3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</w:tcPr>
          <w:p w14:paraId="0125E728" w14:textId="3FFFCA94" w:rsidR="00B36D28" w:rsidRPr="00EC1D09" w:rsidRDefault="00B36D28" w:rsidP="00B36D2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36D28">
              <w:rPr>
                <w:rFonts w:ascii="Calibri" w:eastAsia="Calibri" w:hAnsi="Calibri" w:cs="Calibri"/>
                <w:color w:val="000000"/>
              </w:rPr>
              <w:t>Lei n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 w:rsidRPr="00B36D28">
              <w:rPr>
                <w:rFonts w:ascii="Calibri" w:eastAsia="Calibri" w:hAnsi="Calibri" w:cs="Calibri"/>
                <w:color w:val="000000"/>
              </w:rPr>
              <w:t>º 13.709, de 14 de agosto de 2018 (Lei Geral de Proteção de Dados Pessoais – LGPD)</w:t>
            </w:r>
          </w:p>
        </w:tc>
      </w:tr>
      <w:tr w:rsidR="00B36D28" w14:paraId="37A89820" w14:textId="77777777">
        <w:tc>
          <w:tcPr>
            <w:tcW w:w="704" w:type="dxa"/>
            <w:vAlign w:val="center"/>
          </w:tcPr>
          <w:p w14:paraId="7998CB1C" w14:textId="7ACD98BA" w:rsidR="00B36D28" w:rsidRDefault="00B3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</w:tcPr>
          <w:p w14:paraId="75B4E455" w14:textId="14A60B27" w:rsidR="00B36D28" w:rsidRPr="00EC1D09" w:rsidRDefault="00B36D28" w:rsidP="00B36D2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36D28">
              <w:rPr>
                <w:rFonts w:ascii="Calibri" w:eastAsia="Calibri" w:hAnsi="Calibri" w:cs="Calibri"/>
                <w:color w:val="000000"/>
              </w:rPr>
              <w:t>Princípios constitucionais da Administração Pública (art. 37 da Constituição Federal)</w:t>
            </w:r>
          </w:p>
        </w:tc>
      </w:tr>
    </w:tbl>
    <w:p w14:paraId="75F5B682" w14:textId="77777777" w:rsidR="00B8586D" w:rsidRDefault="00B858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13F95AE7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6E678229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AGENTES DO PROCESSO</w:t>
            </w:r>
          </w:p>
        </w:tc>
      </w:tr>
      <w:tr w:rsidR="00B8586D" w14:paraId="4F877DA0" w14:textId="77777777">
        <w:tc>
          <w:tcPr>
            <w:tcW w:w="704" w:type="dxa"/>
            <w:vAlign w:val="center"/>
          </w:tcPr>
          <w:p w14:paraId="60211B12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7118627E" w14:textId="2B7E6F58" w:rsidR="00B8586D" w:rsidRDefault="00EC1D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Setor requisitante</w:t>
            </w:r>
          </w:p>
        </w:tc>
      </w:tr>
      <w:tr w:rsidR="00EC1D09" w14:paraId="777DC62E" w14:textId="77777777">
        <w:tc>
          <w:tcPr>
            <w:tcW w:w="704" w:type="dxa"/>
            <w:vAlign w:val="center"/>
          </w:tcPr>
          <w:p w14:paraId="4DE5BD95" w14:textId="2F28B817" w:rsidR="00EC1D09" w:rsidRDefault="00EC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</w:tcPr>
          <w:p w14:paraId="01A6CFC7" w14:textId="77B80DB1" w:rsidR="00EC1D09" w:rsidRDefault="00EC1D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DSG</w:t>
            </w:r>
          </w:p>
        </w:tc>
      </w:tr>
      <w:tr w:rsidR="00DF0A9C" w14:paraId="25A51597" w14:textId="77777777">
        <w:tc>
          <w:tcPr>
            <w:tcW w:w="704" w:type="dxa"/>
            <w:vAlign w:val="center"/>
          </w:tcPr>
          <w:p w14:paraId="466800D3" w14:textId="260DAF2D" w:rsidR="00DF0A9C" w:rsidRDefault="00DF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</w:tcPr>
          <w:p w14:paraId="1EF48528" w14:textId="5964A82A" w:rsidR="00DF0A9C" w:rsidRDefault="00DF0A9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Portaria “A” ou “B”</w:t>
            </w:r>
          </w:p>
        </w:tc>
      </w:tr>
    </w:tbl>
    <w:p w14:paraId="4C98CE89" w14:textId="77777777" w:rsidR="00DF0A9C" w:rsidRDefault="00DF0A9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DF0A9C" w14:paraId="16A9ACF9" w14:textId="77777777" w:rsidTr="008D537A">
        <w:tc>
          <w:tcPr>
            <w:tcW w:w="8494" w:type="dxa"/>
            <w:gridSpan w:val="2"/>
            <w:shd w:val="clear" w:color="auto" w:fill="DEEBF6"/>
            <w:vAlign w:val="center"/>
          </w:tcPr>
          <w:p w14:paraId="2D1B982C" w14:textId="4C669456" w:rsidR="00DF0A9C" w:rsidRDefault="00DF0A9C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CONDIÇÕES E PRÉ-REQUISITOS DO PROCESSO</w:t>
            </w:r>
          </w:p>
        </w:tc>
      </w:tr>
      <w:tr w:rsidR="00DF0A9C" w14:paraId="3B988D3D" w14:textId="77777777" w:rsidTr="008D537A">
        <w:tc>
          <w:tcPr>
            <w:tcW w:w="704" w:type="dxa"/>
            <w:vAlign w:val="center"/>
          </w:tcPr>
          <w:p w14:paraId="065D8FE5" w14:textId="77777777" w:rsidR="00DF0A9C" w:rsidRDefault="00DF0A9C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4E6609F3" w14:textId="1B9C2F4D" w:rsidR="00DF0A9C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Necessidade formal de acesso de visitante(s) às dependências do Instituto Benjamin Constant, devidamente justificada pelo setor requisitante.</w:t>
            </w:r>
          </w:p>
        </w:tc>
      </w:tr>
      <w:tr w:rsidR="00AC19C5" w14:paraId="5E44792B" w14:textId="77777777" w:rsidTr="008D537A">
        <w:tc>
          <w:tcPr>
            <w:tcW w:w="704" w:type="dxa"/>
            <w:vAlign w:val="center"/>
          </w:tcPr>
          <w:p w14:paraId="3DF4EFD3" w14:textId="012389B0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</w:tcPr>
          <w:p w14:paraId="78A14798" w14:textId="0DDBACA2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Existência de servidor do IBC responsável pela visita, identificado nominalmente no processo, que responderá pelo acompanhamento e pela permanência do visitante no Instituto.</w:t>
            </w:r>
          </w:p>
        </w:tc>
      </w:tr>
      <w:tr w:rsidR="00AC19C5" w14:paraId="2E6A6E42" w14:textId="77777777" w:rsidTr="008D537A">
        <w:tc>
          <w:tcPr>
            <w:tcW w:w="704" w:type="dxa"/>
            <w:vAlign w:val="center"/>
          </w:tcPr>
          <w:p w14:paraId="0403B72A" w14:textId="4B65DC29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</w:tcPr>
          <w:p w14:paraId="1D9669ED" w14:textId="5C44D753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Autuação prévia de processo administrativo no SUAP, no tipo “Segurança Institucional: Controle de Acesso/Portaria”, observado o caráter de processo único por exercício.</w:t>
            </w:r>
          </w:p>
        </w:tc>
      </w:tr>
      <w:tr w:rsidR="00AC19C5" w14:paraId="6EFF4B03" w14:textId="77777777" w:rsidTr="008D537A">
        <w:tc>
          <w:tcPr>
            <w:tcW w:w="704" w:type="dxa"/>
            <w:vAlign w:val="center"/>
          </w:tcPr>
          <w:p w14:paraId="1216D254" w14:textId="1DBBE5B8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4</w:t>
            </w:r>
          </w:p>
        </w:tc>
        <w:tc>
          <w:tcPr>
            <w:tcW w:w="7790" w:type="dxa"/>
          </w:tcPr>
          <w:p w14:paraId="108F92CC" w14:textId="477BD3ED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Instrução adequada do processo, contendo ofício com todas as informações obrigatórias para o controle de acesso (identificação do visitante, data, horário, setor de destino e servidor responsável).</w:t>
            </w:r>
          </w:p>
        </w:tc>
      </w:tr>
      <w:tr w:rsidR="00AC19C5" w14:paraId="0F0D40CA" w14:textId="77777777" w:rsidTr="008D537A">
        <w:tc>
          <w:tcPr>
            <w:tcW w:w="704" w:type="dxa"/>
            <w:vAlign w:val="center"/>
          </w:tcPr>
          <w:p w14:paraId="4ECCBD08" w14:textId="4C687419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</w:tcPr>
          <w:p w14:paraId="1F7CBA8C" w14:textId="4098EE12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Observância dos prazos operacionais, de modo a permitir a análise pela Divisão de Serviços Gerais (DSG) e a comunicação tempestiva às portarias.</w:t>
            </w:r>
          </w:p>
        </w:tc>
      </w:tr>
      <w:tr w:rsidR="00AC19C5" w14:paraId="4AB93E0F" w14:textId="77777777" w:rsidTr="008D537A">
        <w:tc>
          <w:tcPr>
            <w:tcW w:w="704" w:type="dxa"/>
            <w:vAlign w:val="center"/>
          </w:tcPr>
          <w:p w14:paraId="1E5E8E80" w14:textId="5E3ABC05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</w:tcPr>
          <w:p w14:paraId="2C8D7B20" w14:textId="47E213F3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Conformidade com a Portaria IBC n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 w:rsidRPr="002C0C47">
              <w:rPr>
                <w:rFonts w:ascii="Calibri" w:eastAsia="Calibri" w:hAnsi="Calibri" w:cs="Calibri"/>
                <w:color w:val="000000"/>
              </w:rPr>
              <w:t>º 76/2023 e demais normativos internos relacionados à segurança institucional.</w:t>
            </w:r>
          </w:p>
        </w:tc>
      </w:tr>
      <w:tr w:rsidR="00AC19C5" w14:paraId="35686626" w14:textId="77777777" w:rsidTr="008D537A">
        <w:tc>
          <w:tcPr>
            <w:tcW w:w="704" w:type="dxa"/>
            <w:vAlign w:val="center"/>
          </w:tcPr>
          <w:p w14:paraId="6DBC2D4B" w14:textId="0E4BFCF6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</w:tcPr>
          <w:p w14:paraId="67229985" w14:textId="325A04ED" w:rsidR="00AC19C5" w:rsidRDefault="002C0C47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C0C47">
              <w:rPr>
                <w:rFonts w:ascii="Calibri" w:eastAsia="Calibri" w:hAnsi="Calibri" w:cs="Calibri"/>
                <w:color w:val="000000"/>
              </w:rPr>
              <w:t>Disponibilidade operacional da Portaria</w:t>
            </w:r>
            <w:r>
              <w:rPr>
                <w:rFonts w:ascii="Calibri" w:eastAsia="Calibri" w:hAnsi="Calibri" w:cs="Calibri"/>
                <w:color w:val="000000"/>
              </w:rPr>
              <w:t xml:space="preserve"> “A” ou</w:t>
            </w:r>
            <w:r w:rsidRPr="002C0C47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“</w:t>
            </w:r>
            <w:r w:rsidRPr="002C0C47"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”</w:t>
            </w:r>
            <w:r w:rsidRPr="002C0C47">
              <w:rPr>
                <w:rFonts w:ascii="Calibri" w:eastAsia="Calibri" w:hAnsi="Calibri" w:cs="Calibri"/>
                <w:color w:val="000000"/>
              </w:rPr>
              <w:t>, responsável pela execução do controle de entrada e saída de visitantes.</w:t>
            </w:r>
          </w:p>
        </w:tc>
      </w:tr>
      <w:tr w:rsidR="00AC19C5" w14:paraId="0AB23971" w14:textId="77777777" w:rsidTr="008D537A">
        <w:tc>
          <w:tcPr>
            <w:tcW w:w="704" w:type="dxa"/>
            <w:vAlign w:val="center"/>
          </w:tcPr>
          <w:p w14:paraId="144166F2" w14:textId="725265AF" w:rsidR="00AC19C5" w:rsidRDefault="00AC19C5" w:rsidP="008D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</w:tcPr>
          <w:p w14:paraId="2C17089D" w14:textId="3E7BD280" w:rsidR="00AC19C5" w:rsidRDefault="00120DF8" w:rsidP="002C0C4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120DF8">
              <w:rPr>
                <w:rFonts w:ascii="Calibri" w:eastAsia="Calibri" w:hAnsi="Calibri" w:cs="Calibri"/>
                <w:color w:val="000000"/>
              </w:rPr>
              <w:t>Compromisso do visitante em apresentar documento oficial com foto, bem como em cumprir as normas internas de circulação e identificação durante a permanência no IBC.</w:t>
            </w:r>
          </w:p>
        </w:tc>
      </w:tr>
    </w:tbl>
    <w:p w14:paraId="1741D79F" w14:textId="77777777" w:rsidR="00DF0A9C" w:rsidRDefault="00DF0A9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70F5F31D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6A9BAAD7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DIFICULDADES PARA EXECUÇÃO DA ATIVIDADE / TAREFA</w:t>
            </w:r>
          </w:p>
        </w:tc>
      </w:tr>
      <w:tr w:rsidR="00B8586D" w14:paraId="7D0D836A" w14:textId="77777777">
        <w:tc>
          <w:tcPr>
            <w:tcW w:w="704" w:type="dxa"/>
            <w:vAlign w:val="center"/>
          </w:tcPr>
          <w:p w14:paraId="267C86CA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124BB28D" w14:textId="2DBD2957" w:rsidR="00B8586D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Não autuação ou tramitação intempestiva do processo no SUAP, ocasionando ausência de autorização formal prévia para o acesso de visitante(s).</w:t>
            </w:r>
          </w:p>
        </w:tc>
      </w:tr>
      <w:tr w:rsidR="00D53367" w14:paraId="29C0F056" w14:textId="77777777">
        <w:tc>
          <w:tcPr>
            <w:tcW w:w="704" w:type="dxa"/>
            <w:vAlign w:val="center"/>
          </w:tcPr>
          <w:p w14:paraId="0D132BEE" w14:textId="7E57450C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</w:tcPr>
          <w:p w14:paraId="3388FF8F" w14:textId="2FB42F25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Instrução processual incompleta ou inconsistente, especialmente quanto à falta de informações obrigatórias (nome completo, indicação do número do CPF ou RG, data, horário, setor de destino e servidor responsável).</w:t>
            </w:r>
          </w:p>
        </w:tc>
      </w:tr>
      <w:tr w:rsidR="00D53367" w14:paraId="7E3D0116" w14:textId="77777777">
        <w:tc>
          <w:tcPr>
            <w:tcW w:w="704" w:type="dxa"/>
            <w:vAlign w:val="center"/>
          </w:tcPr>
          <w:p w14:paraId="4EECD08D" w14:textId="7500E880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</w:tcPr>
          <w:p w14:paraId="6E0984EA" w14:textId="0A8493F1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Solicitações encaminhadas fora do fluxo formal, por meios informais (e-mail, telefone ou comunicação verbal), em desacordo com o procedimento estabelecido.</w:t>
            </w:r>
          </w:p>
        </w:tc>
      </w:tr>
      <w:tr w:rsidR="00D53367" w14:paraId="41B56058" w14:textId="77777777">
        <w:tc>
          <w:tcPr>
            <w:tcW w:w="704" w:type="dxa"/>
            <w:vAlign w:val="center"/>
          </w:tcPr>
          <w:p w14:paraId="17902A60" w14:textId="3EE45C2E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</w:tcPr>
          <w:p w14:paraId="10B66E62" w14:textId="6F74002B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Demandas emergenciais ou não programadas, que dificultam a análise prévia pela DSG e a comunicação tempestiva às portarias.</w:t>
            </w:r>
          </w:p>
        </w:tc>
      </w:tr>
      <w:tr w:rsidR="00D53367" w14:paraId="6E045650" w14:textId="77777777">
        <w:tc>
          <w:tcPr>
            <w:tcW w:w="704" w:type="dxa"/>
            <w:vAlign w:val="center"/>
          </w:tcPr>
          <w:p w14:paraId="67B5FCA8" w14:textId="59B116EB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</w:tcPr>
          <w:p w14:paraId="4BAAAEE5" w14:textId="03438337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Falta de atualização dos dados dos visitantes recorrentes, exigindo retrabalho administrativo e reanálise do processo.</w:t>
            </w:r>
          </w:p>
        </w:tc>
      </w:tr>
      <w:tr w:rsidR="00D53367" w14:paraId="7C4899FD" w14:textId="77777777">
        <w:tc>
          <w:tcPr>
            <w:tcW w:w="704" w:type="dxa"/>
            <w:vAlign w:val="center"/>
          </w:tcPr>
          <w:p w14:paraId="6A0B73A1" w14:textId="79C916C6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</w:tcPr>
          <w:p w14:paraId="545FDA5A" w14:textId="4A619B86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Desconhecimento ou interpretação divergente do fluxo por parte dos setores requisitantes, gerando inconsistências na execução do procedimento.</w:t>
            </w:r>
          </w:p>
        </w:tc>
      </w:tr>
      <w:tr w:rsidR="00D53367" w14:paraId="2F442D3E" w14:textId="77777777">
        <w:tc>
          <w:tcPr>
            <w:tcW w:w="704" w:type="dxa"/>
            <w:vAlign w:val="center"/>
          </w:tcPr>
          <w:p w14:paraId="63A5CD64" w14:textId="327BAF3A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</w:tcPr>
          <w:p w14:paraId="6AC55469" w14:textId="64D92B11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Limitações operacionais da portaria, especialmente em horários de pico, que podem impactar o registro adequado e a conferência documental.</w:t>
            </w:r>
          </w:p>
        </w:tc>
      </w:tr>
      <w:tr w:rsidR="00D53367" w14:paraId="766E3E41" w14:textId="77777777">
        <w:tc>
          <w:tcPr>
            <w:tcW w:w="704" w:type="dxa"/>
            <w:vAlign w:val="center"/>
          </w:tcPr>
          <w:p w14:paraId="011F21A3" w14:textId="4DFE234E" w:rsidR="00D53367" w:rsidRDefault="00D5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</w:tcPr>
          <w:p w14:paraId="225A1F44" w14:textId="12F02F23" w:rsidR="00D53367" w:rsidRDefault="00D53367" w:rsidP="00D5336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53367">
              <w:rPr>
                <w:rFonts w:ascii="Calibri" w:eastAsia="Calibri" w:hAnsi="Calibri" w:cs="Calibri"/>
                <w:color w:val="000000"/>
              </w:rPr>
              <w:t>Dependência da atuação do servidor responsável pela visita, cuja ausência ou indisponibilidade pode comprometer o acompanhamento e a responsabilização pelo visitante.</w:t>
            </w:r>
          </w:p>
        </w:tc>
      </w:tr>
    </w:tbl>
    <w:p w14:paraId="7E6D559C" w14:textId="77777777" w:rsidR="00B8586D" w:rsidRDefault="00B858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B8586D" w14:paraId="40DFA6EB" w14:textId="77777777">
        <w:tc>
          <w:tcPr>
            <w:tcW w:w="8494" w:type="dxa"/>
            <w:gridSpan w:val="2"/>
            <w:shd w:val="clear" w:color="auto" w:fill="DEEBF6"/>
            <w:vAlign w:val="center"/>
          </w:tcPr>
          <w:p w14:paraId="437A2B65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OPORTUNIDADES DE MELHORIA</w:t>
            </w:r>
          </w:p>
        </w:tc>
      </w:tr>
      <w:tr w:rsidR="00B8586D" w14:paraId="52752413" w14:textId="77777777">
        <w:tc>
          <w:tcPr>
            <w:tcW w:w="704" w:type="dxa"/>
            <w:vAlign w:val="center"/>
          </w:tcPr>
          <w:p w14:paraId="5F136E6B" w14:textId="77777777" w:rsidR="00B8586D" w:rsidRDefault="0034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</w:tcPr>
          <w:p w14:paraId="077FF20A" w14:textId="034F2629" w:rsidR="00B8586D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Padronização da instrução processual, com modelo de ofício e checklist obrigatório no SUAP, reduzindo inconsistências e retrabalho.</w:t>
            </w:r>
          </w:p>
        </w:tc>
      </w:tr>
      <w:tr w:rsidR="00E1737C" w14:paraId="0AAB9820" w14:textId="77777777">
        <w:tc>
          <w:tcPr>
            <w:tcW w:w="704" w:type="dxa"/>
            <w:vAlign w:val="center"/>
          </w:tcPr>
          <w:p w14:paraId="57923FDD" w14:textId="0580544C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</w:tcPr>
          <w:p w14:paraId="20A8E6D1" w14:textId="75912C2E" w:rsidR="00E1737C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Automatização parcial do fluxo no SUAP, com campos estruturados para dados dos visitantes, facilitando análise, rastreabilidade e comunicação com a portaria.</w:t>
            </w:r>
          </w:p>
        </w:tc>
      </w:tr>
      <w:tr w:rsidR="00E1737C" w14:paraId="669F9D78" w14:textId="77777777">
        <w:tc>
          <w:tcPr>
            <w:tcW w:w="704" w:type="dxa"/>
            <w:vAlign w:val="center"/>
          </w:tcPr>
          <w:p w14:paraId="385C5163" w14:textId="272E9F0F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</w:tcPr>
          <w:p w14:paraId="48AB1709" w14:textId="0C724E7E" w:rsidR="00E1737C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Criação de cadastro anual de visitantes recorrentes, vinculado ao processo único do exercício, permitindo controle contínuo e atualização simplificada.</w:t>
            </w:r>
          </w:p>
        </w:tc>
      </w:tr>
      <w:tr w:rsidR="00E1737C" w14:paraId="385AA8BF" w14:textId="77777777">
        <w:tc>
          <w:tcPr>
            <w:tcW w:w="704" w:type="dxa"/>
            <w:vAlign w:val="center"/>
          </w:tcPr>
          <w:p w14:paraId="13811BB8" w14:textId="4298C5CF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</w:tcPr>
          <w:p w14:paraId="5B110E33" w14:textId="165CC632" w:rsidR="00E1737C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Integração formal entre SUAP e portaria, com comunicação automática ou lista consolidada de visitantes autorizados, minimizando falhas operacionais.</w:t>
            </w:r>
          </w:p>
        </w:tc>
      </w:tr>
      <w:tr w:rsidR="00E1737C" w14:paraId="30B76E95" w14:textId="77777777">
        <w:tc>
          <w:tcPr>
            <w:tcW w:w="704" w:type="dxa"/>
            <w:vAlign w:val="center"/>
          </w:tcPr>
          <w:p w14:paraId="666AC896" w14:textId="79E97B59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</w:tcPr>
          <w:p w14:paraId="299E15CF" w14:textId="4964F23F" w:rsidR="00E1737C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Capacitação periódica dos setores requisitantes, com orientações objetivas sobre o fluxo, responsabilidades e prazos.</w:t>
            </w:r>
          </w:p>
        </w:tc>
      </w:tr>
      <w:tr w:rsidR="00E1737C" w14:paraId="6500D0EE" w14:textId="77777777">
        <w:tc>
          <w:tcPr>
            <w:tcW w:w="704" w:type="dxa"/>
            <w:vAlign w:val="center"/>
          </w:tcPr>
          <w:p w14:paraId="25938C8E" w14:textId="0D2E0DC8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</w:tcPr>
          <w:p w14:paraId="2883D7F6" w14:textId="7DA72A8D" w:rsidR="00E1737C" w:rsidRDefault="00E1737C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1737C">
              <w:rPr>
                <w:rFonts w:ascii="Calibri" w:eastAsia="Calibri" w:hAnsi="Calibri" w:cs="Calibri"/>
                <w:color w:val="000000"/>
              </w:rPr>
              <w:t>Definição de prazos internos para análise pela DSG e comunicação às portarias, aumentando previsibilidade e eficiência.</w:t>
            </w:r>
          </w:p>
        </w:tc>
      </w:tr>
      <w:tr w:rsidR="00E1737C" w14:paraId="7FB90ACF" w14:textId="77777777">
        <w:tc>
          <w:tcPr>
            <w:tcW w:w="704" w:type="dxa"/>
            <w:vAlign w:val="center"/>
          </w:tcPr>
          <w:p w14:paraId="79086B2F" w14:textId="3AD35C4B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</w:tcPr>
          <w:p w14:paraId="5304F1B2" w14:textId="3295D88A" w:rsidR="00E1737C" w:rsidRDefault="00D07179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07179">
              <w:rPr>
                <w:rFonts w:ascii="Calibri" w:eastAsia="Calibri" w:hAnsi="Calibri" w:cs="Calibri"/>
                <w:color w:val="000000"/>
              </w:rPr>
              <w:t>Reforço da comunicação institucional, por meio de manual operacional ou fluxograma BPMN divulgado aos setores.</w:t>
            </w:r>
          </w:p>
        </w:tc>
      </w:tr>
      <w:tr w:rsidR="00E1737C" w14:paraId="2F3C7895" w14:textId="77777777">
        <w:tc>
          <w:tcPr>
            <w:tcW w:w="704" w:type="dxa"/>
            <w:vAlign w:val="center"/>
          </w:tcPr>
          <w:p w14:paraId="0CCBCD6B" w14:textId="59886A48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</w:tcPr>
          <w:p w14:paraId="01943EDE" w14:textId="5CEAB6FD" w:rsidR="00E1737C" w:rsidRDefault="00D07179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07179">
              <w:rPr>
                <w:rFonts w:ascii="Calibri" w:eastAsia="Calibri" w:hAnsi="Calibri" w:cs="Calibri"/>
                <w:color w:val="000000"/>
              </w:rPr>
              <w:t>Monitoramento de indicadores do processo, como volume de acessos, retrabalho por instrução incompleta e solicitações emergenciais.</w:t>
            </w:r>
          </w:p>
        </w:tc>
      </w:tr>
      <w:tr w:rsidR="00E1737C" w14:paraId="6297ED5D" w14:textId="77777777">
        <w:tc>
          <w:tcPr>
            <w:tcW w:w="704" w:type="dxa"/>
            <w:vAlign w:val="center"/>
          </w:tcPr>
          <w:p w14:paraId="06EEBF69" w14:textId="61623F78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9</w:t>
            </w:r>
          </w:p>
        </w:tc>
        <w:tc>
          <w:tcPr>
            <w:tcW w:w="7790" w:type="dxa"/>
          </w:tcPr>
          <w:p w14:paraId="1031D3D3" w14:textId="6158AD34" w:rsidR="00E1737C" w:rsidRDefault="00D07179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07179">
              <w:rPr>
                <w:rFonts w:ascii="Calibri" w:eastAsia="Calibri" w:hAnsi="Calibri" w:cs="Calibri"/>
                <w:color w:val="000000"/>
              </w:rPr>
              <w:t>Formalização de procedimentos para demandas excepcionais, garantindo segurança institucional sem prejuízo da continuidade administrativa.</w:t>
            </w:r>
          </w:p>
        </w:tc>
      </w:tr>
      <w:tr w:rsidR="00E1737C" w14:paraId="0DB8CC3F" w14:textId="77777777">
        <w:tc>
          <w:tcPr>
            <w:tcW w:w="704" w:type="dxa"/>
            <w:vAlign w:val="center"/>
          </w:tcPr>
          <w:p w14:paraId="5A2CB169" w14:textId="0BB747EB" w:rsidR="00E1737C" w:rsidRDefault="00E1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7790" w:type="dxa"/>
          </w:tcPr>
          <w:p w14:paraId="7F9EE4B4" w14:textId="72878C1C" w:rsidR="00E1737C" w:rsidRDefault="00D07179" w:rsidP="00E1737C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07179">
              <w:rPr>
                <w:rFonts w:ascii="Calibri" w:eastAsia="Calibri" w:hAnsi="Calibri" w:cs="Calibri"/>
                <w:color w:val="000000"/>
              </w:rPr>
              <w:t>Revisão periódica do processo, com base em lições aprendidas e adequação às necessidades operacionais do IBC.</w:t>
            </w:r>
          </w:p>
        </w:tc>
      </w:tr>
    </w:tbl>
    <w:p w14:paraId="54B94249" w14:textId="77777777" w:rsidR="00B8586D" w:rsidRDefault="00B8586D">
      <w:pPr>
        <w:jc w:val="both"/>
      </w:pPr>
    </w:p>
    <w:sectPr w:rsidR="00B858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86A6" w14:textId="77777777" w:rsidR="00342F40" w:rsidRDefault="00342F40">
      <w:r>
        <w:separator/>
      </w:r>
    </w:p>
  </w:endnote>
  <w:endnote w:type="continuationSeparator" w:id="0">
    <w:p w14:paraId="79024646" w14:textId="77777777" w:rsidR="00342F40" w:rsidRDefault="003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0F22" w14:textId="77777777"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17A2" w14:textId="77777777" w:rsidR="00342F40" w:rsidRDefault="00342F40">
      <w:r>
        <w:separator/>
      </w:r>
    </w:p>
  </w:footnote>
  <w:footnote w:type="continuationSeparator" w:id="0">
    <w:p w14:paraId="28B04405" w14:textId="77777777" w:rsidR="00342F40" w:rsidRDefault="0034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A7F" w14:textId="1198BCD6" w:rsidR="00B8586D" w:rsidRDefault="008222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Janei</w:t>
    </w:r>
    <w:r w:rsidR="00B17A7B">
      <w:rPr>
        <w:rFonts w:ascii="Arial" w:eastAsia="Arial" w:hAnsi="Arial" w:cs="Arial"/>
        <w:color w:val="000000"/>
      </w:rPr>
      <w:t>ro</w:t>
    </w:r>
    <w:r w:rsidR="00342F40">
      <w:rPr>
        <w:rFonts w:ascii="Arial" w:eastAsia="Arial" w:hAnsi="Arial" w:cs="Arial"/>
        <w:color w:val="000000"/>
      </w:rPr>
      <w:t>/202</w:t>
    </w:r>
    <w:r>
      <w:rPr>
        <w:rFonts w:ascii="Arial" w:eastAsia="Arial" w:hAnsi="Arial" w:cs="Arial"/>
        <w:color w:val="000000"/>
      </w:rPr>
      <w:t>6</w:t>
    </w:r>
  </w:p>
  <w:p w14:paraId="464CA595" w14:textId="77777777"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6D"/>
    <w:rsid w:val="0001386A"/>
    <w:rsid w:val="00017BA4"/>
    <w:rsid w:val="00031009"/>
    <w:rsid w:val="00031688"/>
    <w:rsid w:val="00056D0E"/>
    <w:rsid w:val="000575F2"/>
    <w:rsid w:val="000E0217"/>
    <w:rsid w:val="000E3CB8"/>
    <w:rsid w:val="00113D72"/>
    <w:rsid w:val="00120DF8"/>
    <w:rsid w:val="001244B4"/>
    <w:rsid w:val="00151396"/>
    <w:rsid w:val="00153CA4"/>
    <w:rsid w:val="00167349"/>
    <w:rsid w:val="001A2F44"/>
    <w:rsid w:val="001B6489"/>
    <w:rsid w:val="001D4573"/>
    <w:rsid w:val="001E25E5"/>
    <w:rsid w:val="001E3210"/>
    <w:rsid w:val="001F00E1"/>
    <w:rsid w:val="001F1207"/>
    <w:rsid w:val="001F2377"/>
    <w:rsid w:val="00210C87"/>
    <w:rsid w:val="00220450"/>
    <w:rsid w:val="0023676E"/>
    <w:rsid w:val="00241B7E"/>
    <w:rsid w:val="00242BB2"/>
    <w:rsid w:val="002510C8"/>
    <w:rsid w:val="002602F8"/>
    <w:rsid w:val="00260332"/>
    <w:rsid w:val="00260DE3"/>
    <w:rsid w:val="00280860"/>
    <w:rsid w:val="00281115"/>
    <w:rsid w:val="002852B6"/>
    <w:rsid w:val="002A1B45"/>
    <w:rsid w:val="002B0193"/>
    <w:rsid w:val="002B6E5F"/>
    <w:rsid w:val="002C0C47"/>
    <w:rsid w:val="002C30C2"/>
    <w:rsid w:val="002E789C"/>
    <w:rsid w:val="00301B55"/>
    <w:rsid w:val="00322544"/>
    <w:rsid w:val="00326A98"/>
    <w:rsid w:val="00342F40"/>
    <w:rsid w:val="00356C0B"/>
    <w:rsid w:val="00390D24"/>
    <w:rsid w:val="00395797"/>
    <w:rsid w:val="003A2111"/>
    <w:rsid w:val="003A23B2"/>
    <w:rsid w:val="003A5D45"/>
    <w:rsid w:val="003A5FA2"/>
    <w:rsid w:val="003A7BC2"/>
    <w:rsid w:val="003B6006"/>
    <w:rsid w:val="003E0AFB"/>
    <w:rsid w:val="003E7567"/>
    <w:rsid w:val="00402F08"/>
    <w:rsid w:val="00403A3F"/>
    <w:rsid w:val="00424FE4"/>
    <w:rsid w:val="00472E42"/>
    <w:rsid w:val="00473032"/>
    <w:rsid w:val="004A1E0C"/>
    <w:rsid w:val="004B6029"/>
    <w:rsid w:val="004F1C7E"/>
    <w:rsid w:val="004F6394"/>
    <w:rsid w:val="00520708"/>
    <w:rsid w:val="005208A1"/>
    <w:rsid w:val="00522104"/>
    <w:rsid w:val="00546419"/>
    <w:rsid w:val="00547FBA"/>
    <w:rsid w:val="00556FF7"/>
    <w:rsid w:val="005664E8"/>
    <w:rsid w:val="005B496E"/>
    <w:rsid w:val="005C22AC"/>
    <w:rsid w:val="005C6861"/>
    <w:rsid w:val="005D2C57"/>
    <w:rsid w:val="005F354A"/>
    <w:rsid w:val="0060779E"/>
    <w:rsid w:val="00612D36"/>
    <w:rsid w:val="00617862"/>
    <w:rsid w:val="00645683"/>
    <w:rsid w:val="00662BEE"/>
    <w:rsid w:val="0066387D"/>
    <w:rsid w:val="00680BF1"/>
    <w:rsid w:val="00683DF0"/>
    <w:rsid w:val="006C2B60"/>
    <w:rsid w:val="006D330F"/>
    <w:rsid w:val="006F2B24"/>
    <w:rsid w:val="006F37BD"/>
    <w:rsid w:val="00701496"/>
    <w:rsid w:val="00701DC0"/>
    <w:rsid w:val="00723685"/>
    <w:rsid w:val="00794D90"/>
    <w:rsid w:val="007B2A14"/>
    <w:rsid w:val="007C54D4"/>
    <w:rsid w:val="007C5F39"/>
    <w:rsid w:val="007D1177"/>
    <w:rsid w:val="007D2C6F"/>
    <w:rsid w:val="007F26CB"/>
    <w:rsid w:val="007F3728"/>
    <w:rsid w:val="008222F9"/>
    <w:rsid w:val="00824B35"/>
    <w:rsid w:val="00843E97"/>
    <w:rsid w:val="00844E0F"/>
    <w:rsid w:val="0085437C"/>
    <w:rsid w:val="00856920"/>
    <w:rsid w:val="008704F2"/>
    <w:rsid w:val="00890E80"/>
    <w:rsid w:val="008D74F4"/>
    <w:rsid w:val="008F6AA6"/>
    <w:rsid w:val="008F7F01"/>
    <w:rsid w:val="00911B14"/>
    <w:rsid w:val="00916A28"/>
    <w:rsid w:val="00923646"/>
    <w:rsid w:val="00946E53"/>
    <w:rsid w:val="00981749"/>
    <w:rsid w:val="00987E6B"/>
    <w:rsid w:val="009964C2"/>
    <w:rsid w:val="009A22F6"/>
    <w:rsid w:val="009A3B10"/>
    <w:rsid w:val="009A5DF7"/>
    <w:rsid w:val="009C6B29"/>
    <w:rsid w:val="009D311A"/>
    <w:rsid w:val="009E020B"/>
    <w:rsid w:val="009E24C0"/>
    <w:rsid w:val="009E56A8"/>
    <w:rsid w:val="00A0738D"/>
    <w:rsid w:val="00A14B19"/>
    <w:rsid w:val="00A25F99"/>
    <w:rsid w:val="00A42587"/>
    <w:rsid w:val="00A45119"/>
    <w:rsid w:val="00A60882"/>
    <w:rsid w:val="00A73507"/>
    <w:rsid w:val="00A82655"/>
    <w:rsid w:val="00A93675"/>
    <w:rsid w:val="00A97C18"/>
    <w:rsid w:val="00AA5A46"/>
    <w:rsid w:val="00AB49E0"/>
    <w:rsid w:val="00AC19C5"/>
    <w:rsid w:val="00AD2AE9"/>
    <w:rsid w:val="00AD5441"/>
    <w:rsid w:val="00AF0591"/>
    <w:rsid w:val="00B13EB7"/>
    <w:rsid w:val="00B17A7B"/>
    <w:rsid w:val="00B3234F"/>
    <w:rsid w:val="00B33341"/>
    <w:rsid w:val="00B36D28"/>
    <w:rsid w:val="00B56090"/>
    <w:rsid w:val="00B5662E"/>
    <w:rsid w:val="00B612BF"/>
    <w:rsid w:val="00B66172"/>
    <w:rsid w:val="00B766BB"/>
    <w:rsid w:val="00B8586D"/>
    <w:rsid w:val="00BA15F6"/>
    <w:rsid w:val="00BB138B"/>
    <w:rsid w:val="00BF0F7B"/>
    <w:rsid w:val="00BF39C5"/>
    <w:rsid w:val="00BF772A"/>
    <w:rsid w:val="00C13B72"/>
    <w:rsid w:val="00C40CF2"/>
    <w:rsid w:val="00C6655B"/>
    <w:rsid w:val="00C86547"/>
    <w:rsid w:val="00C97891"/>
    <w:rsid w:val="00CA1364"/>
    <w:rsid w:val="00CA5E87"/>
    <w:rsid w:val="00CB777D"/>
    <w:rsid w:val="00CD4661"/>
    <w:rsid w:val="00CD5344"/>
    <w:rsid w:val="00D07179"/>
    <w:rsid w:val="00D11DE8"/>
    <w:rsid w:val="00D22979"/>
    <w:rsid w:val="00D3293A"/>
    <w:rsid w:val="00D35825"/>
    <w:rsid w:val="00D53367"/>
    <w:rsid w:val="00D55021"/>
    <w:rsid w:val="00D57327"/>
    <w:rsid w:val="00D614A1"/>
    <w:rsid w:val="00D65744"/>
    <w:rsid w:val="00D76AD6"/>
    <w:rsid w:val="00D83EA7"/>
    <w:rsid w:val="00D868DA"/>
    <w:rsid w:val="00DA43F3"/>
    <w:rsid w:val="00DF0A9C"/>
    <w:rsid w:val="00E00528"/>
    <w:rsid w:val="00E06999"/>
    <w:rsid w:val="00E1737C"/>
    <w:rsid w:val="00E345C8"/>
    <w:rsid w:val="00E52790"/>
    <w:rsid w:val="00E60BEE"/>
    <w:rsid w:val="00E65229"/>
    <w:rsid w:val="00E67271"/>
    <w:rsid w:val="00E77ACA"/>
    <w:rsid w:val="00EB2839"/>
    <w:rsid w:val="00EB3654"/>
    <w:rsid w:val="00EB57F1"/>
    <w:rsid w:val="00EB6C69"/>
    <w:rsid w:val="00EC016E"/>
    <w:rsid w:val="00EC1D09"/>
    <w:rsid w:val="00EC4CA7"/>
    <w:rsid w:val="00ED40F2"/>
    <w:rsid w:val="00ED7D02"/>
    <w:rsid w:val="00EF076B"/>
    <w:rsid w:val="00EF64A0"/>
    <w:rsid w:val="00F006C6"/>
    <w:rsid w:val="00F21602"/>
    <w:rsid w:val="00F21E7C"/>
    <w:rsid w:val="00F36B03"/>
    <w:rsid w:val="00F51A70"/>
    <w:rsid w:val="00F618F3"/>
    <w:rsid w:val="00F77553"/>
    <w:rsid w:val="00FA5D33"/>
    <w:rsid w:val="00FB51F3"/>
    <w:rsid w:val="00FC3AC4"/>
    <w:rsid w:val="00FC718B"/>
    <w:rsid w:val="00FD4335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33D8"/>
  <w15:docId w15:val="{1BBE23C8-33FA-4855-BABF-25E1F6F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08"/>
    <w:pPr>
      <w:autoSpaceDE w:val="0"/>
      <w:autoSpaceDN w:val="0"/>
    </w:pPr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uiPriority w:val="1"/>
    <w:qFormat/>
    <w:rsid w:val="001E5455"/>
    <w:pPr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ulo">
    <w:name w:val="Titulo"/>
    <w:basedOn w:val="Normal"/>
    <w:link w:val="TituloChar"/>
    <w:uiPriority w:val="1"/>
    <w:qFormat/>
    <w:rsid w:val="001E5455"/>
    <w:pPr>
      <w:tabs>
        <w:tab w:val="left" w:pos="481"/>
      </w:tabs>
      <w:spacing w:before="4" w:line="360" w:lineRule="auto"/>
    </w:pPr>
    <w:rPr>
      <w:rFonts w:ascii="Arial" w:eastAsia="Arial" w:hAnsi="Arial" w:cs="Arial"/>
      <w:b/>
      <w:bCs/>
      <w:caps/>
      <w:shd w:val="clear" w:color="auto" w:fill="D9D9D9"/>
    </w:rPr>
  </w:style>
  <w:style w:type="character" w:customStyle="1" w:styleId="TituloChar">
    <w:name w:val="Titulo Char"/>
    <w:basedOn w:val="Fontepargpadro"/>
    <w:link w:val="Titulo"/>
    <w:uiPriority w:val="1"/>
    <w:rsid w:val="001E5455"/>
    <w:rPr>
      <w:rFonts w:ascii="Arial" w:eastAsia="Arial" w:hAnsi="Arial" w:cs="Arial"/>
      <w:b/>
      <w:bCs/>
      <w:caps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D05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050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D0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31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1B0"/>
    <w:rPr>
      <w:rFonts w:ascii="Arial MT" w:eastAsia="Arial MT" w:hAnsi="Arial MT" w:cs="Arial MT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31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1B0"/>
    <w:rPr>
      <w:rFonts w:ascii="Arial MT" w:eastAsia="Arial MT" w:hAnsi="Arial MT" w:cs="Arial MT"/>
      <w:kern w:val="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ndHr/jYDKTxdeU39Box8dChHg==">CgMxLjAyCGguZ2pkZ3hzMgloLjMwajB6bGw4AHIhMWtNamtWTE5BNVo3SGViM3lQc3A4SFhLSGJuMElHanZS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1317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Leite</dc:creator>
  <cp:lastModifiedBy>Marcelo Leite</cp:lastModifiedBy>
  <cp:revision>40</cp:revision>
  <cp:lastPrinted>2025-12-20T20:29:00Z</cp:lastPrinted>
  <dcterms:created xsi:type="dcterms:W3CDTF">2025-12-18T11:25:00Z</dcterms:created>
  <dcterms:modified xsi:type="dcterms:W3CDTF">2025-12-22T10:15:00Z</dcterms:modified>
</cp:coreProperties>
</file>