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uppressAutoHyphens w:val="true"/>
        <w:spacing w:before="0" w:after="160" w:line="252"/>
        <w:ind w:right="0" w:left="0" w:firstLine="0"/>
        <w:jc w:val="center"/>
        <w:rPr>
          <w:rFonts w:ascii="Calibri" w:hAnsi="Calibri" w:cs="Calibri" w:eastAsia="Calibri"/>
          <w:color w:val="00000A"/>
          <w:spacing w:val="0"/>
          <w:position w:val="0"/>
          <w:sz w:val="22"/>
          <w:shd w:fill="auto" w:val="clear"/>
        </w:rPr>
      </w:pPr>
      <w:r>
        <w:object w:dxaOrig="1080" w:dyaOrig="1008">
          <v:rect xmlns:o="urn:schemas-microsoft-com:office:office" xmlns:v="urn:schemas-microsoft-com:vml" id="rectole0000000000" style="width:54.000000pt;height:50.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tabs>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uppressAutoHyphens w:val="true"/>
        <w:spacing w:before="0" w:after="160" w:line="240"/>
        <w:ind w:right="0" w:left="0" w:firstLine="0"/>
        <w:jc w:val="center"/>
        <w:rPr>
          <w:rFonts w:ascii="Calibri" w:hAnsi="Calibri" w:cs="Calibri" w:eastAsia="Calibri"/>
          <w:b/>
          <w:color w:val="00000A"/>
          <w:spacing w:val="0"/>
          <w:position w:val="0"/>
          <w:sz w:val="18"/>
          <w:shd w:fill="auto" w:val="clear"/>
        </w:rPr>
      </w:pPr>
      <w:r>
        <w:rPr>
          <w:rFonts w:ascii="Calibri" w:hAnsi="Calibri" w:cs="Calibri" w:eastAsia="Calibri"/>
          <w:b/>
          <w:color w:val="00000A"/>
          <w:spacing w:val="0"/>
          <w:position w:val="0"/>
          <w:sz w:val="18"/>
          <w:shd w:fill="auto" w:val="clear"/>
        </w:rPr>
        <w:t xml:space="preserve">SERVIÇO PÚBLICO FEDERAL</w:t>
      </w:r>
    </w:p>
    <w:p>
      <w:pPr>
        <w:widowControl w:val="false"/>
        <w:suppressAutoHyphens w:val="true"/>
        <w:spacing w:before="0" w:after="160" w:line="240"/>
        <w:ind w:right="0" w:left="0" w:firstLine="0"/>
        <w:jc w:val="center"/>
        <w:rPr>
          <w:rFonts w:ascii="Calibri" w:hAnsi="Calibri" w:cs="Calibri" w:eastAsia="Calibri"/>
          <w:b/>
          <w:color w:val="00000A"/>
          <w:spacing w:val="0"/>
          <w:position w:val="0"/>
          <w:sz w:val="18"/>
          <w:shd w:fill="auto" w:val="clear"/>
        </w:rPr>
      </w:pPr>
      <w:r>
        <w:rPr>
          <w:rFonts w:ascii="Calibri" w:hAnsi="Calibri" w:cs="Calibri" w:eastAsia="Calibri"/>
          <w:b/>
          <w:color w:val="00000A"/>
          <w:spacing w:val="0"/>
          <w:position w:val="0"/>
          <w:sz w:val="18"/>
          <w:shd w:fill="auto" w:val="clear"/>
        </w:rPr>
        <w:t xml:space="preserve">MINISTÉRIO DO MEIO AMBIENTE</w:t>
      </w:r>
    </w:p>
    <w:p>
      <w:pPr>
        <w:widowControl w:val="false"/>
        <w:tabs>
          <w:tab w:val="center" w:pos="4703" w:leader="none"/>
        </w:tabs>
        <w:suppressAutoHyphens w:val="true"/>
        <w:spacing w:before="0" w:after="160" w:line="240"/>
        <w:ind w:right="0" w:left="0" w:firstLine="0"/>
        <w:jc w:val="center"/>
        <w:rPr>
          <w:rFonts w:ascii="Calibri" w:hAnsi="Calibri" w:cs="Calibri" w:eastAsia="Calibri"/>
          <w:b/>
          <w:color w:val="00000A"/>
          <w:spacing w:val="0"/>
          <w:position w:val="0"/>
          <w:sz w:val="18"/>
          <w:shd w:fill="auto" w:val="clear"/>
        </w:rPr>
      </w:pPr>
      <w:r>
        <w:rPr>
          <w:rFonts w:ascii="Calibri" w:hAnsi="Calibri" w:cs="Calibri" w:eastAsia="Calibri"/>
          <w:b/>
          <w:color w:val="00000A"/>
          <w:spacing w:val="0"/>
          <w:position w:val="0"/>
          <w:sz w:val="18"/>
          <w:shd w:fill="auto" w:val="clear"/>
        </w:rPr>
        <w:t xml:space="preserve">INSTITUTO BRASILEIRO DO MEIO AMBIENTE E DOS RECURSOS NATURAIS RENOVÁVEIS</w:t>
      </w:r>
    </w:p>
    <w:p>
      <w:pPr>
        <w:widowControl w:val="false"/>
        <w:suppressAutoHyphens w:val="true"/>
        <w:spacing w:before="0" w:after="160" w:line="240"/>
        <w:ind w:right="0" w:left="0" w:firstLine="0"/>
        <w:jc w:val="center"/>
        <w:rPr>
          <w:rFonts w:ascii="Calibri" w:hAnsi="Calibri" w:cs="Calibri" w:eastAsia="Calibri"/>
          <w:b/>
          <w:color w:val="00000A"/>
          <w:spacing w:val="0"/>
          <w:position w:val="0"/>
          <w:sz w:val="18"/>
          <w:shd w:fill="auto" w:val="clear"/>
        </w:rPr>
      </w:pPr>
      <w:r>
        <w:rPr>
          <w:rFonts w:ascii="Calibri" w:hAnsi="Calibri" w:cs="Calibri" w:eastAsia="Calibri"/>
          <w:b/>
          <w:color w:val="00000A"/>
          <w:spacing w:val="0"/>
          <w:position w:val="0"/>
          <w:sz w:val="18"/>
          <w:shd w:fill="auto" w:val="clear"/>
        </w:rPr>
        <w:t xml:space="preserve">CENTRO NACIONAL DE PREVENÇÃO E COMBATE AOS INCÊNDIOS FLORESTAIS</w:t>
      </w:r>
    </w:p>
    <w:p>
      <w:pPr>
        <w:widowControl w:val="false"/>
        <w:suppressAutoHyphens w:val="true"/>
        <w:spacing w:before="0" w:after="160" w:line="252"/>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ab/>
        <w:t xml:space="preserve">O Chefe do Centro Nacional de Prevenção e Combate aos Incêndios Florestais – Prevfogo, informa</w:t>
      </w:r>
      <w:r>
        <w:rPr>
          <w:rFonts w:ascii="Calibri" w:hAnsi="Calibri" w:cs="Calibri" w:eastAsia="Calibri"/>
          <w:b/>
          <w:color w:val="00000A"/>
          <w:spacing w:val="0"/>
          <w:position w:val="0"/>
          <w:sz w:val="22"/>
          <w:shd w:fill="auto" w:val="clear"/>
        </w:rPr>
        <w:t xml:space="preserve"> resultado de recurso da fase de análise de currículo do Processo Seletivo Simplificado</w:t>
      </w:r>
      <w:r>
        <w:rPr>
          <w:rFonts w:ascii="Calibri" w:hAnsi="Calibri" w:cs="Calibri" w:eastAsia="Calibri"/>
          <w:color w:val="00000A"/>
          <w:spacing w:val="0"/>
          <w:position w:val="0"/>
          <w:sz w:val="22"/>
          <w:shd w:fill="auto" w:val="clear"/>
        </w:rPr>
        <w:t xml:space="preserve"> </w:t>
      </w:r>
      <w:r>
        <w:rPr>
          <w:rFonts w:ascii="Calibri" w:hAnsi="Calibri" w:cs="Calibri" w:eastAsia="Calibri"/>
          <w:b/>
          <w:color w:val="00000A"/>
          <w:spacing w:val="0"/>
          <w:position w:val="0"/>
          <w:sz w:val="22"/>
          <w:shd w:fill="auto" w:val="clear"/>
        </w:rPr>
        <w:t xml:space="preserve">Gerente Estadual do Fogo – Cuiabá/MT e 1.2 – Gerente Estadual – Barra do Garças/MT</w:t>
      </w:r>
      <w:r>
        <w:rPr>
          <w:rFonts w:ascii="Calibri" w:hAnsi="Calibri" w:cs="Calibri" w:eastAsia="Calibri"/>
          <w:color w:val="00000A"/>
          <w:spacing w:val="0"/>
          <w:position w:val="0"/>
          <w:sz w:val="22"/>
          <w:shd w:fill="auto" w:val="clear"/>
        </w:rPr>
        <w:t xml:space="preserve">, conforme consta do Edital do Processo Seletivo Simplificado para provimento de vagas de Gerente Estadual do Fogo para atuação em Prevenção e Combate aos Incêndios Florestais em Mato Grosso. </w:t>
      </w:r>
    </w:p>
    <w:p>
      <w:pPr>
        <w:widowControl w:val="false"/>
        <w:suppressAutoHyphens w:val="true"/>
        <w:spacing w:before="0" w:after="160" w:line="252"/>
        <w:ind w:right="0" w:left="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1. </w:t>
      </w:r>
      <w:r>
        <w:rPr>
          <w:rFonts w:ascii="Calibri" w:hAnsi="Calibri" w:cs="Calibri" w:eastAsia="Calibri"/>
          <w:b/>
          <w:color w:val="00000A"/>
          <w:spacing w:val="0"/>
          <w:position w:val="0"/>
          <w:sz w:val="22"/>
          <w:shd w:fill="auto" w:val="clear"/>
        </w:rPr>
        <w:t xml:space="preserve">RECORRENTE:</w:t>
      </w:r>
      <w:r>
        <w:rPr>
          <w:rFonts w:ascii="Calibri" w:hAnsi="Calibri" w:cs="Calibri" w:eastAsia="Calibri"/>
          <w:color w:val="00000A"/>
          <w:spacing w:val="0"/>
          <w:position w:val="0"/>
          <w:sz w:val="22"/>
          <w:shd w:fill="auto" w:val="clear"/>
        </w:rPr>
        <w:t xml:space="preserve"> </w:t>
      </w:r>
    </w:p>
    <w:p>
      <w:pPr>
        <w:widowControl w:val="false"/>
        <w:suppressAutoHyphens w:val="true"/>
        <w:spacing w:before="0" w:after="160" w:line="252"/>
        <w:ind w:right="0" w:left="720" w:firstLine="0"/>
        <w:jc w:val="both"/>
        <w:rPr>
          <w:rFonts w:ascii="Calibri" w:hAnsi="Calibri" w:cs="Calibri" w:eastAsia="Calibri"/>
          <w:b/>
          <w:color w:val="00000A"/>
          <w:spacing w:val="0"/>
          <w:position w:val="0"/>
          <w:sz w:val="22"/>
          <w:shd w:fill="auto" w:val="clear"/>
        </w:rPr>
      </w:pPr>
      <w:r>
        <w:rPr>
          <w:rFonts w:ascii="Calibri" w:hAnsi="Calibri" w:cs="Calibri" w:eastAsia="Calibri"/>
          <w:b/>
          <w:color w:val="00000A"/>
          <w:spacing w:val="0"/>
          <w:position w:val="0"/>
          <w:sz w:val="22"/>
          <w:shd w:fill="auto" w:val="clear"/>
        </w:rPr>
        <w:t xml:space="preserve"> </w:t>
      </w:r>
      <w:r>
        <w:rPr>
          <w:rFonts w:ascii="Calibri" w:hAnsi="Calibri" w:cs="Calibri" w:eastAsia="Calibri"/>
          <w:b/>
          <w:color w:val="00000A"/>
          <w:spacing w:val="0"/>
          <w:position w:val="0"/>
          <w:sz w:val="24"/>
          <w:shd w:fill="auto" w:val="clear"/>
        </w:rPr>
        <w:t xml:space="preserve">MARCOS AURÉLIO DA SILVA OLIVEIRA</w:t>
      </w:r>
    </w:p>
    <w:p>
      <w:pPr>
        <w:widowControl w:val="false"/>
        <w:suppressAutoHyphens w:val="true"/>
        <w:spacing w:before="0" w:after="160" w:line="252"/>
        <w:ind w:right="0" w:left="72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Solicitação 1 : d</w:t>
      </w:r>
      <w:r>
        <w:rPr>
          <w:rFonts w:ascii="Calibri" w:hAnsi="Calibri" w:cs="Calibri" w:eastAsia="Calibri"/>
          <w:color w:val="00000A"/>
          <w:spacing w:val="0"/>
          <w:position w:val="0"/>
          <w:sz w:val="24"/>
          <w:shd w:fill="auto" w:val="clear"/>
        </w:rPr>
        <w:t xml:space="preserve">eferido parcialmente</w:t>
      </w:r>
    </w:p>
    <w:p>
      <w:pPr>
        <w:widowControl w:val="false"/>
        <w:suppressAutoHyphens w:val="true"/>
        <w:spacing w:before="0" w:after="160" w:line="252"/>
        <w:ind w:right="0" w:left="72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4"/>
          <w:shd w:fill="auto" w:val="clear"/>
        </w:rPr>
        <w:t xml:space="preserve">Solicitação 2: deferido parcialmente</w:t>
      </w:r>
    </w:p>
    <w:p>
      <w:pPr>
        <w:widowControl w:val="false"/>
        <w:suppressAutoHyphens w:val="true"/>
        <w:spacing w:before="0" w:after="140" w:line="254"/>
        <w:ind w:right="0" w:left="72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Solicitação 3: indeferido</w:t>
      </w:r>
    </w:p>
    <w:p>
      <w:pPr>
        <w:widowControl w:val="false"/>
        <w:suppressAutoHyphens w:val="true"/>
        <w:spacing w:before="0" w:after="140" w:line="254"/>
        <w:ind w:right="0" w:left="72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Solicitação 4: indeferido</w:t>
      </w:r>
    </w:p>
    <w:p>
      <w:pPr>
        <w:widowControl w:val="false"/>
        <w:suppressAutoHyphens w:val="true"/>
        <w:spacing w:before="0" w:after="140" w:line="254"/>
        <w:ind w:right="0" w:left="72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Solicitação 5: indeferido</w:t>
      </w:r>
    </w:p>
    <w:p>
      <w:pPr>
        <w:widowControl w:val="false"/>
        <w:suppressAutoHyphens w:val="true"/>
        <w:spacing w:before="0" w:after="140" w:line="254"/>
        <w:ind w:right="0" w:left="72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Total de pontuação do recorrente após recurso: 25 pontos</w:t>
      </w:r>
    </w:p>
    <w:p>
      <w:pPr>
        <w:widowControl w:val="false"/>
        <w:suppressAutoHyphens w:val="true"/>
        <w:spacing w:before="0" w:after="140" w:line="254"/>
        <w:ind w:right="0" w:left="720" w:firstLine="0"/>
        <w:jc w:val="both"/>
        <w:rPr>
          <w:rFonts w:ascii="Calibri" w:hAnsi="Calibri" w:cs="Calibri" w:eastAsia="Calibri"/>
          <w:color w:val="00000A"/>
          <w:spacing w:val="0"/>
          <w:position w:val="0"/>
          <w:sz w:val="24"/>
          <w:shd w:fill="auto" w:val="clear"/>
        </w:rPr>
      </w:pPr>
    </w:p>
    <w:p>
      <w:pPr>
        <w:widowControl w:val="false"/>
        <w:suppressAutoHyphens w:val="true"/>
        <w:spacing w:before="0" w:after="140" w:line="254"/>
        <w:ind w:right="0" w:left="72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2. CLASSIFICAÇÃO FINAL APÓS RECURSO</w:t>
      </w:r>
    </w:p>
    <w:p>
      <w:pPr>
        <w:widowControl w:val="false"/>
        <w:suppressAutoHyphens w:val="true"/>
        <w:spacing w:before="0" w:after="140" w:line="254"/>
        <w:ind w:right="0" w:left="777"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Mantêm-se a convocação para participar dos Testes Específicos, os candidatos abaixo relacionados no item 2.1 – Gerente Estadual do Fogo – Cuiabá/MT e 2.2 – Gerente Estadual – Barra do Garças/MT, conforme consta do Edital do Processo Seletivo Simplificado para provimento de vagas de Gerente Estadual do Fogo para atuação em Prevenção e Combate aos Incêndios Florestais em Mato Grosso</w:t>
      </w:r>
    </w:p>
    <w:p>
      <w:pPr>
        <w:widowControl w:val="false"/>
        <w:suppressAutoHyphens w:val="true"/>
        <w:spacing w:before="0" w:after="160" w:line="252"/>
        <w:ind w:right="0" w:left="180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2.1 CARGO: GERENTE DO FOGO - CUIABÁ</w:t>
      </w:r>
    </w:p>
    <w:tbl>
      <w:tblPr>
        <w:tblInd w:w="1022" w:type="dxa"/>
      </w:tblPr>
      <w:tblGrid>
        <w:gridCol w:w="1361"/>
        <w:gridCol w:w="4815"/>
        <w:gridCol w:w="1266"/>
      </w:tblGrid>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Classificação</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Candidato</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Pontuação</w:t>
            </w:r>
          </w:p>
        </w:tc>
      </w:tr>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1</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Reginaldo Silva de Campos</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117</w:t>
            </w:r>
          </w:p>
        </w:tc>
      </w:tr>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2</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Regina Maria Lopes da Silva</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50</w:t>
            </w:r>
          </w:p>
        </w:tc>
      </w:tr>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3</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Marcio Araujo de Carvalho</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32</w:t>
            </w:r>
          </w:p>
        </w:tc>
      </w:tr>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4</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Liana Vicunã Nascimento dos Santos</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30</w:t>
            </w:r>
          </w:p>
        </w:tc>
      </w:tr>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5</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Luiz Carlos Rodrigues de Campos.</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30</w:t>
            </w:r>
          </w:p>
        </w:tc>
      </w:tr>
      <w:tr>
        <w:trPr>
          <w:trHeight w:val="1" w:hRule="atLeast"/>
          <w:jc w:val="left"/>
        </w:trPr>
        <w:tc>
          <w:tcPr>
            <w:tcW w:w="136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6</w:t>
            </w:r>
          </w:p>
        </w:tc>
        <w:tc>
          <w:tcPr>
            <w:tcW w:w="481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Silvia Yochie Kataoka</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30</w:t>
            </w:r>
          </w:p>
        </w:tc>
      </w:tr>
    </w:tbl>
    <w:p>
      <w:pPr>
        <w:widowControl w:val="false"/>
        <w:suppressAutoHyphens w:val="true"/>
        <w:spacing w:before="0" w:after="160" w:line="252"/>
        <w:ind w:right="0" w:left="1080" w:firstLine="0"/>
        <w:jc w:val="both"/>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0" w:firstLine="0"/>
        <w:jc w:val="both"/>
        <w:rPr>
          <w:rFonts w:ascii="Calibri" w:hAnsi="Calibri" w:cs="Calibri" w:eastAsia="Calibri"/>
          <w:color w:val="00000A"/>
          <w:spacing w:val="0"/>
          <w:position w:val="0"/>
          <w:sz w:val="22"/>
          <w:shd w:fill="auto" w:val="clear"/>
        </w:rPr>
      </w:pPr>
      <w:r>
        <w:rPr>
          <w:rFonts w:ascii="Times New Roman" w:hAnsi="Times New Roman" w:cs="Times New Roman" w:eastAsia="Times New Roman"/>
          <w:color w:val="00000A"/>
          <w:spacing w:val="0"/>
          <w:position w:val="0"/>
          <w:sz w:val="24"/>
          <w:shd w:fill="auto" w:val="clear"/>
        </w:rPr>
        <w:t xml:space="preserve">.</w:t>
      </w:r>
    </w:p>
    <w:p>
      <w:pPr>
        <w:widowControl w:val="false"/>
        <w:suppressAutoHyphens w:val="true"/>
        <w:spacing w:before="0" w:after="160" w:line="252"/>
        <w:ind w:right="0" w:left="180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2.2 CARGO: GERENTE DO FOGO – Barra do Garças/MT</w:t>
      </w:r>
    </w:p>
    <w:tbl>
      <w:tblPr>
        <w:tblInd w:w="992" w:type="dxa"/>
      </w:tblPr>
      <w:tblGrid>
        <w:gridCol w:w="1395"/>
        <w:gridCol w:w="4811"/>
        <w:gridCol w:w="1266"/>
      </w:tblGrid>
      <w:tr>
        <w:trPr>
          <w:trHeight w:val="1" w:hRule="atLeast"/>
          <w:jc w:val="left"/>
        </w:trPr>
        <w:tc>
          <w:tcPr>
            <w:tcW w:w="139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Classificação</w:t>
            </w:r>
          </w:p>
        </w:tc>
        <w:tc>
          <w:tcPr>
            <w:tcW w:w="481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Candidato</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Pontuação</w:t>
            </w:r>
          </w:p>
        </w:tc>
      </w:tr>
      <w:tr>
        <w:trPr>
          <w:trHeight w:val="1" w:hRule="atLeast"/>
          <w:jc w:val="left"/>
        </w:trPr>
        <w:tc>
          <w:tcPr>
            <w:tcW w:w="139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1</w:t>
            </w:r>
          </w:p>
        </w:tc>
        <w:tc>
          <w:tcPr>
            <w:tcW w:w="481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Jorge Rafael Costa Torres</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120</w:t>
            </w:r>
          </w:p>
        </w:tc>
      </w:tr>
      <w:tr>
        <w:trPr>
          <w:trHeight w:val="1" w:hRule="atLeast"/>
          <w:jc w:val="left"/>
        </w:trPr>
        <w:tc>
          <w:tcPr>
            <w:tcW w:w="1395"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2</w:t>
            </w:r>
          </w:p>
        </w:tc>
        <w:tc>
          <w:tcPr>
            <w:tcW w:w="4811"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u w:val="single"/>
                <w:shd w:fill="auto" w:val="clear"/>
              </w:rPr>
              <w:t xml:space="preserve">Rondiney José Da Silva</w:t>
            </w:r>
          </w:p>
        </w:tc>
        <w:tc>
          <w:tcPr>
            <w:tcW w:w="1266" w:type="dxa"/>
            <w:tcBorders>
              <w:top w:val="single" w:color="00000a" w:sz="4"/>
              <w:left w:val="single" w:color="00000a" w:sz="4"/>
              <w:bottom w:val="single" w:color="00000a" w:sz="4"/>
              <w:right w:val="single" w:color="00000a" w:sz="4"/>
            </w:tcBorders>
            <w:shd w:color="000000" w:fill="ffffff" w:val="clear"/>
            <w:tcMar>
              <w:left w:w="39" w:type="dxa"/>
              <w:right w:w="39" w:type="dxa"/>
            </w:tcMar>
            <w:vAlign w:val="top"/>
          </w:tcPr>
          <w:p>
            <w:pPr>
              <w:widowControl w:val="false"/>
              <w:suppressAutoHyphens w:val="true"/>
              <w:spacing w:before="0" w:after="0" w:line="252"/>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A"/>
                <w:spacing w:val="0"/>
                <w:position w:val="0"/>
                <w:sz w:val="22"/>
                <w:shd w:fill="auto" w:val="clear"/>
              </w:rPr>
              <w:t xml:space="preserve">15</w:t>
            </w:r>
          </w:p>
        </w:tc>
      </w:tr>
    </w:tbl>
    <w:p>
      <w:pPr>
        <w:widowControl w:val="false"/>
        <w:suppressAutoHyphens w:val="true"/>
        <w:spacing w:before="0" w:after="160" w:line="252"/>
        <w:ind w:right="0" w:left="720" w:firstLine="0"/>
        <w:jc w:val="both"/>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72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Os testes específicos serão realizados no dia 26 de maio de 2017, às 8h15, para os três primeiros colocados em Cuiabá e, na parte da tarde, os candidatos classificados em 4º, 5º e 6º lugar, às 14:15. O seletivo será aplicado no seguinte endereço:  Av. Rubens de Mendonça, 5350 - Bairro Morada da Serra - Cep: 78055-900 - Cuiabá/MT  (PREVFOGO/MT).</w:t>
      </w:r>
    </w:p>
    <w:p>
      <w:pPr>
        <w:widowControl w:val="false"/>
        <w:suppressAutoHyphens w:val="true"/>
        <w:spacing w:before="0" w:after="160" w:line="252"/>
        <w:ind w:right="0" w:left="1080" w:firstLine="0"/>
        <w:jc w:val="both"/>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72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Em Barra do Garças/MT, as provas serão realizadas no dia 26/05/2017, às 8:30. O seletivo será aplicado no seguinte endereço: Rua Carajás, n° 629, Centro - Cep: 78600-00 - Barra do Garças/MT   (Gerência Executiva/MT).</w:t>
      </w:r>
    </w:p>
    <w:p>
      <w:pPr>
        <w:widowControl w:val="false"/>
        <w:suppressAutoHyphens w:val="true"/>
        <w:spacing w:before="0" w:after="160" w:line="252"/>
        <w:ind w:right="0" w:left="720" w:firstLine="0"/>
        <w:jc w:val="left"/>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720" w:firstLine="0"/>
        <w:jc w:val="both"/>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Os candidatos que não comparecerem no horário marcado para os testes, horário de Brasília, estarão automaticamente desclassificados.</w:t>
      </w:r>
    </w:p>
    <w:p>
      <w:pPr>
        <w:widowControl w:val="false"/>
        <w:suppressAutoHyphens w:val="true"/>
        <w:spacing w:before="0" w:after="160" w:line="252"/>
        <w:ind w:right="0" w:left="720" w:firstLine="0"/>
        <w:jc w:val="left"/>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720" w:firstLine="0"/>
        <w:jc w:val="left"/>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1080" w:firstLine="0"/>
        <w:jc w:val="right"/>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Brasília, 25 de maio de 2017.</w:t>
      </w:r>
    </w:p>
    <w:p>
      <w:pPr>
        <w:widowControl w:val="false"/>
        <w:suppressAutoHyphens w:val="true"/>
        <w:spacing w:before="0" w:after="160" w:line="252"/>
        <w:ind w:right="0" w:left="1080" w:firstLine="0"/>
        <w:jc w:val="right"/>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1080" w:firstLine="0"/>
        <w:jc w:val="center"/>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1080" w:firstLine="0"/>
        <w:jc w:val="center"/>
        <w:rPr>
          <w:rFonts w:ascii="Calibri" w:hAnsi="Calibri" w:cs="Calibri" w:eastAsia="Calibri"/>
          <w:color w:val="00000A"/>
          <w:spacing w:val="0"/>
          <w:position w:val="0"/>
          <w:sz w:val="22"/>
          <w:shd w:fill="auto" w:val="clear"/>
        </w:rPr>
      </w:pPr>
    </w:p>
    <w:p>
      <w:pPr>
        <w:widowControl w:val="false"/>
        <w:suppressAutoHyphens w:val="true"/>
        <w:spacing w:before="0" w:after="160" w:line="252"/>
        <w:ind w:right="0" w:left="1080" w:firstLine="0"/>
        <w:jc w:val="center"/>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Gabriel Constantino Zacharias</w:t>
      </w:r>
    </w:p>
    <w:p>
      <w:pPr>
        <w:widowControl w:val="false"/>
        <w:suppressAutoHyphens w:val="true"/>
        <w:spacing w:before="0" w:after="160" w:line="252"/>
        <w:ind w:right="0" w:left="1080" w:firstLine="0"/>
        <w:jc w:val="center"/>
        <w:rPr>
          <w:rFonts w:ascii="Calibri" w:hAnsi="Calibri" w:cs="Calibri" w:eastAsia="Calibri"/>
          <w:color w:val="00000A"/>
          <w:spacing w:val="0"/>
          <w:position w:val="0"/>
          <w:sz w:val="22"/>
          <w:shd w:fill="auto" w:val="clear"/>
        </w:rPr>
      </w:pPr>
      <w:r>
        <w:rPr>
          <w:rFonts w:ascii="Calibri" w:hAnsi="Calibri" w:cs="Calibri" w:eastAsia="Calibri"/>
          <w:color w:val="00000A"/>
          <w:spacing w:val="0"/>
          <w:position w:val="0"/>
          <w:sz w:val="22"/>
          <w:shd w:fill="auto" w:val="clear"/>
        </w:rPr>
        <w:t xml:space="preserve">Chefe do Prevfogo/Ibama</w:t>
      </w:r>
    </w:p>
    <w:p>
      <w:pPr>
        <w:widowControl w:val="false"/>
        <w:suppressAutoHyphens w:val="true"/>
        <w:spacing w:before="0" w:after="160" w:line="252"/>
        <w:ind w:right="0" w:left="0" w:firstLine="0"/>
        <w:jc w:val="left"/>
        <w:rPr>
          <w:rFonts w:ascii="Calibri" w:hAnsi="Calibri" w:cs="Calibri" w:eastAsia="Calibri"/>
          <w:color w:val="00000A"/>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