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240" w:lineRule="auto"/>
        <w:ind w:hanging="425.19685039370086"/>
        <w:jc w:val="both"/>
        <w:rPr/>
      </w:pPr>
      <w:bookmarkStart w:colFirst="0" w:colLast="0" w:name="_heading=h.dla09afpme0d" w:id="0"/>
      <w:bookmarkEnd w:id="0"/>
      <w:r w:rsidDel="00000000" w:rsidR="00000000" w:rsidRPr="00000000">
        <w:rPr>
          <w:b w:val="1"/>
          <w:bCs w:val="1"/>
          <w:color w:val="0c326f"/>
          <w:rtl w:val="0"/>
        </w:rPr>
        <w:t xml:space="preserve">Matriz RACI: Ciclo de vida de sistemas de 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ind w:hanging="283.46456692913375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20" w:tblpY="0"/>
        <w:tblW w:w="152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1365"/>
        <w:gridCol w:w="1245"/>
        <w:gridCol w:w="1020"/>
        <w:gridCol w:w="855"/>
        <w:gridCol w:w="900"/>
        <w:gridCol w:w="1245"/>
        <w:gridCol w:w="1230"/>
        <w:gridCol w:w="585"/>
        <w:gridCol w:w="1035"/>
        <w:gridCol w:w="930"/>
        <w:gridCol w:w="1155"/>
        <w:gridCol w:w="555"/>
        <w:gridCol w:w="585"/>
        <w:gridCol w:w="900"/>
        <w:tblGridChange w:id="0">
          <w:tblGrid>
            <w:gridCol w:w="1635"/>
            <w:gridCol w:w="1365"/>
            <w:gridCol w:w="1245"/>
            <w:gridCol w:w="1020"/>
            <w:gridCol w:w="855"/>
            <w:gridCol w:w="900"/>
            <w:gridCol w:w="1245"/>
            <w:gridCol w:w="1230"/>
            <w:gridCol w:w="585"/>
            <w:gridCol w:w="1035"/>
            <w:gridCol w:w="930"/>
            <w:gridCol w:w="1155"/>
            <w:gridCol w:w="555"/>
            <w:gridCol w:w="585"/>
            <w:gridCol w:w="900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tcBorders>
              <w:top w:color="666666" w:space="0" w:sz="10" w:val="single"/>
              <w:left w:color="666666" w:space="0" w:sz="10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Fase / 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Demandante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color w:val="30303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Curador de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Alta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Gestor de 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Encarregado de </w:t>
              <w:br w:type="textWrapping"/>
              <w:t xml:space="preserve">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b w:val="1"/>
                <w:bCs w:val="1"/>
                <w:color w:val="30303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Gestor de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b w:val="1"/>
                <w:bCs w:val="1"/>
                <w:color w:val="30303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Segurança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da Informação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Facilitador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Executor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Sustentador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CISC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RSGI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10" w:val="single"/>
              <w:left w:color="cccccc" w:space="0" w:sz="5" w:val="single"/>
              <w:bottom w:color="919191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03030"/>
                <w:sz w:val="18"/>
                <w:szCs w:val="18"/>
                <w:rtl w:val="0"/>
              </w:rPr>
              <w:t xml:space="preserve">Comitê de Ética em 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919191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6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Prospecção e priorização</w:t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Descoberta de desafio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19191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Identificação interna de desafios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Preenchimento do ONEPAGE sobre desafio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Análise de disponibilidade dos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Estabelecimento de alinhamento estratégico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Análise de impacto e priorização interna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Aprofundamento de desafios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Elaboração de ETP (Estudo Técnico Preliminar)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Avaliação de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AIE - Avaliação de Impacto Ético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Identificação de riscos e barreiras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Decisão de envolvimento do 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Validação de desafios pelo NIA (opcional)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Validação do desafio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Definição de facilitador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Definição do facilitador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240" w:lineRule="auto"/>
              <w:jc w:val="center"/>
              <w:rPr>
                <w:b w:val="1"/>
                <w:bCs w:val="1"/>
                <w:color w:val="30303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7">
            <w:pPr>
              <w:spacing w:after="240" w:lineRule="auto"/>
              <w:jc w:val="center"/>
              <w:rPr>
                <w:b w:val="1"/>
                <w:bCs w:val="1"/>
                <w:color w:val="30303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Enquadramento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Compreensão do desafio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0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Definição de necessidade ou não de parcerias (Make or buy)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1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Construção de proposta de MVP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Definição de executores e sustentadores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Definição da parceria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Viabilidade e risco ético dos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5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Detalhar dados (formato, volume, extração)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6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Verificar nível de segurança necessário (sigilo, LGPD e anonimização)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7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Formalizar acesso (logística para experimentação)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8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Consolidar relatório de análise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Realizar AIE complementar (Parte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9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Proposição de arquitetura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A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Desenho conceitual da solução e abordagem 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B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Viabilidade técnica e financeira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C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Apurar Recursos e Custos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D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Análise Orçamentária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E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Avaliação de riscos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F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Mapear riscos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0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Avaliar risco ético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1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Criar plano de mitigação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2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Formalizar pedido de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3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Definição de métricas e plano do piloto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4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Definir métricas de sucesso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5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Elaborar plano de experimentação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6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Consolidar relatório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7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7F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Experimentação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Planejamento e detalhamento do uso da 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8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Especificar casos de uso da solução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Definir métricas da solução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9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Definir premissas de segurança e privacidade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A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Experimentação de modelo de 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B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Estruturação de ambiente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C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Seleção de modelos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D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Análise exploratória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E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Validação técnica, segurança e viabilidade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2F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Definir métricas e estórias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0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Executar experimentos / Treino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1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Validar segurança e compliance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2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Analisar viabilidade econômica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3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240" w:lineRule="auto"/>
              <w:jc w:val="center"/>
              <w:rPr>
                <w:b w:val="1"/>
                <w:bCs w:val="1"/>
                <w:color w:val="30303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343">
            <w:pPr>
              <w:spacing w:after="240" w:lineRule="auto"/>
              <w:jc w:val="center"/>
              <w:rPr>
                <w:b w:val="1"/>
                <w:bCs w:val="1"/>
                <w:color w:val="30303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Implementação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Arquitetura, construção, testes e validação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4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Definir Arquitetura segura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5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Preparar infra e pipelines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6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Testes de segurança e carga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7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Elaboração do plano de Rollout (GMUD)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8E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38F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Implantação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Implantação (rollout)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9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Execução do rollout (GMUD)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D">
            <w:pPr>
              <w:spacing w:after="240" w:lineRule="auto"/>
              <w:jc w:val="center"/>
              <w:rPr>
                <w:b w:val="1"/>
                <w:bCs w:val="1"/>
                <w:color w:val="30303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3AE">
            <w:pPr>
              <w:spacing w:after="240" w:lineRule="auto"/>
              <w:jc w:val="center"/>
              <w:rPr>
                <w:b w:val="1"/>
                <w:bCs w:val="1"/>
                <w:color w:val="303030"/>
              </w:rPr>
            </w:pPr>
            <w:r w:rsidDel="00000000" w:rsidR="00000000" w:rsidRPr="00000000">
              <w:rPr>
                <w:b w:val="1"/>
                <w:bCs w:val="1"/>
                <w:color w:val="303030"/>
                <w:rtl w:val="0"/>
              </w:rPr>
              <w:t xml:space="preserve">Sustentação e monitoramento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A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Gestão, retreino e evolução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666666" w:space="0" w:sz="10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Decisão sobre permanência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B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3CD">
            <w:pPr>
              <w:spacing w:after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Desativação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Identificação e planejamento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C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Aprovação ou rejeição de plano de desativação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D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Execução e substituição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E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Aprovação ou rejeição de desativação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3F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A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Rastreabilidade e auditoria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B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C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D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E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0F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0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1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2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3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4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5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9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Identificar necessidade de desativação / substituição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1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6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8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Executar desligamento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2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5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7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Auditar e arquivar dados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3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4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666666" w:space="0" w:sz="10" w:val="single"/>
              <w:left w:color="666666" w:space="0" w:sz="10" w:val="single"/>
              <w:bottom w:color="666666" w:space="0" w:sz="10" w:val="single"/>
              <w:right w:color="cccccc" w:space="0" w:sz="5" w:val="single"/>
            </w:tcBorders>
            <w:shd w:fill="0c326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6">
            <w:pPr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Atualizar inventário do órgão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7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8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9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4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5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5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52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666666" w:space="0" w:sz="10" w:val="single"/>
              <w:right w:color="666666" w:space="0" w:sz="10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453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30303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Legenda:</w:t>
      </w:r>
    </w:p>
    <w:p w:rsidR="00000000" w:rsidDel="00000000" w:rsidP="00000000" w:rsidRDefault="00000000" w:rsidRPr="00000000" w14:paraId="00000456">
      <w:pPr>
        <w:rPr/>
      </w:pPr>
      <w:r w:rsidDel="00000000" w:rsidR="00000000" w:rsidRPr="00000000">
        <w:rPr>
          <w:rtl w:val="0"/>
        </w:rPr>
        <w:t xml:space="preserve">Responsável (R): Quem efetivamente executa a tarefa técnica ou administrativa.</w:t>
      </w:r>
    </w:p>
    <w:p w:rsidR="00000000" w:rsidDel="00000000" w:rsidP="00000000" w:rsidRDefault="00000000" w:rsidRPr="00000000" w14:paraId="00000457">
      <w:pPr>
        <w:rPr/>
      </w:pPr>
      <w:r w:rsidDel="00000000" w:rsidR="00000000" w:rsidRPr="00000000">
        <w:rPr>
          <w:rtl w:val="0"/>
        </w:rPr>
        <w:t xml:space="preserve">Aprovador (A): Autoridade responsável por aprovar e responder pela decisão. </w:t>
      </w:r>
    </w:p>
    <w:p w:rsidR="00000000" w:rsidDel="00000000" w:rsidP="00000000" w:rsidRDefault="00000000" w:rsidRPr="00000000" w14:paraId="00000458">
      <w:pPr>
        <w:rPr/>
      </w:pPr>
      <w:r w:rsidDel="00000000" w:rsidR="00000000" w:rsidRPr="00000000">
        <w:rPr>
          <w:rtl w:val="0"/>
        </w:rPr>
        <w:t xml:space="preserve">Consultado (C): Quem fornece suporte, informações ou é ouvido antes da execução da tarefa ou da decisão. 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rPr>
          <w:rtl w:val="0"/>
        </w:rPr>
        <w:t xml:space="preserve">Informado (I): Quem precisa apenas ser notificado sobre a decisão ou andamento do processo.</w:t>
      </w:r>
    </w:p>
    <w:p w:rsidR="00000000" w:rsidDel="00000000" w:rsidP="00000000" w:rsidRDefault="00000000" w:rsidRPr="00000000" w14:paraId="0000045A">
      <w:pPr>
        <w:rPr/>
      </w:pPr>
      <w:r w:rsidDel="00000000" w:rsidR="00000000" w:rsidRPr="00000000">
        <w:rPr>
          <w:rtl w:val="0"/>
        </w:rPr>
        <w:t xml:space="preserve">- : Não atua na atividade.</w:t>
      </w:r>
    </w:p>
    <w:p w:rsidR="00000000" w:rsidDel="00000000" w:rsidP="00000000" w:rsidRDefault="00000000" w:rsidRPr="00000000" w14:paraId="0000045B">
      <w:pPr>
        <w:rPr/>
      </w:pPr>
      <w:r w:rsidDel="00000000" w:rsidR="00000000" w:rsidRPr="00000000">
        <w:rPr>
          <w:rtl w:val="0"/>
        </w:rPr>
        <w:t xml:space="preserve">*** (Asterisco)**: Indica ações do NIA ou Facilitador com condições de comunicação. O C* significa que deve ser "Consultado, se necessário". O I* significa que o NIA é "Informado via sistema de organização e registro de soluções de IA (SORRIA)".</w:t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E">
    <w:pPr>
      <w:tabs>
        <w:tab w:val="center" w:leader="none" w:pos="4419"/>
        <w:tab w:val="right" w:leader="none" w:pos="8838"/>
      </w:tabs>
      <w:spacing w:after="60" w:before="60" w:line="240" w:lineRule="auto"/>
      <w:jc w:val="both"/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14430.0" w:type="dxa"/>
      <w:jc w:val="left"/>
      <w:tblInd w:w="-3.0" w:type="dxa"/>
      <w:tblBorders>
        <w:top w:color="000000" w:space="0" w:sz="4" w:val="single"/>
      </w:tblBorders>
      <w:tblLayout w:type="fixed"/>
      <w:tblLook w:val="0000"/>
    </w:tblPr>
    <w:tblGrid>
      <w:gridCol w:w="14430"/>
      <w:tblGridChange w:id="0">
        <w:tblGrid>
          <w:gridCol w:w="14430"/>
        </w:tblGrid>
      </w:tblGridChange>
    </w:tblGrid>
    <w:tr>
      <w:trPr>
        <w:cantSplit w:val="0"/>
        <w:trHeight w:val="270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45F">
          <w:pPr>
            <w:tabs>
              <w:tab w:val="center" w:leader="none" w:pos="4419"/>
              <w:tab w:val="right" w:leader="none" w:pos="8838"/>
            </w:tabs>
            <w:spacing w:after="60" w:before="60" w:line="240" w:lineRule="auto"/>
            <w:jc w:val="center"/>
            <w:rPr/>
          </w:pPr>
          <w:r w:rsidDel="00000000" w:rsidR="00000000" w:rsidRPr="00000000">
            <w:rPr>
              <w:sz w:val="16"/>
              <w:szCs w:val="16"/>
              <w:rtl w:val="0"/>
            </w:rPr>
            <w:t xml:space="preserve">Gov – Todos os direitos reservados.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60">
    <w:pPr>
      <w:tabs>
        <w:tab w:val="center" w:leader="none" w:pos="4419"/>
        <w:tab w:val="right" w:leader="none" w:pos="8838"/>
      </w:tabs>
      <w:spacing w:after="60" w:before="60" w:line="240" w:lineRule="auto"/>
      <w:jc w:val="both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C">
    <w:pPr>
      <w:tabs>
        <w:tab w:val="right" w:leader="none" w:pos="8775"/>
      </w:tabs>
      <w:spacing w:line="240" w:lineRule="auto"/>
      <w:ind w:left="-1440" w:firstLine="0"/>
      <w:rPr/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9151050" cy="6572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49" l="-6022" r="-53623" t="-1449"/>
                  <a:stretch>
                    <a:fillRect/>
                  </a:stretch>
                </pic:blipFill>
                <pic:spPr>
                  <a:xfrm>
                    <a:off x="0" y="0"/>
                    <a:ext cx="9151050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vdLcOV7T9z1j4VSTlSXoDez/uw==">CgMxLjAyDmguZGxhMDlhZnBtZTBkOAByITFHTEd6OEs1OVFYX0ZENVFaaElGelN4dGtsd3BiU2RkSg==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0x01010010F296888BFD4B46900A0D86A0E95294</vt:lpwstr>
  </property>
  <property fmtid="{D5CDD505-2E9C-101B-9397-08002B2CF9AE}" pid="3" name="Order">
    <vt:lpwstr>24700.0</vt:lpwstr>
  </property>
</Properties>
</file>