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E97A1" w14:textId="3F6B01DB" w:rsidR="007A22FC" w:rsidRDefault="5A40D9A5" w:rsidP="188B7FE5">
      <w:pPr>
        <w:jc w:val="center"/>
        <w:rPr>
          <w:b/>
          <w:bCs/>
        </w:rPr>
      </w:pPr>
      <w:r w:rsidRPr="4E470D82">
        <w:rPr>
          <w:b/>
          <w:bCs/>
        </w:rPr>
        <w:t>Orientações para preenchimento do Capítulo de</w:t>
      </w:r>
      <w:r w:rsidR="53C1E741" w:rsidRPr="4E470D82">
        <w:rPr>
          <w:b/>
          <w:bCs/>
        </w:rPr>
        <w:t xml:space="preserve"> “Gestão de Riscos” </w:t>
      </w:r>
      <w:r w:rsidR="003EC542" w:rsidRPr="4E470D82">
        <w:rPr>
          <w:b/>
          <w:bCs/>
        </w:rPr>
        <w:t xml:space="preserve">do </w:t>
      </w:r>
      <w:r w:rsidR="006377F6">
        <w:rPr>
          <w:b/>
          <w:bCs/>
        </w:rPr>
        <w:t>D</w:t>
      </w:r>
      <w:r w:rsidR="003EC542" w:rsidRPr="4E470D82">
        <w:rPr>
          <w:b/>
          <w:bCs/>
        </w:rPr>
        <w:t xml:space="preserve">ocumento </w:t>
      </w:r>
      <w:r w:rsidR="006377F6">
        <w:rPr>
          <w:b/>
          <w:bCs/>
        </w:rPr>
        <w:t>D</w:t>
      </w:r>
      <w:r w:rsidR="003EC542" w:rsidRPr="4E470D82">
        <w:rPr>
          <w:b/>
          <w:bCs/>
        </w:rPr>
        <w:t>iretivo do</w:t>
      </w:r>
      <w:r w:rsidR="53C1E741" w:rsidRPr="4E470D82">
        <w:rPr>
          <w:b/>
          <w:bCs/>
        </w:rPr>
        <w:t xml:space="preserve"> Plano de Transformação Digital </w:t>
      </w:r>
      <w:r w:rsidR="564A2B11" w:rsidRPr="4E470D82">
        <w:rPr>
          <w:b/>
          <w:bCs/>
        </w:rPr>
        <w:t>(PTD)</w:t>
      </w:r>
    </w:p>
    <w:tbl>
      <w:tblPr>
        <w:tblStyle w:val="TabeladeGradeClara"/>
        <w:tblW w:w="14854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7229"/>
        <w:gridCol w:w="1843"/>
        <w:gridCol w:w="1843"/>
        <w:gridCol w:w="1701"/>
        <w:gridCol w:w="1528"/>
      </w:tblGrid>
      <w:tr w:rsidR="003A535E" w:rsidRPr="000C3CEC" w14:paraId="48CC9807" w14:textId="77777777" w:rsidTr="006377F6">
        <w:trPr>
          <w:trHeight w:val="315"/>
          <w:jc w:val="center"/>
        </w:trPr>
        <w:tc>
          <w:tcPr>
            <w:tcW w:w="710" w:type="dxa"/>
            <w:vAlign w:val="center"/>
          </w:tcPr>
          <w:p w14:paraId="248C62D0" w14:textId="77777777" w:rsidR="003D37EC" w:rsidRDefault="0E0A3F6B" w:rsidP="003D37EC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4E470D8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>ID</w:t>
            </w:r>
          </w:p>
          <w:p w14:paraId="533C9337" w14:textId="1AC78596" w:rsidR="0E0A3F6B" w:rsidRDefault="0E0A3F6B" w:rsidP="003D37EC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pt-BR"/>
              </w:rPr>
            </w:pPr>
            <w:r w:rsidRPr="4E470D8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 xml:space="preserve">do </w:t>
            </w:r>
            <w:r w:rsidR="003D37EC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>R</w:t>
            </w:r>
            <w:r w:rsidRPr="4E470D8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>isco</w:t>
            </w:r>
          </w:p>
        </w:tc>
        <w:tc>
          <w:tcPr>
            <w:tcW w:w="7229" w:type="dxa"/>
            <w:noWrap/>
            <w:vAlign w:val="center"/>
            <w:hideMark/>
          </w:tcPr>
          <w:p w14:paraId="67CBD853" w14:textId="65896309" w:rsidR="000C3CEC" w:rsidRPr="000C3CEC" w:rsidRDefault="53C1E741" w:rsidP="006377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4E470D8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>Risco</w:t>
            </w:r>
            <w:r w:rsidR="44CF2612" w:rsidRPr="4E470D8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 xml:space="preserve"> (exemplos)</w:t>
            </w:r>
            <w:r w:rsidR="1E111712" w:rsidRPr="4E470D82">
              <w:rPr>
                <w:rFonts w:ascii="Calibri" w:eastAsia="Times New Roman" w:hAnsi="Calibri" w:cs="Calibri"/>
                <w:b/>
                <w:bCs/>
                <w:color w:val="FF0000"/>
                <w:lang w:eastAsia="pt-BR"/>
              </w:rPr>
              <w:t>*</w:t>
            </w:r>
          </w:p>
        </w:tc>
        <w:tc>
          <w:tcPr>
            <w:tcW w:w="1843" w:type="dxa"/>
            <w:noWrap/>
            <w:hideMark/>
          </w:tcPr>
          <w:p w14:paraId="57BA7F0C" w14:textId="77777777" w:rsidR="006377F6" w:rsidRDefault="000C3CEC" w:rsidP="006812C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C3CE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Probabilidade de Ocorrer</w:t>
            </w:r>
            <w:r w:rsidR="006812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</w:p>
          <w:p w14:paraId="5A2C0EDC" w14:textId="7A31AA2A" w:rsidR="006812C0" w:rsidRPr="003A535E" w:rsidRDefault="006812C0" w:rsidP="006812C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A535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[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e</w:t>
            </w:r>
            <w:r w:rsidRPr="003A535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scolher entre: </w:t>
            </w:r>
          </w:p>
          <w:p w14:paraId="6742F565" w14:textId="54D1D451" w:rsidR="006812C0" w:rsidRDefault="006812C0" w:rsidP="006812C0">
            <w:pPr>
              <w:rPr>
                <w:rFonts w:ascii="Segoe UI" w:hAnsi="Segoe UI" w:cs="Segoe UI"/>
                <w:color w:val="333333"/>
                <w:sz w:val="16"/>
                <w:szCs w:val="16"/>
                <w:shd w:val="clear" w:color="auto" w:fill="FFFFFF"/>
              </w:rPr>
            </w:pPr>
            <w:r w:rsidRPr="00142763">
              <w:rPr>
                <w:rFonts w:ascii="Segoe UI" w:hAnsi="Segoe UI" w:cs="Segoe UI"/>
                <w:color w:val="333333"/>
                <w:sz w:val="16"/>
                <w:szCs w:val="16"/>
                <w:shd w:val="clear" w:color="auto" w:fill="FFFFFF"/>
              </w:rPr>
              <w:t xml:space="preserve">raro; pouco </w:t>
            </w:r>
            <w:r w:rsidR="006377F6" w:rsidRPr="00142763">
              <w:rPr>
                <w:rFonts w:ascii="Segoe UI" w:hAnsi="Segoe UI" w:cs="Segoe UI"/>
                <w:color w:val="333333"/>
                <w:sz w:val="16"/>
                <w:szCs w:val="16"/>
                <w:shd w:val="clear" w:color="auto" w:fill="FFFFFF"/>
              </w:rPr>
              <w:t>provável;</w:t>
            </w:r>
            <w:r w:rsidRPr="00142763">
              <w:rPr>
                <w:rFonts w:ascii="Segoe UI" w:hAnsi="Segoe UI" w:cs="Segoe UI"/>
                <w:color w:val="333333"/>
                <w:sz w:val="16"/>
                <w:szCs w:val="16"/>
                <w:shd w:val="clear" w:color="auto" w:fill="FFFFFF"/>
              </w:rPr>
              <w:t xml:space="preserve"> provável; </w:t>
            </w:r>
          </w:p>
          <w:p w14:paraId="1236C404" w14:textId="5E59F93A" w:rsidR="000C3CEC" w:rsidRPr="000C3CEC" w:rsidRDefault="006812C0" w:rsidP="006812C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142763">
              <w:rPr>
                <w:rFonts w:ascii="Segoe UI" w:hAnsi="Segoe UI" w:cs="Segoe UI"/>
                <w:color w:val="333333"/>
                <w:sz w:val="16"/>
                <w:szCs w:val="16"/>
                <w:shd w:val="clear" w:color="auto" w:fill="FFFFFF"/>
              </w:rPr>
              <w:t>muito provável; praticamente certo</w:t>
            </w:r>
            <w:r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FFFFFF"/>
              </w:rPr>
              <w:t>]</w:t>
            </w:r>
          </w:p>
        </w:tc>
        <w:tc>
          <w:tcPr>
            <w:tcW w:w="1843" w:type="dxa"/>
            <w:noWrap/>
            <w:hideMark/>
          </w:tcPr>
          <w:p w14:paraId="1C7F820D" w14:textId="77777777" w:rsidR="006377F6" w:rsidRDefault="000C3CEC" w:rsidP="006812C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C3CE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Impacto</w:t>
            </w:r>
            <w:r w:rsidR="006377F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="003D37E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ao Ocorrer</w:t>
            </w:r>
            <w:r w:rsidR="006812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</w:p>
          <w:p w14:paraId="165EAF04" w14:textId="57C4F283" w:rsidR="006812C0" w:rsidRPr="003A535E" w:rsidRDefault="006812C0" w:rsidP="006812C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A535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[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e</w:t>
            </w:r>
            <w:r w:rsidRPr="003A535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scolher entre: </w:t>
            </w:r>
          </w:p>
          <w:p w14:paraId="5A0A9B74" w14:textId="3CBB1C88" w:rsidR="000C3CEC" w:rsidRPr="000C3CEC" w:rsidRDefault="006812C0" w:rsidP="006812C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Segoe UI" w:hAnsi="Segoe UI" w:cs="Segoe UI"/>
                <w:color w:val="333333"/>
                <w:sz w:val="16"/>
                <w:szCs w:val="16"/>
                <w:shd w:val="clear" w:color="auto" w:fill="FFFFFF"/>
              </w:rPr>
              <w:t>muito baixo; baixo; médio; alto;</w:t>
            </w:r>
            <w:r w:rsidRPr="003A535E">
              <w:rPr>
                <w:rFonts w:ascii="Segoe UI" w:hAnsi="Segoe UI" w:cs="Segoe UI"/>
                <w:color w:val="333333"/>
                <w:sz w:val="16"/>
                <w:szCs w:val="16"/>
                <w:shd w:val="clear" w:color="auto" w:fill="FFFFFF"/>
              </w:rPr>
              <w:t xml:space="preserve"> muito alt</w:t>
            </w:r>
            <w:r>
              <w:rPr>
                <w:rFonts w:ascii="Segoe UI" w:hAnsi="Segoe UI" w:cs="Segoe UI"/>
                <w:color w:val="333333"/>
                <w:sz w:val="16"/>
                <w:szCs w:val="16"/>
                <w:shd w:val="clear" w:color="auto" w:fill="FFFFFF"/>
              </w:rPr>
              <w:t>o</w:t>
            </w:r>
            <w:r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FFFFFF"/>
              </w:rPr>
              <w:t>]</w:t>
            </w:r>
          </w:p>
        </w:tc>
        <w:tc>
          <w:tcPr>
            <w:tcW w:w="1701" w:type="dxa"/>
            <w:noWrap/>
            <w:hideMark/>
          </w:tcPr>
          <w:p w14:paraId="29327F35" w14:textId="77777777" w:rsidR="006377F6" w:rsidRDefault="2150B837" w:rsidP="000C3CEC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4E470D8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>Opção de t</w:t>
            </w:r>
            <w:r w:rsidR="53C1E741" w:rsidRPr="4E470D8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>ratamento</w:t>
            </w:r>
          </w:p>
          <w:p w14:paraId="31C4261B" w14:textId="46060A19" w:rsidR="006377F6" w:rsidRDefault="006377F6" w:rsidP="000C3CEC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>do</w:t>
            </w:r>
          </w:p>
          <w:p w14:paraId="63FA8E59" w14:textId="6A209614" w:rsidR="000C3CEC" w:rsidRPr="000C3CEC" w:rsidRDefault="006377F6" w:rsidP="006377F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>Risco</w:t>
            </w:r>
            <w:r w:rsidR="57EDD2BF" w:rsidRPr="4E470D82">
              <w:rPr>
                <w:rFonts w:ascii="Calibri" w:eastAsia="Times New Roman" w:hAnsi="Calibri" w:cs="Calibri"/>
                <w:b/>
                <w:bCs/>
                <w:color w:val="FF0000"/>
                <w:lang w:eastAsia="pt-BR"/>
              </w:rPr>
              <w:t>*</w:t>
            </w:r>
            <w:r w:rsidR="6449DF84" w:rsidRPr="4E470D82">
              <w:rPr>
                <w:rFonts w:ascii="Calibri" w:eastAsia="Times New Roman" w:hAnsi="Calibri" w:cs="Calibri"/>
                <w:b/>
                <w:bCs/>
                <w:color w:val="FF0000"/>
                <w:lang w:eastAsia="pt-BR"/>
              </w:rPr>
              <w:t>*</w:t>
            </w:r>
          </w:p>
        </w:tc>
        <w:tc>
          <w:tcPr>
            <w:tcW w:w="1528" w:type="dxa"/>
            <w:noWrap/>
            <w:hideMark/>
          </w:tcPr>
          <w:p w14:paraId="4CBF0337" w14:textId="77777777" w:rsidR="006377F6" w:rsidRDefault="53C1E741" w:rsidP="000C3CEC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4E470D8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>Descr</w:t>
            </w:r>
            <w:r w:rsidR="006377F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>ição de</w:t>
            </w:r>
            <w:r w:rsidRPr="4E470D8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 xml:space="preserve"> </w:t>
            </w:r>
            <w:r w:rsidR="2150B837" w:rsidRPr="4E470D8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>tratamento</w:t>
            </w:r>
          </w:p>
          <w:p w14:paraId="4C0B9634" w14:textId="6B62754B" w:rsidR="006377F6" w:rsidRDefault="006377F6" w:rsidP="000C3CEC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>d</w:t>
            </w:r>
            <w:r w:rsidR="2150B837" w:rsidRPr="4E470D8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>o</w:t>
            </w:r>
          </w:p>
          <w:p w14:paraId="1E33EB0A" w14:textId="74DE61EA" w:rsidR="000C3CEC" w:rsidRPr="000C3CEC" w:rsidRDefault="003D37EC" w:rsidP="000C3CE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>R</w:t>
            </w:r>
            <w:r w:rsidR="2150B837" w:rsidRPr="4E470D8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>isco</w:t>
            </w:r>
            <w:r w:rsidR="7B127347" w:rsidRPr="4E470D82">
              <w:rPr>
                <w:rFonts w:ascii="Calibri" w:eastAsia="Times New Roman" w:hAnsi="Calibri" w:cs="Calibri"/>
                <w:b/>
                <w:bCs/>
                <w:color w:val="FF0000"/>
                <w:lang w:eastAsia="pt-BR"/>
              </w:rPr>
              <w:t>**</w:t>
            </w:r>
            <w:r w:rsidR="3322BB80" w:rsidRPr="4E470D82">
              <w:rPr>
                <w:rFonts w:ascii="Calibri" w:eastAsia="Times New Roman" w:hAnsi="Calibri" w:cs="Calibri"/>
                <w:b/>
                <w:bCs/>
                <w:color w:val="FF0000"/>
                <w:lang w:eastAsia="pt-BR"/>
              </w:rPr>
              <w:t>*</w:t>
            </w:r>
          </w:p>
        </w:tc>
      </w:tr>
      <w:tr w:rsidR="00424C2E" w:rsidRPr="000C3CEC" w14:paraId="3277592F" w14:textId="77777777" w:rsidTr="006377F6">
        <w:trPr>
          <w:trHeight w:val="315"/>
          <w:jc w:val="center"/>
        </w:trPr>
        <w:tc>
          <w:tcPr>
            <w:tcW w:w="710" w:type="dxa"/>
          </w:tcPr>
          <w:p w14:paraId="5045F9BF" w14:textId="33E770F9" w:rsidR="016030A4" w:rsidRDefault="016030A4" w:rsidP="003D37EC">
            <w:pPr>
              <w:jc w:val="center"/>
            </w:pPr>
            <w:r w:rsidRPr="4E470D82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A</w:t>
            </w:r>
          </w:p>
        </w:tc>
        <w:tc>
          <w:tcPr>
            <w:tcW w:w="7229" w:type="dxa"/>
            <w:noWrap/>
            <w:hideMark/>
          </w:tcPr>
          <w:p w14:paraId="6BF123A0" w14:textId="77777777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C3CEC">
              <w:rPr>
                <w:rFonts w:ascii="Calibri" w:eastAsia="Times New Roman" w:hAnsi="Calibri" w:cs="Calibri"/>
                <w:color w:val="000000"/>
                <w:lang w:eastAsia="pt-BR"/>
              </w:rPr>
              <w:t>Perda de confiança das partes interessadas</w:t>
            </w:r>
          </w:p>
        </w:tc>
        <w:tc>
          <w:tcPr>
            <w:tcW w:w="1843" w:type="dxa"/>
            <w:noWrap/>
            <w:hideMark/>
          </w:tcPr>
          <w:p w14:paraId="1CF09E39" w14:textId="66A92374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noWrap/>
            <w:hideMark/>
          </w:tcPr>
          <w:p w14:paraId="55F2B62A" w14:textId="1AC30940" w:rsidR="00424C2E" w:rsidRPr="000C3CEC" w:rsidRDefault="00424C2E" w:rsidP="0042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14:paraId="5B4351B5" w14:textId="77777777" w:rsidR="00424C2E" w:rsidRPr="000C3CEC" w:rsidRDefault="00424C2E" w:rsidP="0042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8" w:type="dxa"/>
            <w:noWrap/>
            <w:hideMark/>
          </w:tcPr>
          <w:p w14:paraId="40A26E89" w14:textId="6990D817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1, 2, 9</w:t>
            </w:r>
          </w:p>
        </w:tc>
      </w:tr>
      <w:tr w:rsidR="00424C2E" w:rsidRPr="000C3CEC" w14:paraId="7D6919B8" w14:textId="77777777" w:rsidTr="006377F6">
        <w:trPr>
          <w:trHeight w:val="315"/>
          <w:jc w:val="center"/>
        </w:trPr>
        <w:tc>
          <w:tcPr>
            <w:tcW w:w="710" w:type="dxa"/>
          </w:tcPr>
          <w:p w14:paraId="63BA592E" w14:textId="2337354A" w:rsidR="585E7439" w:rsidRDefault="585E7439" w:rsidP="003D37EC">
            <w:pPr>
              <w:jc w:val="center"/>
            </w:pPr>
            <w:r w:rsidRPr="4E470D82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B</w:t>
            </w:r>
          </w:p>
        </w:tc>
        <w:tc>
          <w:tcPr>
            <w:tcW w:w="7229" w:type="dxa"/>
            <w:noWrap/>
            <w:hideMark/>
          </w:tcPr>
          <w:p w14:paraId="27A52AA1" w14:textId="77777777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C3CEC">
              <w:rPr>
                <w:rFonts w:ascii="Calibri" w:eastAsia="Times New Roman" w:hAnsi="Calibri" w:cs="Calibri"/>
                <w:color w:val="000000"/>
                <w:lang w:eastAsia="pt-BR"/>
              </w:rPr>
              <w:t>Alteração na política pública</w:t>
            </w:r>
          </w:p>
        </w:tc>
        <w:tc>
          <w:tcPr>
            <w:tcW w:w="1843" w:type="dxa"/>
            <w:noWrap/>
            <w:hideMark/>
          </w:tcPr>
          <w:p w14:paraId="06613211" w14:textId="77777777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14:paraId="59CA65E7" w14:textId="77777777" w:rsidR="00424C2E" w:rsidRPr="000C3CEC" w:rsidRDefault="00424C2E" w:rsidP="0042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14:paraId="44B443CE" w14:textId="77777777" w:rsidR="00424C2E" w:rsidRPr="000C3CEC" w:rsidRDefault="00424C2E" w:rsidP="0042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8" w:type="dxa"/>
            <w:noWrap/>
            <w:hideMark/>
          </w:tcPr>
          <w:p w14:paraId="529A1D76" w14:textId="5A92891F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6, 7, 11</w:t>
            </w:r>
          </w:p>
        </w:tc>
      </w:tr>
      <w:tr w:rsidR="00424C2E" w:rsidRPr="000C3CEC" w14:paraId="30CEFAD2" w14:textId="77777777" w:rsidTr="006377F6">
        <w:trPr>
          <w:trHeight w:val="315"/>
          <w:jc w:val="center"/>
        </w:trPr>
        <w:tc>
          <w:tcPr>
            <w:tcW w:w="710" w:type="dxa"/>
          </w:tcPr>
          <w:p w14:paraId="0FF85095" w14:textId="65B72C0D" w:rsidR="59087B80" w:rsidRDefault="59087B80" w:rsidP="003D37EC">
            <w:pPr>
              <w:jc w:val="center"/>
            </w:pPr>
            <w:r w:rsidRPr="4E470D82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C</w:t>
            </w:r>
          </w:p>
        </w:tc>
        <w:tc>
          <w:tcPr>
            <w:tcW w:w="7229" w:type="dxa"/>
            <w:hideMark/>
          </w:tcPr>
          <w:p w14:paraId="440CB097" w14:textId="77777777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C3CEC">
              <w:rPr>
                <w:rFonts w:ascii="Calibri" w:eastAsia="Times New Roman" w:hAnsi="Calibri" w:cs="Calibri"/>
                <w:color w:val="000000"/>
                <w:lang w:eastAsia="pt-BR"/>
              </w:rPr>
              <w:t>Disponibilidade dos sistemas de acesso para o cidadão</w:t>
            </w:r>
          </w:p>
        </w:tc>
        <w:tc>
          <w:tcPr>
            <w:tcW w:w="1843" w:type="dxa"/>
            <w:noWrap/>
            <w:hideMark/>
          </w:tcPr>
          <w:p w14:paraId="35DF575D" w14:textId="77777777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14:paraId="542761B3" w14:textId="77777777" w:rsidR="00424C2E" w:rsidRPr="000C3CEC" w:rsidRDefault="00424C2E" w:rsidP="0042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14:paraId="05DC04D8" w14:textId="77777777" w:rsidR="00424C2E" w:rsidRPr="000C3CEC" w:rsidRDefault="00424C2E" w:rsidP="0042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8" w:type="dxa"/>
            <w:noWrap/>
            <w:hideMark/>
          </w:tcPr>
          <w:p w14:paraId="64B28CC3" w14:textId="42A34C7E" w:rsidR="00424C2E" w:rsidRPr="000C3CEC" w:rsidRDefault="00424C2E" w:rsidP="0042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424C2E" w:rsidRPr="000C3CEC" w14:paraId="1D803022" w14:textId="77777777" w:rsidTr="006377F6">
        <w:trPr>
          <w:trHeight w:val="315"/>
          <w:jc w:val="center"/>
        </w:trPr>
        <w:tc>
          <w:tcPr>
            <w:tcW w:w="710" w:type="dxa"/>
          </w:tcPr>
          <w:p w14:paraId="7A038F19" w14:textId="11D01DC1" w:rsidR="087605A6" w:rsidRDefault="087605A6" w:rsidP="003D37EC">
            <w:pPr>
              <w:jc w:val="center"/>
            </w:pPr>
            <w:r w:rsidRPr="4E470D82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D</w:t>
            </w:r>
          </w:p>
        </w:tc>
        <w:tc>
          <w:tcPr>
            <w:tcW w:w="7229" w:type="dxa"/>
            <w:noWrap/>
            <w:hideMark/>
          </w:tcPr>
          <w:p w14:paraId="0F7905EF" w14:textId="77777777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C3CEC">
              <w:rPr>
                <w:rFonts w:ascii="Calibri" w:eastAsia="Times New Roman" w:hAnsi="Calibri" w:cs="Calibri"/>
                <w:color w:val="000000"/>
                <w:lang w:eastAsia="pt-BR"/>
              </w:rPr>
              <w:t>Perda de integridade de dados</w:t>
            </w:r>
          </w:p>
        </w:tc>
        <w:tc>
          <w:tcPr>
            <w:tcW w:w="1843" w:type="dxa"/>
            <w:noWrap/>
            <w:hideMark/>
          </w:tcPr>
          <w:p w14:paraId="30E56BC8" w14:textId="77777777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14:paraId="6C6495D8" w14:textId="77777777" w:rsidR="00424C2E" w:rsidRPr="000C3CEC" w:rsidRDefault="00424C2E" w:rsidP="0042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14:paraId="69D57687" w14:textId="77777777" w:rsidR="00424C2E" w:rsidRPr="000C3CEC" w:rsidRDefault="00424C2E" w:rsidP="0042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8" w:type="dxa"/>
            <w:noWrap/>
            <w:hideMark/>
          </w:tcPr>
          <w:p w14:paraId="3D310B02" w14:textId="41808B0B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12,13</w:t>
            </w:r>
          </w:p>
        </w:tc>
      </w:tr>
      <w:tr w:rsidR="00424C2E" w:rsidRPr="000C3CEC" w14:paraId="069F5943" w14:textId="77777777" w:rsidTr="006377F6">
        <w:trPr>
          <w:trHeight w:val="315"/>
          <w:jc w:val="center"/>
        </w:trPr>
        <w:tc>
          <w:tcPr>
            <w:tcW w:w="710" w:type="dxa"/>
          </w:tcPr>
          <w:p w14:paraId="445BD286" w14:textId="151F3DB8" w:rsidR="5B14F515" w:rsidRDefault="5B14F515" w:rsidP="003D37EC">
            <w:pPr>
              <w:jc w:val="center"/>
            </w:pPr>
            <w:r w:rsidRPr="4E470D82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E</w:t>
            </w:r>
          </w:p>
        </w:tc>
        <w:tc>
          <w:tcPr>
            <w:tcW w:w="7229" w:type="dxa"/>
            <w:noWrap/>
            <w:hideMark/>
          </w:tcPr>
          <w:p w14:paraId="59C34B1D" w14:textId="77777777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C3CEC">
              <w:rPr>
                <w:rFonts w:ascii="Calibri" w:eastAsia="Times New Roman" w:hAnsi="Calibri" w:cs="Calibri"/>
                <w:color w:val="000000"/>
                <w:lang w:eastAsia="pt-BR"/>
              </w:rPr>
              <w:t>Capacidade de execução da transformação digital</w:t>
            </w:r>
          </w:p>
        </w:tc>
        <w:tc>
          <w:tcPr>
            <w:tcW w:w="1843" w:type="dxa"/>
            <w:noWrap/>
            <w:hideMark/>
          </w:tcPr>
          <w:p w14:paraId="34256B4E" w14:textId="77777777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14:paraId="1A926C06" w14:textId="77777777" w:rsidR="00424C2E" w:rsidRPr="000C3CEC" w:rsidRDefault="00424C2E" w:rsidP="0042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14:paraId="7E46F01A" w14:textId="77777777" w:rsidR="00424C2E" w:rsidRPr="000C3CEC" w:rsidRDefault="00424C2E" w:rsidP="0042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8" w:type="dxa"/>
            <w:noWrap/>
            <w:hideMark/>
          </w:tcPr>
          <w:p w14:paraId="0276120E" w14:textId="1EA39741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1, 3, 4, 5, 8</w:t>
            </w:r>
          </w:p>
        </w:tc>
      </w:tr>
      <w:tr w:rsidR="00424C2E" w:rsidRPr="000C3CEC" w14:paraId="31EA3738" w14:textId="77777777" w:rsidTr="006377F6">
        <w:trPr>
          <w:trHeight w:val="315"/>
          <w:jc w:val="center"/>
        </w:trPr>
        <w:tc>
          <w:tcPr>
            <w:tcW w:w="710" w:type="dxa"/>
          </w:tcPr>
          <w:p w14:paraId="48FCD37C" w14:textId="23CC3008" w:rsidR="329113E5" w:rsidRDefault="329113E5" w:rsidP="003D37E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  <w:r w:rsidRPr="4E470D82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F</w:t>
            </w:r>
          </w:p>
        </w:tc>
        <w:tc>
          <w:tcPr>
            <w:tcW w:w="7229" w:type="dxa"/>
            <w:noWrap/>
            <w:hideMark/>
          </w:tcPr>
          <w:p w14:paraId="2A301F55" w14:textId="77777777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C3CEC">
              <w:rPr>
                <w:rFonts w:ascii="Calibri" w:eastAsia="Times New Roman" w:hAnsi="Calibri" w:cs="Calibri"/>
                <w:color w:val="000000"/>
                <w:lang w:eastAsia="pt-BR"/>
              </w:rPr>
              <w:t>Dependência de fornecedores</w:t>
            </w:r>
          </w:p>
        </w:tc>
        <w:tc>
          <w:tcPr>
            <w:tcW w:w="1843" w:type="dxa"/>
            <w:noWrap/>
            <w:hideMark/>
          </w:tcPr>
          <w:p w14:paraId="132ECEFF" w14:textId="77777777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14:paraId="05C7D00A" w14:textId="77777777" w:rsidR="00424C2E" w:rsidRPr="000C3CEC" w:rsidRDefault="00424C2E" w:rsidP="0042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14:paraId="5D84BEB9" w14:textId="77777777" w:rsidR="00424C2E" w:rsidRPr="000C3CEC" w:rsidRDefault="00424C2E" w:rsidP="0042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8" w:type="dxa"/>
            <w:noWrap/>
            <w:hideMark/>
          </w:tcPr>
          <w:p w14:paraId="4895B269" w14:textId="47B2BFF4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1, 14</w:t>
            </w:r>
          </w:p>
        </w:tc>
      </w:tr>
      <w:tr w:rsidR="00424C2E" w:rsidRPr="000C3CEC" w14:paraId="15357F0F" w14:textId="77777777" w:rsidTr="006377F6">
        <w:trPr>
          <w:trHeight w:val="300"/>
          <w:jc w:val="center"/>
        </w:trPr>
        <w:tc>
          <w:tcPr>
            <w:tcW w:w="710" w:type="dxa"/>
          </w:tcPr>
          <w:p w14:paraId="6BBE3914" w14:textId="3F274CD7" w:rsidR="418A9D91" w:rsidRDefault="418A9D91" w:rsidP="003D37E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  <w:r w:rsidRPr="4E470D82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G</w:t>
            </w:r>
          </w:p>
        </w:tc>
        <w:tc>
          <w:tcPr>
            <w:tcW w:w="7229" w:type="dxa"/>
            <w:noWrap/>
            <w:hideMark/>
          </w:tcPr>
          <w:p w14:paraId="0155275B" w14:textId="77777777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C3CEC">
              <w:rPr>
                <w:rFonts w:ascii="Calibri" w:eastAsia="Times New Roman" w:hAnsi="Calibri" w:cs="Calibri"/>
                <w:color w:val="000000"/>
                <w:lang w:eastAsia="pt-BR"/>
              </w:rPr>
              <w:t>Disponibilidade dos donos de serviço para atuação na transformação</w:t>
            </w:r>
          </w:p>
        </w:tc>
        <w:tc>
          <w:tcPr>
            <w:tcW w:w="1843" w:type="dxa"/>
            <w:noWrap/>
            <w:hideMark/>
          </w:tcPr>
          <w:p w14:paraId="3AD37087" w14:textId="77777777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14:paraId="5C90B3CC" w14:textId="77777777" w:rsidR="00424C2E" w:rsidRPr="000C3CEC" w:rsidRDefault="00424C2E" w:rsidP="0042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14:paraId="364E8CBA" w14:textId="77777777" w:rsidR="00424C2E" w:rsidRPr="000C3CEC" w:rsidRDefault="00424C2E" w:rsidP="0042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8" w:type="dxa"/>
            <w:noWrap/>
            <w:hideMark/>
          </w:tcPr>
          <w:p w14:paraId="7E797975" w14:textId="17296257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1, 2, 3, 9, 10</w:t>
            </w:r>
          </w:p>
        </w:tc>
      </w:tr>
      <w:tr w:rsidR="00424C2E" w:rsidRPr="000C3CEC" w14:paraId="2F1424AF" w14:textId="77777777" w:rsidTr="006377F6">
        <w:trPr>
          <w:trHeight w:val="300"/>
          <w:jc w:val="center"/>
        </w:trPr>
        <w:tc>
          <w:tcPr>
            <w:tcW w:w="710" w:type="dxa"/>
          </w:tcPr>
          <w:p w14:paraId="0F9E17E8" w14:textId="36F41799" w:rsidR="5EA101AD" w:rsidRDefault="5EA101AD" w:rsidP="003D37EC">
            <w:pPr>
              <w:jc w:val="center"/>
            </w:pPr>
            <w:r w:rsidRPr="4E470D82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H</w:t>
            </w:r>
          </w:p>
        </w:tc>
        <w:tc>
          <w:tcPr>
            <w:tcW w:w="7229" w:type="dxa"/>
            <w:noWrap/>
            <w:hideMark/>
          </w:tcPr>
          <w:p w14:paraId="4058182C" w14:textId="77777777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C3CEC">
              <w:rPr>
                <w:rFonts w:ascii="Calibri" w:eastAsia="Times New Roman" w:hAnsi="Calibri" w:cs="Calibri"/>
                <w:color w:val="000000"/>
                <w:lang w:eastAsia="pt-BR"/>
              </w:rPr>
              <w:t>Disponibilidade das equipes de TI para executar a transformação digital</w:t>
            </w:r>
          </w:p>
        </w:tc>
        <w:tc>
          <w:tcPr>
            <w:tcW w:w="1843" w:type="dxa"/>
            <w:noWrap/>
            <w:hideMark/>
          </w:tcPr>
          <w:p w14:paraId="0EA432E5" w14:textId="77777777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14:paraId="4C4125AD" w14:textId="77777777" w:rsidR="00424C2E" w:rsidRPr="000C3CEC" w:rsidRDefault="00424C2E" w:rsidP="0042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14:paraId="7A4F374F" w14:textId="77777777" w:rsidR="00424C2E" w:rsidRPr="000C3CEC" w:rsidRDefault="00424C2E" w:rsidP="0042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8" w:type="dxa"/>
            <w:noWrap/>
            <w:hideMark/>
          </w:tcPr>
          <w:p w14:paraId="4C09CD41" w14:textId="1F8C1B19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4, 5</w:t>
            </w:r>
          </w:p>
        </w:tc>
      </w:tr>
      <w:tr w:rsidR="00424C2E" w:rsidRPr="000C3CEC" w14:paraId="3ADA610F" w14:textId="77777777" w:rsidTr="006377F6">
        <w:trPr>
          <w:trHeight w:val="300"/>
          <w:jc w:val="center"/>
        </w:trPr>
        <w:tc>
          <w:tcPr>
            <w:tcW w:w="710" w:type="dxa"/>
          </w:tcPr>
          <w:p w14:paraId="3B06EC39" w14:textId="14EB3859" w:rsidR="1454B8D1" w:rsidRDefault="1454B8D1" w:rsidP="003D37EC">
            <w:pPr>
              <w:jc w:val="center"/>
            </w:pPr>
            <w:r w:rsidRPr="4E470D82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I</w:t>
            </w:r>
          </w:p>
        </w:tc>
        <w:tc>
          <w:tcPr>
            <w:tcW w:w="7229" w:type="dxa"/>
            <w:noWrap/>
            <w:hideMark/>
          </w:tcPr>
          <w:p w14:paraId="32D020E5" w14:textId="11C0BC35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0C3CEC">
              <w:rPr>
                <w:rFonts w:ascii="Calibri" w:eastAsia="Times New Roman" w:hAnsi="Calibri" w:cs="Calibri"/>
                <w:color w:val="000000"/>
                <w:lang w:eastAsia="pt-BR"/>
              </w:rPr>
              <w:t>Despriorização</w:t>
            </w:r>
            <w:proofErr w:type="spellEnd"/>
            <w:r w:rsidRPr="000C3C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do PT</w:t>
            </w:r>
            <w:r w:rsidR="002D5BBC"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  <w:r w:rsidRPr="000C3CE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pela alta administração</w:t>
            </w:r>
          </w:p>
        </w:tc>
        <w:tc>
          <w:tcPr>
            <w:tcW w:w="1843" w:type="dxa"/>
            <w:noWrap/>
            <w:hideMark/>
          </w:tcPr>
          <w:p w14:paraId="758ACA6E" w14:textId="77777777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14:paraId="6884C49C" w14:textId="77777777" w:rsidR="00424C2E" w:rsidRPr="000C3CEC" w:rsidRDefault="00424C2E" w:rsidP="0042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14:paraId="48778F2E" w14:textId="77777777" w:rsidR="00424C2E" w:rsidRPr="000C3CEC" w:rsidRDefault="00424C2E" w:rsidP="0042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8" w:type="dxa"/>
            <w:noWrap/>
            <w:hideMark/>
          </w:tcPr>
          <w:p w14:paraId="2DBCB0E1" w14:textId="3CA70939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1, 3, 9, 11</w:t>
            </w:r>
          </w:p>
        </w:tc>
      </w:tr>
      <w:tr w:rsidR="00424C2E" w:rsidRPr="000C3CEC" w14:paraId="69B50072" w14:textId="77777777" w:rsidTr="006377F6">
        <w:trPr>
          <w:trHeight w:val="300"/>
          <w:jc w:val="center"/>
        </w:trPr>
        <w:tc>
          <w:tcPr>
            <w:tcW w:w="710" w:type="dxa"/>
          </w:tcPr>
          <w:p w14:paraId="6F5A5D16" w14:textId="6CB65D8F" w:rsidR="4DD024E9" w:rsidRDefault="4DD024E9" w:rsidP="003D37EC">
            <w:pPr>
              <w:jc w:val="center"/>
            </w:pPr>
            <w:r w:rsidRPr="4E470D82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J</w:t>
            </w:r>
          </w:p>
        </w:tc>
        <w:tc>
          <w:tcPr>
            <w:tcW w:w="7229" w:type="dxa"/>
            <w:noWrap/>
            <w:hideMark/>
          </w:tcPr>
          <w:p w14:paraId="66CA5490" w14:textId="77777777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C3CEC">
              <w:rPr>
                <w:rFonts w:ascii="Calibri" w:eastAsia="Times New Roman" w:hAnsi="Calibri" w:cs="Calibri"/>
                <w:color w:val="000000"/>
                <w:lang w:eastAsia="pt-BR"/>
              </w:rPr>
              <w:t>Baixo comprometimento das áreas de negócio com as ações pactuadas</w:t>
            </w:r>
          </w:p>
        </w:tc>
        <w:tc>
          <w:tcPr>
            <w:tcW w:w="1843" w:type="dxa"/>
            <w:noWrap/>
            <w:hideMark/>
          </w:tcPr>
          <w:p w14:paraId="7B1B0987" w14:textId="77777777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14:paraId="57496B7D" w14:textId="77777777" w:rsidR="00424C2E" w:rsidRPr="000C3CEC" w:rsidRDefault="00424C2E" w:rsidP="0042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14:paraId="36AD8688" w14:textId="77777777" w:rsidR="00424C2E" w:rsidRPr="000C3CEC" w:rsidRDefault="00424C2E" w:rsidP="0042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8" w:type="dxa"/>
            <w:noWrap/>
            <w:hideMark/>
          </w:tcPr>
          <w:p w14:paraId="3A0EED5E" w14:textId="45D239CF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1, 2, 3, 9</w:t>
            </w:r>
          </w:p>
        </w:tc>
      </w:tr>
      <w:tr w:rsidR="00424C2E" w:rsidRPr="000C3CEC" w14:paraId="0E01E759" w14:textId="77777777" w:rsidTr="006377F6">
        <w:trPr>
          <w:trHeight w:val="300"/>
          <w:jc w:val="center"/>
        </w:trPr>
        <w:tc>
          <w:tcPr>
            <w:tcW w:w="710" w:type="dxa"/>
          </w:tcPr>
          <w:p w14:paraId="3167CF47" w14:textId="0FCE492A" w:rsidR="49DB458B" w:rsidRDefault="49DB458B" w:rsidP="003D37E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  <w:r w:rsidRPr="4E470D82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K</w:t>
            </w:r>
          </w:p>
        </w:tc>
        <w:tc>
          <w:tcPr>
            <w:tcW w:w="7229" w:type="dxa"/>
            <w:noWrap/>
            <w:hideMark/>
          </w:tcPr>
          <w:p w14:paraId="5FDEF253" w14:textId="77777777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C3CEC">
              <w:rPr>
                <w:rFonts w:ascii="Calibri" w:eastAsia="Times New Roman" w:hAnsi="Calibri" w:cs="Calibri"/>
                <w:color w:val="000000"/>
                <w:lang w:eastAsia="pt-BR"/>
              </w:rPr>
              <w:t>Atraso nos cronogramas pactuados</w:t>
            </w:r>
          </w:p>
        </w:tc>
        <w:tc>
          <w:tcPr>
            <w:tcW w:w="1843" w:type="dxa"/>
            <w:noWrap/>
            <w:hideMark/>
          </w:tcPr>
          <w:p w14:paraId="07033CFD" w14:textId="77777777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14:paraId="2247596E" w14:textId="77777777" w:rsidR="00424C2E" w:rsidRPr="000C3CEC" w:rsidRDefault="00424C2E" w:rsidP="0042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14:paraId="263E882F" w14:textId="77777777" w:rsidR="00424C2E" w:rsidRPr="000C3CEC" w:rsidRDefault="00424C2E" w:rsidP="0042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8" w:type="dxa"/>
            <w:noWrap/>
            <w:hideMark/>
          </w:tcPr>
          <w:p w14:paraId="47FB47E5" w14:textId="09789E1A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1, 3, 5, 10, 11</w:t>
            </w:r>
          </w:p>
        </w:tc>
      </w:tr>
      <w:tr w:rsidR="00424C2E" w:rsidRPr="000C3CEC" w14:paraId="1B7BC0F5" w14:textId="77777777" w:rsidTr="006377F6">
        <w:trPr>
          <w:trHeight w:val="300"/>
          <w:jc w:val="center"/>
        </w:trPr>
        <w:tc>
          <w:tcPr>
            <w:tcW w:w="710" w:type="dxa"/>
          </w:tcPr>
          <w:p w14:paraId="34699365" w14:textId="44600960" w:rsidR="37FD559C" w:rsidRDefault="37FD559C" w:rsidP="003D37EC">
            <w:pPr>
              <w:jc w:val="center"/>
            </w:pPr>
            <w:r w:rsidRPr="4E470D82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L</w:t>
            </w:r>
          </w:p>
        </w:tc>
        <w:tc>
          <w:tcPr>
            <w:tcW w:w="7229" w:type="dxa"/>
            <w:noWrap/>
            <w:hideMark/>
          </w:tcPr>
          <w:p w14:paraId="7A14FBEC" w14:textId="77777777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C3CEC">
              <w:rPr>
                <w:rFonts w:ascii="Calibri" w:eastAsia="Times New Roman" w:hAnsi="Calibri" w:cs="Calibri"/>
                <w:color w:val="000000"/>
                <w:lang w:eastAsia="pt-BR"/>
              </w:rPr>
              <w:t>Rotatividades das equipes envolvidas na transformação digital</w:t>
            </w:r>
          </w:p>
        </w:tc>
        <w:tc>
          <w:tcPr>
            <w:tcW w:w="1843" w:type="dxa"/>
            <w:noWrap/>
            <w:hideMark/>
          </w:tcPr>
          <w:p w14:paraId="12118E97" w14:textId="77777777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14:paraId="4697E217" w14:textId="77777777" w:rsidR="00424C2E" w:rsidRPr="000C3CEC" w:rsidRDefault="00424C2E" w:rsidP="0042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14:paraId="4BC95EC7" w14:textId="77777777" w:rsidR="00424C2E" w:rsidRPr="000C3CEC" w:rsidRDefault="00424C2E" w:rsidP="0042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8" w:type="dxa"/>
            <w:noWrap/>
            <w:hideMark/>
          </w:tcPr>
          <w:p w14:paraId="0745CAA5" w14:textId="46D0A202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4, 5, 8</w:t>
            </w:r>
          </w:p>
        </w:tc>
      </w:tr>
      <w:tr w:rsidR="00424C2E" w:rsidRPr="000C3CEC" w14:paraId="2F635BE3" w14:textId="77777777" w:rsidTr="006377F6">
        <w:trPr>
          <w:trHeight w:val="300"/>
          <w:jc w:val="center"/>
        </w:trPr>
        <w:tc>
          <w:tcPr>
            <w:tcW w:w="710" w:type="dxa"/>
          </w:tcPr>
          <w:p w14:paraId="3BE5CB06" w14:textId="69A9046A" w:rsidR="592DC3E6" w:rsidRDefault="592DC3E6" w:rsidP="003D37EC">
            <w:pPr>
              <w:jc w:val="center"/>
            </w:pPr>
            <w:r w:rsidRPr="4E470D82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M</w:t>
            </w:r>
          </w:p>
        </w:tc>
        <w:tc>
          <w:tcPr>
            <w:tcW w:w="7229" w:type="dxa"/>
            <w:noWrap/>
            <w:hideMark/>
          </w:tcPr>
          <w:p w14:paraId="75A64680" w14:textId="77777777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C3CEC">
              <w:rPr>
                <w:rFonts w:ascii="Calibri" w:eastAsia="Times New Roman" w:hAnsi="Calibri" w:cs="Calibri"/>
                <w:color w:val="000000"/>
                <w:lang w:eastAsia="pt-BR"/>
              </w:rPr>
              <w:t>Incompatibilidade entre o tempo da transformação do serviço e necessidade de alteração normativa</w:t>
            </w:r>
          </w:p>
        </w:tc>
        <w:tc>
          <w:tcPr>
            <w:tcW w:w="1843" w:type="dxa"/>
            <w:noWrap/>
            <w:hideMark/>
          </w:tcPr>
          <w:p w14:paraId="06EB91FE" w14:textId="77777777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14:paraId="164C698F" w14:textId="77777777" w:rsidR="00424C2E" w:rsidRPr="000C3CEC" w:rsidRDefault="00424C2E" w:rsidP="0042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14:paraId="0C7A53D7" w14:textId="77777777" w:rsidR="00424C2E" w:rsidRPr="000C3CEC" w:rsidRDefault="00424C2E" w:rsidP="0042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8" w:type="dxa"/>
            <w:noWrap/>
            <w:hideMark/>
          </w:tcPr>
          <w:p w14:paraId="4BEF1E1F" w14:textId="613E949F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1, 5, 6, 11</w:t>
            </w:r>
          </w:p>
        </w:tc>
      </w:tr>
      <w:tr w:rsidR="00424C2E" w:rsidRPr="000C3CEC" w14:paraId="2A36B4CA" w14:textId="77777777" w:rsidTr="006377F6">
        <w:trPr>
          <w:trHeight w:val="300"/>
          <w:jc w:val="center"/>
        </w:trPr>
        <w:tc>
          <w:tcPr>
            <w:tcW w:w="710" w:type="dxa"/>
          </w:tcPr>
          <w:p w14:paraId="6DE11E80" w14:textId="17CC120C" w:rsidR="4AB019E1" w:rsidRDefault="4AB019E1" w:rsidP="003D37E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  <w:r w:rsidRPr="4E470D82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N</w:t>
            </w:r>
          </w:p>
        </w:tc>
        <w:tc>
          <w:tcPr>
            <w:tcW w:w="7229" w:type="dxa"/>
            <w:noWrap/>
            <w:hideMark/>
          </w:tcPr>
          <w:p w14:paraId="11C8D807" w14:textId="77777777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C3CEC">
              <w:rPr>
                <w:rFonts w:ascii="Calibri" w:eastAsia="Times New Roman" w:hAnsi="Calibri" w:cs="Calibri"/>
                <w:color w:val="000000"/>
                <w:lang w:eastAsia="pt-BR"/>
              </w:rPr>
              <w:t>Corte no orçamento</w:t>
            </w:r>
          </w:p>
        </w:tc>
        <w:tc>
          <w:tcPr>
            <w:tcW w:w="1843" w:type="dxa"/>
            <w:noWrap/>
            <w:hideMark/>
          </w:tcPr>
          <w:p w14:paraId="61143FBC" w14:textId="77777777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14:paraId="60DDFC2A" w14:textId="77777777" w:rsidR="00424C2E" w:rsidRPr="000C3CEC" w:rsidRDefault="00424C2E" w:rsidP="0042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14:paraId="3F1FD48A" w14:textId="77777777" w:rsidR="00424C2E" w:rsidRPr="000C3CEC" w:rsidRDefault="00424C2E" w:rsidP="0042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8" w:type="dxa"/>
            <w:noWrap/>
            <w:hideMark/>
          </w:tcPr>
          <w:p w14:paraId="43298095" w14:textId="67817974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1, 11</w:t>
            </w:r>
          </w:p>
        </w:tc>
      </w:tr>
      <w:tr w:rsidR="00424C2E" w:rsidRPr="000C3CEC" w14:paraId="7ABBD397" w14:textId="77777777" w:rsidTr="006377F6">
        <w:trPr>
          <w:trHeight w:val="300"/>
          <w:jc w:val="center"/>
        </w:trPr>
        <w:tc>
          <w:tcPr>
            <w:tcW w:w="710" w:type="dxa"/>
          </w:tcPr>
          <w:p w14:paraId="3C481823" w14:textId="33DB7527" w:rsidR="39A90C36" w:rsidRDefault="39A90C36" w:rsidP="003D37EC">
            <w:pPr>
              <w:jc w:val="center"/>
            </w:pPr>
            <w:r w:rsidRPr="4E470D82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O</w:t>
            </w:r>
          </w:p>
        </w:tc>
        <w:tc>
          <w:tcPr>
            <w:tcW w:w="7229" w:type="dxa"/>
            <w:noWrap/>
            <w:hideMark/>
          </w:tcPr>
          <w:p w14:paraId="0FC26900" w14:textId="77777777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C3CEC">
              <w:rPr>
                <w:rFonts w:ascii="Calibri" w:eastAsia="Times New Roman" w:hAnsi="Calibri" w:cs="Calibri"/>
                <w:color w:val="000000"/>
                <w:lang w:eastAsia="pt-BR"/>
              </w:rPr>
              <w:t>Falta de apoio da SGD</w:t>
            </w:r>
          </w:p>
        </w:tc>
        <w:tc>
          <w:tcPr>
            <w:tcW w:w="1843" w:type="dxa"/>
            <w:noWrap/>
            <w:hideMark/>
          </w:tcPr>
          <w:p w14:paraId="3042E0A5" w14:textId="77777777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14:paraId="10B0E3E6" w14:textId="77777777" w:rsidR="00424C2E" w:rsidRPr="000C3CEC" w:rsidRDefault="00424C2E" w:rsidP="0042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14:paraId="6D23ACBE" w14:textId="77777777" w:rsidR="00424C2E" w:rsidRPr="000C3CEC" w:rsidRDefault="00424C2E" w:rsidP="00424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8" w:type="dxa"/>
            <w:noWrap/>
            <w:hideMark/>
          </w:tcPr>
          <w:p w14:paraId="0CA6EC17" w14:textId="16D83D3C" w:rsidR="00424C2E" w:rsidRPr="000C3CEC" w:rsidRDefault="00424C2E" w:rsidP="00424C2E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1, 3, 9</w:t>
            </w:r>
          </w:p>
        </w:tc>
      </w:tr>
      <w:tr w:rsidR="4E470D82" w14:paraId="319F7476" w14:textId="77777777" w:rsidTr="006377F6">
        <w:trPr>
          <w:trHeight w:val="300"/>
          <w:jc w:val="center"/>
        </w:trPr>
        <w:tc>
          <w:tcPr>
            <w:tcW w:w="710" w:type="dxa"/>
          </w:tcPr>
          <w:p w14:paraId="2DAEC1D8" w14:textId="3AC8BB2D" w:rsidR="46C72819" w:rsidRDefault="2C5C9B13" w:rsidP="003D37EC">
            <w:pPr>
              <w:jc w:val="center"/>
              <w:rPr>
                <w:rFonts w:ascii="Calibri" w:eastAsia="Calibri" w:hAnsi="Calibri" w:cs="Calibri"/>
              </w:rPr>
            </w:pPr>
            <w:r w:rsidRPr="079A31DF">
              <w:rPr>
                <w:rFonts w:ascii="Calibri" w:eastAsia="Calibri" w:hAnsi="Calibri" w:cs="Calibri"/>
              </w:rPr>
              <w:t>P</w:t>
            </w:r>
          </w:p>
        </w:tc>
        <w:tc>
          <w:tcPr>
            <w:tcW w:w="7229" w:type="dxa"/>
            <w:noWrap/>
            <w:hideMark/>
          </w:tcPr>
          <w:p w14:paraId="6FEBE631" w14:textId="2FA2E89D" w:rsidR="3AF9027A" w:rsidRDefault="3930C55F" w:rsidP="079A31DF">
            <w:pPr>
              <w:rPr>
                <w:rFonts w:ascii="Calibri" w:eastAsia="Calibri" w:hAnsi="Calibri" w:cs="Calibri"/>
              </w:rPr>
            </w:pPr>
            <w:r w:rsidRPr="079A31DF">
              <w:rPr>
                <w:rFonts w:ascii="Calibri" w:eastAsia="Calibri" w:hAnsi="Calibri" w:cs="Calibri"/>
              </w:rPr>
              <w:t>A transformação digital de um serviço não gerar o resultado esperado</w:t>
            </w:r>
          </w:p>
        </w:tc>
        <w:tc>
          <w:tcPr>
            <w:tcW w:w="1843" w:type="dxa"/>
            <w:noWrap/>
            <w:hideMark/>
          </w:tcPr>
          <w:p w14:paraId="01A96BEC" w14:textId="2D2DE44C" w:rsidR="4E470D82" w:rsidRDefault="4E470D82" w:rsidP="4E470D82">
            <w:pPr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14:paraId="1CB24A32" w14:textId="33FC9A0D" w:rsidR="4E470D82" w:rsidRDefault="4E470D82" w:rsidP="4E470D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14:paraId="000876E5" w14:textId="15A4E1A9" w:rsidR="4E470D82" w:rsidRDefault="4E470D82" w:rsidP="4E470D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8" w:type="dxa"/>
            <w:noWrap/>
            <w:hideMark/>
          </w:tcPr>
          <w:p w14:paraId="62BA70C4" w14:textId="6CD0F511" w:rsidR="69F9E82F" w:rsidRDefault="69F9E82F" w:rsidP="4E470D82">
            <w:pPr>
              <w:rPr>
                <w:rFonts w:ascii="Calibri" w:hAnsi="Calibri" w:cs="Calibri"/>
                <w:color w:val="000000" w:themeColor="text1"/>
              </w:rPr>
            </w:pPr>
            <w:r w:rsidRPr="4E470D82">
              <w:rPr>
                <w:rFonts w:ascii="Calibri" w:hAnsi="Calibri" w:cs="Calibri"/>
                <w:color w:val="000000" w:themeColor="text1"/>
              </w:rPr>
              <w:t>15, 16</w:t>
            </w:r>
            <w:r w:rsidR="68D82630" w:rsidRPr="4E470D82">
              <w:rPr>
                <w:rFonts w:ascii="Calibri" w:hAnsi="Calibri" w:cs="Calibri"/>
                <w:color w:val="000000" w:themeColor="text1"/>
              </w:rPr>
              <w:t>, 21</w:t>
            </w:r>
          </w:p>
        </w:tc>
      </w:tr>
      <w:tr w:rsidR="4E470D82" w14:paraId="4461E2E1" w14:textId="77777777" w:rsidTr="006377F6">
        <w:trPr>
          <w:trHeight w:val="524"/>
          <w:jc w:val="center"/>
        </w:trPr>
        <w:tc>
          <w:tcPr>
            <w:tcW w:w="710" w:type="dxa"/>
          </w:tcPr>
          <w:p w14:paraId="3936A7A8" w14:textId="183FC90C" w:rsidR="55C0B013" w:rsidRDefault="7ADB7944" w:rsidP="003D37EC">
            <w:pPr>
              <w:jc w:val="center"/>
              <w:rPr>
                <w:rFonts w:ascii="Calibri" w:eastAsia="Calibri" w:hAnsi="Calibri" w:cs="Calibri"/>
              </w:rPr>
            </w:pPr>
            <w:r w:rsidRPr="079A31DF">
              <w:rPr>
                <w:rFonts w:ascii="Calibri" w:eastAsia="Calibri" w:hAnsi="Calibri" w:cs="Calibri"/>
              </w:rPr>
              <w:t>Q</w:t>
            </w:r>
          </w:p>
        </w:tc>
        <w:tc>
          <w:tcPr>
            <w:tcW w:w="7229" w:type="dxa"/>
            <w:noWrap/>
            <w:hideMark/>
          </w:tcPr>
          <w:p w14:paraId="7A6FCBB1" w14:textId="5E46149B" w:rsidR="3AF9027A" w:rsidRDefault="3930C55F" w:rsidP="079A31DF">
            <w:pPr>
              <w:rPr>
                <w:rFonts w:ascii="Calibri" w:eastAsia="Calibri" w:hAnsi="Calibri" w:cs="Calibri"/>
              </w:rPr>
            </w:pPr>
            <w:r w:rsidRPr="079A31DF">
              <w:rPr>
                <w:rFonts w:ascii="Calibri" w:eastAsia="Calibri" w:hAnsi="Calibri" w:cs="Calibri"/>
              </w:rPr>
              <w:t>A transformação digital de um serviço público não ser uma transformação propriamente dita</w:t>
            </w:r>
          </w:p>
        </w:tc>
        <w:tc>
          <w:tcPr>
            <w:tcW w:w="1843" w:type="dxa"/>
            <w:noWrap/>
            <w:hideMark/>
          </w:tcPr>
          <w:p w14:paraId="0AC3093F" w14:textId="1B000893" w:rsidR="4E470D82" w:rsidRDefault="4E470D82" w:rsidP="4E470D82">
            <w:pPr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14:paraId="57A86BB4" w14:textId="552A412F" w:rsidR="4E470D82" w:rsidRDefault="4E470D82" w:rsidP="4E470D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14:paraId="301341D9" w14:textId="3BD42F05" w:rsidR="4E470D82" w:rsidRDefault="4E470D82" w:rsidP="4E470D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8" w:type="dxa"/>
            <w:noWrap/>
            <w:hideMark/>
          </w:tcPr>
          <w:p w14:paraId="782E14D6" w14:textId="47D48D1E" w:rsidR="06F87893" w:rsidRDefault="06F87893" w:rsidP="4E470D82">
            <w:pPr>
              <w:rPr>
                <w:rFonts w:ascii="Calibri" w:hAnsi="Calibri" w:cs="Calibri"/>
                <w:color w:val="000000" w:themeColor="text1"/>
              </w:rPr>
            </w:pPr>
            <w:r w:rsidRPr="4E470D82">
              <w:rPr>
                <w:rFonts w:ascii="Calibri" w:hAnsi="Calibri" w:cs="Calibri"/>
                <w:color w:val="000000" w:themeColor="text1"/>
              </w:rPr>
              <w:t>15, 16</w:t>
            </w:r>
          </w:p>
        </w:tc>
      </w:tr>
      <w:tr w:rsidR="4E470D82" w14:paraId="52153AAB" w14:textId="77777777" w:rsidTr="006377F6">
        <w:trPr>
          <w:trHeight w:val="300"/>
          <w:jc w:val="center"/>
        </w:trPr>
        <w:tc>
          <w:tcPr>
            <w:tcW w:w="710" w:type="dxa"/>
          </w:tcPr>
          <w:p w14:paraId="14C65AB1" w14:textId="51742BE0" w:rsidR="7563DBDF" w:rsidRDefault="1527262D" w:rsidP="003D37EC">
            <w:pPr>
              <w:jc w:val="center"/>
              <w:rPr>
                <w:rFonts w:ascii="Calibri" w:eastAsia="Calibri" w:hAnsi="Calibri" w:cs="Calibri"/>
              </w:rPr>
            </w:pPr>
            <w:r w:rsidRPr="079A31DF">
              <w:rPr>
                <w:rFonts w:ascii="Calibri" w:eastAsia="Calibri" w:hAnsi="Calibri" w:cs="Calibri"/>
              </w:rPr>
              <w:t>R</w:t>
            </w:r>
          </w:p>
        </w:tc>
        <w:tc>
          <w:tcPr>
            <w:tcW w:w="7229" w:type="dxa"/>
            <w:noWrap/>
            <w:hideMark/>
          </w:tcPr>
          <w:p w14:paraId="48CE351D" w14:textId="4D9AA508" w:rsidR="3AF9027A" w:rsidRDefault="3930C55F" w:rsidP="079A31DF">
            <w:pPr>
              <w:rPr>
                <w:rFonts w:ascii="Calibri" w:eastAsia="Calibri" w:hAnsi="Calibri" w:cs="Calibri"/>
              </w:rPr>
            </w:pPr>
            <w:r w:rsidRPr="079A31DF">
              <w:rPr>
                <w:rFonts w:ascii="Calibri" w:eastAsia="Calibri" w:hAnsi="Calibri" w:cs="Calibri"/>
              </w:rPr>
              <w:t>O serviço público terminar sendo oferecido somente pela via digital (</w:t>
            </w:r>
            <w:r w:rsidRPr="079A31DF">
              <w:rPr>
                <w:rFonts w:ascii="Calibri" w:eastAsia="Calibri" w:hAnsi="Calibri" w:cs="Calibri"/>
                <w:i/>
                <w:iCs/>
              </w:rPr>
              <w:t xml:space="preserve">digital </w:t>
            </w:r>
            <w:proofErr w:type="spellStart"/>
            <w:r w:rsidRPr="079A31DF">
              <w:rPr>
                <w:rFonts w:ascii="Calibri" w:eastAsia="Calibri" w:hAnsi="Calibri" w:cs="Calibri"/>
                <w:i/>
                <w:iCs/>
              </w:rPr>
              <w:t>only</w:t>
            </w:r>
            <w:proofErr w:type="spellEnd"/>
            <w:r w:rsidRPr="079A31DF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11ED2B3E" w14:textId="4925FDCB" w:rsidR="4E470D82" w:rsidRDefault="4E470D82" w:rsidP="4E470D82">
            <w:pPr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14:paraId="692B47B1" w14:textId="41FCEDA0" w:rsidR="4E470D82" w:rsidRDefault="4E470D82" w:rsidP="4E470D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14:paraId="257E4AAC" w14:textId="492076BA" w:rsidR="4E470D82" w:rsidRDefault="4E470D82" w:rsidP="4E470D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8" w:type="dxa"/>
            <w:noWrap/>
            <w:hideMark/>
          </w:tcPr>
          <w:p w14:paraId="24B6D49C" w14:textId="3C82200A" w:rsidR="44742831" w:rsidRDefault="44742831" w:rsidP="4E470D82">
            <w:pPr>
              <w:rPr>
                <w:rFonts w:ascii="Calibri" w:hAnsi="Calibri" w:cs="Calibri"/>
                <w:color w:val="000000" w:themeColor="text1"/>
              </w:rPr>
            </w:pPr>
            <w:r w:rsidRPr="4E470D82">
              <w:rPr>
                <w:rFonts w:ascii="Calibri" w:hAnsi="Calibri" w:cs="Calibri"/>
                <w:color w:val="000000" w:themeColor="text1"/>
              </w:rPr>
              <w:t xml:space="preserve">6, 7, </w:t>
            </w:r>
            <w:r w:rsidR="0C1DB9AE" w:rsidRPr="4E470D82">
              <w:rPr>
                <w:rFonts w:ascii="Calibri" w:hAnsi="Calibri" w:cs="Calibri"/>
                <w:color w:val="000000" w:themeColor="text1"/>
              </w:rPr>
              <w:t>17</w:t>
            </w:r>
            <w:r w:rsidR="04C7F187" w:rsidRPr="4E470D82">
              <w:rPr>
                <w:rFonts w:ascii="Calibri" w:hAnsi="Calibri" w:cs="Calibri"/>
                <w:color w:val="000000" w:themeColor="text1"/>
              </w:rPr>
              <w:t>, 21</w:t>
            </w:r>
          </w:p>
        </w:tc>
      </w:tr>
      <w:tr w:rsidR="4E470D82" w14:paraId="1471BD25" w14:textId="77777777" w:rsidTr="006377F6">
        <w:trPr>
          <w:trHeight w:val="300"/>
          <w:jc w:val="center"/>
        </w:trPr>
        <w:tc>
          <w:tcPr>
            <w:tcW w:w="710" w:type="dxa"/>
          </w:tcPr>
          <w:p w14:paraId="76D8C502" w14:textId="51159929" w:rsidR="1909457B" w:rsidRDefault="42545E8C" w:rsidP="003D37EC">
            <w:pPr>
              <w:jc w:val="center"/>
              <w:rPr>
                <w:rFonts w:ascii="Calibri" w:eastAsia="Calibri" w:hAnsi="Calibri" w:cs="Calibri"/>
              </w:rPr>
            </w:pPr>
            <w:r w:rsidRPr="079A31DF"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7229" w:type="dxa"/>
            <w:noWrap/>
            <w:hideMark/>
          </w:tcPr>
          <w:p w14:paraId="302217E9" w14:textId="20D60D74" w:rsidR="1949E56B" w:rsidRDefault="45EB375F" w:rsidP="079A31DF">
            <w:pPr>
              <w:rPr>
                <w:rFonts w:ascii="Calibri" w:eastAsia="Calibri" w:hAnsi="Calibri" w:cs="Calibri"/>
              </w:rPr>
            </w:pPr>
            <w:r w:rsidRPr="079A31DF">
              <w:rPr>
                <w:rFonts w:ascii="Calibri" w:eastAsia="Calibri" w:hAnsi="Calibri" w:cs="Calibri"/>
              </w:rPr>
              <w:t>Ocorrência de problemas de funcionamento do serviço público transformado digitalmente</w:t>
            </w:r>
          </w:p>
        </w:tc>
        <w:tc>
          <w:tcPr>
            <w:tcW w:w="1843" w:type="dxa"/>
            <w:noWrap/>
            <w:hideMark/>
          </w:tcPr>
          <w:p w14:paraId="6450D7FE" w14:textId="51B4B683" w:rsidR="4E470D82" w:rsidRDefault="4E470D82" w:rsidP="4E470D82">
            <w:pPr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14:paraId="0B80DAE3" w14:textId="282D5512" w:rsidR="4E470D82" w:rsidRDefault="4E470D82" w:rsidP="4E470D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14:paraId="3AD01794" w14:textId="0DECD1D9" w:rsidR="4E470D82" w:rsidRDefault="4E470D82" w:rsidP="4E470D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8" w:type="dxa"/>
            <w:noWrap/>
            <w:hideMark/>
          </w:tcPr>
          <w:p w14:paraId="0DA49D8A" w14:textId="755A46D7" w:rsidR="1A2F9299" w:rsidRDefault="1A2F9299" w:rsidP="4E470D82">
            <w:pPr>
              <w:rPr>
                <w:rFonts w:ascii="Calibri" w:hAnsi="Calibri" w:cs="Calibri"/>
                <w:color w:val="000000" w:themeColor="text1"/>
              </w:rPr>
            </w:pPr>
            <w:r w:rsidRPr="4E470D82">
              <w:rPr>
                <w:rFonts w:ascii="Calibri" w:hAnsi="Calibri" w:cs="Calibri"/>
                <w:color w:val="000000" w:themeColor="text1"/>
              </w:rPr>
              <w:t>18</w:t>
            </w:r>
          </w:p>
        </w:tc>
      </w:tr>
      <w:tr w:rsidR="4E470D82" w14:paraId="6B5F9645" w14:textId="77777777" w:rsidTr="006377F6">
        <w:trPr>
          <w:trHeight w:val="300"/>
          <w:jc w:val="center"/>
        </w:trPr>
        <w:tc>
          <w:tcPr>
            <w:tcW w:w="710" w:type="dxa"/>
          </w:tcPr>
          <w:p w14:paraId="7FBB2F15" w14:textId="7CECEC7C" w:rsidR="2688ADAC" w:rsidRDefault="7DAB4A49" w:rsidP="003D37EC">
            <w:pPr>
              <w:jc w:val="center"/>
              <w:rPr>
                <w:rFonts w:ascii="Calibri" w:eastAsia="Calibri" w:hAnsi="Calibri" w:cs="Calibri"/>
              </w:rPr>
            </w:pPr>
            <w:r w:rsidRPr="079A31DF"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7229" w:type="dxa"/>
            <w:noWrap/>
            <w:hideMark/>
          </w:tcPr>
          <w:p w14:paraId="79582B1F" w14:textId="567B6BF1" w:rsidR="1949E56B" w:rsidRDefault="45EB375F" w:rsidP="079A31DF">
            <w:pPr>
              <w:rPr>
                <w:rFonts w:ascii="Calibri" w:eastAsia="Calibri" w:hAnsi="Calibri" w:cs="Calibri"/>
              </w:rPr>
            </w:pPr>
            <w:r w:rsidRPr="079A31DF">
              <w:rPr>
                <w:rFonts w:ascii="Calibri" w:eastAsia="Calibri" w:hAnsi="Calibri" w:cs="Calibri"/>
              </w:rPr>
              <w:t>Ataques cibernéticos</w:t>
            </w:r>
          </w:p>
        </w:tc>
        <w:tc>
          <w:tcPr>
            <w:tcW w:w="1843" w:type="dxa"/>
            <w:noWrap/>
            <w:hideMark/>
          </w:tcPr>
          <w:p w14:paraId="4EA44BC6" w14:textId="21103299" w:rsidR="4E470D82" w:rsidRDefault="4E470D82" w:rsidP="4E470D82">
            <w:pPr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14:paraId="65E97270" w14:textId="5427939B" w:rsidR="4E470D82" w:rsidRDefault="4E470D82" w:rsidP="4E470D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14:paraId="4F779C40" w14:textId="39ED0E9C" w:rsidR="4E470D82" w:rsidRDefault="4E470D82" w:rsidP="4E470D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8" w:type="dxa"/>
            <w:noWrap/>
            <w:hideMark/>
          </w:tcPr>
          <w:p w14:paraId="0F6AC452" w14:textId="53224828" w:rsidR="31CB1F61" w:rsidRDefault="31CB1F61" w:rsidP="4E470D82">
            <w:pPr>
              <w:rPr>
                <w:rFonts w:ascii="Calibri" w:hAnsi="Calibri" w:cs="Calibri"/>
                <w:color w:val="000000" w:themeColor="text1"/>
              </w:rPr>
            </w:pPr>
            <w:r w:rsidRPr="4E470D82">
              <w:rPr>
                <w:rFonts w:ascii="Calibri" w:hAnsi="Calibri" w:cs="Calibri"/>
                <w:color w:val="000000" w:themeColor="text1"/>
              </w:rPr>
              <w:t>20</w:t>
            </w:r>
            <w:r w:rsidR="50D375BA" w:rsidRPr="4E470D82">
              <w:rPr>
                <w:rFonts w:ascii="Calibri" w:hAnsi="Calibri" w:cs="Calibri"/>
                <w:color w:val="000000" w:themeColor="text1"/>
              </w:rPr>
              <w:t>, 21</w:t>
            </w:r>
          </w:p>
        </w:tc>
      </w:tr>
    </w:tbl>
    <w:p w14:paraId="12B152A0" w14:textId="64E55FF9" w:rsidR="000C3CEC" w:rsidRDefault="000C3CEC"/>
    <w:p w14:paraId="156AD3C9" w14:textId="0F58F42D" w:rsidR="75CAE22F" w:rsidRDefault="75CAE22F" w:rsidP="079A31DF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  <w:r w:rsidRPr="003D37EC">
        <w:rPr>
          <w:color w:val="EE0000"/>
        </w:rPr>
        <w:t xml:space="preserve">* </w:t>
      </w:r>
      <w:r w:rsidRPr="079A31DF">
        <w:t xml:space="preserve">Os riscos de </w:t>
      </w:r>
      <w:r w:rsidR="7BD11A85" w:rsidRPr="079A31DF">
        <w:t>“</w:t>
      </w:r>
      <w:r w:rsidRPr="079A31DF">
        <w:t>A</w:t>
      </w:r>
      <w:r w:rsidR="0314D345" w:rsidRPr="079A31DF">
        <w:t>”</w:t>
      </w:r>
      <w:r w:rsidRPr="079A31DF">
        <w:t xml:space="preserve"> </w:t>
      </w:r>
      <w:r w:rsidR="0691A234" w:rsidRPr="079A31DF">
        <w:t>a</w:t>
      </w:r>
      <w:r w:rsidRPr="079A31DF">
        <w:t xml:space="preserve"> </w:t>
      </w:r>
      <w:r w:rsidR="2256F710" w:rsidRPr="079A31DF">
        <w:t>“</w:t>
      </w:r>
      <w:r w:rsidRPr="079A31DF">
        <w:t>O</w:t>
      </w:r>
      <w:r w:rsidR="6C522033" w:rsidRPr="079A31DF">
        <w:t>”</w:t>
      </w:r>
      <w:r w:rsidRPr="079A31DF">
        <w:t xml:space="preserve"> constantes da tabela acima foram identificados SGD e pela extinta SEME como sendo riscos comuns a processos de transformação digital na Administração Pública. Já os riscos de </w:t>
      </w:r>
      <w:r w:rsidR="66FB83AF" w:rsidRPr="079A31DF">
        <w:t>“</w:t>
      </w:r>
      <w:r w:rsidRPr="079A31DF">
        <w:t>P</w:t>
      </w:r>
      <w:r w:rsidR="41DDE88B" w:rsidRPr="079A31DF">
        <w:t>”</w:t>
      </w:r>
      <w:r w:rsidRPr="079A31DF">
        <w:t xml:space="preserve"> a </w:t>
      </w:r>
      <w:r w:rsidR="61660BDD" w:rsidRPr="079A31DF">
        <w:t>“</w:t>
      </w:r>
      <w:r w:rsidRPr="079A31DF">
        <w:t>T</w:t>
      </w:r>
      <w:r w:rsidR="3449385D" w:rsidRPr="079A31DF">
        <w:t>”</w:t>
      </w:r>
      <w:r w:rsidRPr="079A31DF">
        <w:t xml:space="preserve"> foram identificados pelo TCU no </w:t>
      </w:r>
      <w:r w:rsidRPr="079A31DF">
        <w:rPr>
          <w:rFonts w:ascii="Calibri" w:eastAsia="Calibri" w:hAnsi="Calibri" w:cs="Calibri"/>
        </w:rPr>
        <w:t xml:space="preserve">Item 61 do Relatório que embasou o voto do Ministro Vital do Rêgo e que originou o Acórdão </w:t>
      </w:r>
      <w:r w:rsidRPr="079A31DF">
        <w:rPr>
          <w:rFonts w:ascii="Calibri" w:eastAsia="Calibri" w:hAnsi="Calibri" w:cs="Calibri"/>
          <w:sz w:val="24"/>
          <w:szCs w:val="24"/>
        </w:rPr>
        <w:t>Nº 2060/2023 – TCU – Plenário.</w:t>
      </w:r>
      <w:r w:rsidRPr="079A31DF">
        <w:rPr>
          <w:rFonts w:ascii="Calibri" w:eastAsia="Calibri" w:hAnsi="Calibri" w:cs="Calibri"/>
          <w:b/>
          <w:bCs/>
          <w:sz w:val="24"/>
          <w:szCs w:val="24"/>
        </w:rPr>
        <w:t xml:space="preserve"> Esses riscos podem ou não ser utilizados</w:t>
      </w:r>
      <w:r w:rsidRPr="079A31DF">
        <w:rPr>
          <w:rFonts w:ascii="Calibri" w:eastAsia="Calibri" w:hAnsi="Calibri" w:cs="Calibri"/>
          <w:sz w:val="24"/>
          <w:szCs w:val="24"/>
        </w:rPr>
        <w:t xml:space="preserve"> na seção de Gestão de Riscos do documento diretivo do Plano de Transformação Digital</w:t>
      </w:r>
      <w:r w:rsidR="56BC612E" w:rsidRPr="079A31DF">
        <w:rPr>
          <w:rFonts w:ascii="Calibri" w:eastAsia="Calibri" w:hAnsi="Calibri" w:cs="Calibri"/>
          <w:sz w:val="24"/>
          <w:szCs w:val="24"/>
        </w:rPr>
        <w:t xml:space="preserve"> do órgão</w:t>
      </w:r>
      <w:r w:rsidRPr="079A31DF">
        <w:rPr>
          <w:rFonts w:ascii="Calibri" w:eastAsia="Calibri" w:hAnsi="Calibri" w:cs="Calibri"/>
          <w:sz w:val="24"/>
          <w:szCs w:val="24"/>
        </w:rPr>
        <w:t xml:space="preserve">, uma vez que os responsáveis devem olhar para a realidade da instituição e identificar </w:t>
      </w:r>
      <w:r w:rsidRPr="079A31DF">
        <w:rPr>
          <w:rFonts w:ascii="Calibri" w:eastAsia="Calibri" w:hAnsi="Calibri" w:cs="Calibri"/>
          <w:sz w:val="24"/>
          <w:szCs w:val="24"/>
        </w:rPr>
        <w:lastRenderedPageBreak/>
        <w:t>aqueles riscos que sejam condizentes com essa realidade. Podem ser – e é até recomendável que sejam – identificados riscos não listados nessa tabela, mais específicos do órgão.</w:t>
      </w:r>
    </w:p>
    <w:p w14:paraId="6970250F" w14:textId="429ED953" w:rsidR="00142763" w:rsidRPr="00371F88" w:rsidRDefault="57EDD2BF" w:rsidP="00371F88">
      <w:pPr>
        <w:jc w:val="both"/>
      </w:pPr>
      <w:r w:rsidRPr="4E470D82">
        <w:rPr>
          <w:color w:val="FF0000"/>
        </w:rPr>
        <w:t>*</w:t>
      </w:r>
      <w:r w:rsidR="70992439" w:rsidRPr="4E470D82">
        <w:rPr>
          <w:color w:val="FF0000"/>
        </w:rPr>
        <w:t>*</w:t>
      </w:r>
      <w:r>
        <w:t xml:space="preserve"> De acordo com o </w:t>
      </w:r>
      <w:r w:rsidR="7B127347">
        <w:t>Referencial Básico</w:t>
      </w:r>
      <w:r>
        <w:t xml:space="preserve"> de Gestão de Riscos do TCU, opções de tratamento de riscos incluem evitar, reduzir (mitigar), transferir (compartilhar) e aceitar (tolerar) o risco, devendo-se observar que elas não são mutuamente exclusivas. </w:t>
      </w:r>
      <w:r w:rsidR="7B127347">
        <w:t>Segue a explicação de cada uma delas: “</w:t>
      </w:r>
      <w:r>
        <w:t xml:space="preserve">a) </w:t>
      </w:r>
      <w:r w:rsidRPr="4E470D82">
        <w:rPr>
          <w:b/>
          <w:bCs/>
        </w:rPr>
        <w:t xml:space="preserve">Evitar </w:t>
      </w:r>
      <w:r>
        <w:t>o risco é a decisão de não iniciar ou de descontinuar a atividade, ou ainda desfazer</w:t>
      </w:r>
      <w:r w:rsidR="7B127347">
        <w:t xml:space="preserve">-se do objeto sujeito ao risco. </w:t>
      </w:r>
      <w:r>
        <w:t xml:space="preserve">b) </w:t>
      </w:r>
      <w:r w:rsidRPr="4E470D82">
        <w:rPr>
          <w:b/>
          <w:bCs/>
        </w:rPr>
        <w:t>Reduzir ou mitigar o risco</w:t>
      </w:r>
      <w:r>
        <w:t xml:space="preserve"> consiste em adotar medidas para reduzir a probabilidade ou a consequência dos riscos ou até mesmo ambos. Os procedimentos que uma organização estabelece para tratar riscos são denominados de</w:t>
      </w:r>
      <w:r w:rsidR="7B127347">
        <w:t xml:space="preserve"> atividades de controle interno; c) </w:t>
      </w:r>
      <w:r w:rsidR="7B127347" w:rsidRPr="4E470D82">
        <w:rPr>
          <w:b/>
          <w:bCs/>
        </w:rPr>
        <w:t>Compartilhar ou transferir</w:t>
      </w:r>
      <w:r w:rsidR="7B127347">
        <w:t xml:space="preserve"> o risco é o caso especial de se mitigar a consequência ou probabilidade de ocorrência do risco por meio da transferência ou compartilhamento de uma parte do risco, mediante contratação de seguros ou terceirização de atividades nas quais a organização não tem suficiente domínio. d) </w:t>
      </w:r>
      <w:r w:rsidR="7B127347" w:rsidRPr="4E470D82">
        <w:rPr>
          <w:b/>
          <w:bCs/>
        </w:rPr>
        <w:t>Aceitar</w:t>
      </w:r>
      <w:r w:rsidR="7B127347">
        <w:t xml:space="preserve"> ou tolerar o risco é não tomar, deliberadamente, nenhuma medida para alterar a probabilidade ou a consequência do risco. Ocorre quando o risco está dentro do nível de tolerância da organização (e.g. quando o risco é considerado baixo), a capacidade para fazer qualquer coisa sobre o risco é limitada ou, ainda, o custo de tomar qualquer medida é desproporcional em relação ao benefício potencial (e.g. gastar mais recursos financeiros para proteger um ativo do que o próprio valor do ativo)." Vide </w:t>
      </w:r>
      <w:hyperlink r:id="rId7">
        <w:r w:rsidR="7B127347" w:rsidRPr="4E470D82">
          <w:rPr>
            <w:rStyle w:val="Hyperlink"/>
          </w:rPr>
          <w:t>https://portal.tcu.gov.br/biblioteca-digital/referencial-basico-de-gestao-de-riscos.htm</w:t>
        </w:r>
      </w:hyperlink>
      <w:r w:rsidR="7B127347">
        <w:t xml:space="preserve"> </w:t>
      </w:r>
    </w:p>
    <w:p w14:paraId="078EF7F6" w14:textId="0DB8AAB2" w:rsidR="00142763" w:rsidRPr="00371F88" w:rsidRDefault="7B127347" w:rsidP="4E470D82">
      <w:pPr>
        <w:rPr>
          <w:rFonts w:ascii="Calibri" w:eastAsia="Times New Roman" w:hAnsi="Calibri" w:cs="Calibri"/>
          <w:lang w:eastAsia="pt-BR"/>
        </w:rPr>
      </w:pPr>
      <w:r w:rsidRPr="4E470D82">
        <w:rPr>
          <w:rFonts w:ascii="Calibri" w:eastAsia="Times New Roman" w:hAnsi="Calibri" w:cs="Calibri"/>
          <w:b/>
          <w:bCs/>
          <w:color w:val="FF0000"/>
          <w:lang w:eastAsia="pt-BR"/>
        </w:rPr>
        <w:t>**</w:t>
      </w:r>
      <w:r w:rsidR="4031E0DC" w:rsidRPr="4E470D82">
        <w:rPr>
          <w:rFonts w:ascii="Calibri" w:eastAsia="Times New Roman" w:hAnsi="Calibri" w:cs="Calibri"/>
          <w:b/>
          <w:bCs/>
          <w:color w:val="FF0000"/>
          <w:lang w:eastAsia="pt-BR"/>
        </w:rPr>
        <w:t>*</w:t>
      </w:r>
      <w:r w:rsidRPr="4E470D82">
        <w:rPr>
          <w:rFonts w:ascii="Calibri" w:eastAsia="Times New Roman" w:hAnsi="Calibri" w:cs="Calibri"/>
          <w:b/>
          <w:bCs/>
          <w:color w:val="FF0000"/>
          <w:lang w:eastAsia="pt-BR"/>
        </w:rPr>
        <w:t xml:space="preserve"> </w:t>
      </w:r>
      <w:r w:rsidRPr="4E470D82">
        <w:rPr>
          <w:rFonts w:ascii="Calibri" w:eastAsia="Times New Roman" w:hAnsi="Calibri" w:cs="Calibri"/>
          <w:lang w:eastAsia="pt-BR"/>
        </w:rPr>
        <w:t>As</w:t>
      </w:r>
      <w:r w:rsidR="2150B837" w:rsidRPr="4E470D82">
        <w:rPr>
          <w:rFonts w:ascii="Calibri" w:eastAsia="Times New Roman" w:hAnsi="Calibri" w:cs="Calibri"/>
          <w:lang w:eastAsia="pt-BR"/>
        </w:rPr>
        <w:t xml:space="preserve"> ações indicadas</w:t>
      </w:r>
      <w:r w:rsidRPr="4E470D82">
        <w:rPr>
          <w:rFonts w:ascii="Calibri" w:eastAsia="Times New Roman" w:hAnsi="Calibri" w:cs="Calibri"/>
          <w:lang w:eastAsia="pt-BR"/>
        </w:rPr>
        <w:t xml:space="preserve"> são</w:t>
      </w:r>
      <w:r w:rsidRPr="4E470D82">
        <w:rPr>
          <w:rFonts w:ascii="Calibri" w:eastAsia="Times New Roman" w:hAnsi="Calibri" w:cs="Calibri"/>
          <w:b/>
          <w:bCs/>
          <w:lang w:eastAsia="pt-BR"/>
        </w:rPr>
        <w:t xml:space="preserve"> meras sugestões</w:t>
      </w:r>
      <w:r w:rsidRPr="4E470D82">
        <w:rPr>
          <w:rFonts w:ascii="Calibri" w:eastAsia="Times New Roman" w:hAnsi="Calibri" w:cs="Calibri"/>
          <w:lang w:eastAsia="pt-BR"/>
        </w:rPr>
        <w:t xml:space="preserve"> para apoiar a definição </w:t>
      </w:r>
      <w:r w:rsidR="564A2B11" w:rsidRPr="4E470D82">
        <w:rPr>
          <w:rFonts w:ascii="Calibri" w:eastAsia="Times New Roman" w:hAnsi="Calibri" w:cs="Calibri"/>
          <w:lang w:eastAsia="pt-BR"/>
        </w:rPr>
        <w:t>do tratamento do risco</w:t>
      </w:r>
      <w:r w:rsidRPr="4E470D82">
        <w:rPr>
          <w:rFonts w:ascii="Calibri" w:eastAsia="Times New Roman" w:hAnsi="Calibri" w:cs="Calibri"/>
          <w:lang w:eastAsia="pt-BR"/>
        </w:rPr>
        <w:t xml:space="preserve"> pelo órgão. Fica </w:t>
      </w:r>
      <w:r w:rsidR="564A2B11" w:rsidRPr="4E470D82">
        <w:rPr>
          <w:rFonts w:ascii="Calibri" w:eastAsia="Times New Roman" w:hAnsi="Calibri" w:cs="Calibri"/>
          <w:lang w:eastAsia="pt-BR"/>
        </w:rPr>
        <w:t>a</w:t>
      </w:r>
      <w:r w:rsidRPr="4E470D82">
        <w:rPr>
          <w:rFonts w:ascii="Calibri" w:eastAsia="Times New Roman" w:hAnsi="Calibri" w:cs="Calibri"/>
          <w:lang w:eastAsia="pt-BR"/>
        </w:rPr>
        <w:t xml:space="preserve"> critério do </w:t>
      </w:r>
      <w:r w:rsidR="026EBB08" w:rsidRPr="4E470D82">
        <w:rPr>
          <w:rFonts w:ascii="Calibri" w:eastAsia="Times New Roman" w:hAnsi="Calibri" w:cs="Calibri"/>
          <w:lang w:eastAsia="pt-BR"/>
        </w:rPr>
        <w:t>Líder</w:t>
      </w:r>
      <w:r w:rsidRPr="4E470D82">
        <w:rPr>
          <w:rFonts w:ascii="Calibri" w:eastAsia="Times New Roman" w:hAnsi="Calibri" w:cs="Calibri"/>
          <w:lang w:eastAsia="pt-BR"/>
        </w:rPr>
        <w:t xml:space="preserve"> do Plano de Transformação Digital fazer uso de uma ou outra dessas sugestões ou acrescentar outras mais aderentes ao seu contexto</w:t>
      </w:r>
      <w:r w:rsidR="6F472463" w:rsidRPr="4E470D82">
        <w:rPr>
          <w:rFonts w:ascii="Calibri" w:eastAsia="Times New Roman" w:hAnsi="Calibri" w:cs="Calibri"/>
          <w:lang w:eastAsia="pt-BR"/>
        </w:rPr>
        <w:t xml:space="preserve"> </w:t>
      </w:r>
      <w:r w:rsidRPr="4E470D82">
        <w:rPr>
          <w:rFonts w:ascii="Calibri" w:eastAsia="Times New Roman" w:hAnsi="Calibri" w:cs="Calibri"/>
          <w:lang w:eastAsia="pt-BR"/>
        </w:rPr>
        <w:t xml:space="preserve">organizacional. </w:t>
      </w:r>
    </w:p>
    <w:p w14:paraId="0F5B4F63" w14:textId="511BFEB3" w:rsidR="00142763" w:rsidRDefault="00142763" w:rsidP="00371F88">
      <w:pPr>
        <w:rPr>
          <w:rFonts w:ascii="Calibri" w:eastAsia="Times New Roman" w:hAnsi="Calibri" w:cs="Calibri"/>
          <w:b/>
          <w:bCs/>
          <w:lang w:eastAsia="pt-BR"/>
        </w:rPr>
      </w:pPr>
      <w:r w:rsidRPr="00371F88">
        <w:rPr>
          <w:rFonts w:ascii="Calibri" w:eastAsia="Times New Roman" w:hAnsi="Calibri" w:cs="Calibri"/>
          <w:b/>
          <w:bCs/>
          <w:lang w:eastAsia="pt-BR"/>
        </w:rPr>
        <w:t xml:space="preserve">Segue </w:t>
      </w:r>
      <w:r w:rsidR="00120AD5" w:rsidRPr="00371F88">
        <w:rPr>
          <w:rFonts w:ascii="Calibri" w:eastAsia="Times New Roman" w:hAnsi="Calibri" w:cs="Calibri"/>
          <w:b/>
          <w:bCs/>
          <w:lang w:eastAsia="pt-BR"/>
        </w:rPr>
        <w:t>rol de ações de mitiga</w:t>
      </w:r>
      <w:r w:rsidRPr="00371F88">
        <w:rPr>
          <w:rFonts w:ascii="Calibri" w:eastAsia="Times New Roman" w:hAnsi="Calibri" w:cs="Calibri"/>
          <w:b/>
          <w:bCs/>
          <w:lang w:eastAsia="pt-BR"/>
        </w:rPr>
        <w:t>ção referenciadas por número:</w:t>
      </w:r>
      <w:r>
        <w:rPr>
          <w:rFonts w:ascii="Calibri" w:eastAsia="Times New Roman" w:hAnsi="Calibri" w:cs="Calibri"/>
          <w:b/>
          <w:bCs/>
          <w:lang w:eastAsia="pt-BR"/>
        </w:rPr>
        <w:t xml:space="preserve"> </w:t>
      </w:r>
    </w:p>
    <w:p w14:paraId="3A0701DA" w14:textId="5F7EE32A" w:rsidR="002E7A4B" w:rsidRDefault="002E7A4B" w:rsidP="00142763">
      <w:r>
        <w:rPr>
          <w:rFonts w:ascii="Calibri" w:eastAsia="Times New Roman" w:hAnsi="Calibri" w:cs="Calibri"/>
          <w:b/>
          <w:bCs/>
          <w:lang w:eastAsia="pt-BR"/>
        </w:rPr>
        <w:t xml:space="preserve">Ações de </w:t>
      </w:r>
      <w:r w:rsidR="00E54F20">
        <w:rPr>
          <w:rFonts w:ascii="Calibri" w:eastAsia="Times New Roman" w:hAnsi="Calibri" w:cs="Calibri"/>
          <w:b/>
          <w:bCs/>
          <w:lang w:eastAsia="pt-BR"/>
        </w:rPr>
        <w:t>tratamento do risco</w:t>
      </w:r>
      <w:r>
        <w:rPr>
          <w:rFonts w:ascii="Calibri" w:eastAsia="Times New Roman" w:hAnsi="Calibri" w:cs="Calibri"/>
          <w:b/>
          <w:bCs/>
          <w:lang w:eastAsia="pt-BR"/>
        </w:rPr>
        <w:t>:</w:t>
      </w:r>
    </w:p>
    <w:p w14:paraId="09F8C00E" w14:textId="4E0834C0" w:rsidR="007E68C2" w:rsidRDefault="007E68C2" w:rsidP="003D37EC">
      <w:pPr>
        <w:ind w:left="284" w:hanging="284"/>
      </w:pPr>
      <w:r>
        <w:t>1. Governança bem definida, com alinhamento estratégico, tático e operacional.</w:t>
      </w:r>
    </w:p>
    <w:p w14:paraId="26EC9B53" w14:textId="2BDC87A3" w:rsidR="007E68C2" w:rsidRDefault="007E68C2" w:rsidP="003D37EC">
      <w:pPr>
        <w:ind w:left="284" w:hanging="284"/>
      </w:pPr>
      <w:r>
        <w:t>2. Sensibilização das áreas de negócio para a importância do plano digital.</w:t>
      </w:r>
    </w:p>
    <w:p w14:paraId="5E0F8881" w14:textId="464C428B" w:rsidR="007E68C2" w:rsidRDefault="007E68C2" w:rsidP="003D37EC">
      <w:pPr>
        <w:ind w:left="284" w:hanging="284"/>
      </w:pPr>
      <w:r>
        <w:t>3. Reuniões periódicas de acompanhamento e reportar continuamente a alta gestão.</w:t>
      </w:r>
    </w:p>
    <w:p w14:paraId="14F4B666" w14:textId="76A1AF86" w:rsidR="007E68C2" w:rsidRDefault="007E68C2" w:rsidP="003D37EC">
      <w:pPr>
        <w:ind w:left="284" w:hanging="284"/>
      </w:pPr>
      <w:r>
        <w:t>4. Prospecção de formas alternativas para a composição da força de trabalho.</w:t>
      </w:r>
    </w:p>
    <w:p w14:paraId="0B06325C" w14:textId="765E887C" w:rsidR="007E68C2" w:rsidRDefault="007E68C2" w:rsidP="003D37EC">
      <w:pPr>
        <w:ind w:left="284" w:hanging="284"/>
      </w:pPr>
      <w:r>
        <w:t>5. Utilizar melhores práticas de gerenciamento de projetos registrando as etapas.</w:t>
      </w:r>
    </w:p>
    <w:p w14:paraId="07C6BBF5" w14:textId="23A6EE44" w:rsidR="007E68C2" w:rsidRDefault="007E68C2" w:rsidP="003D37EC">
      <w:pPr>
        <w:ind w:left="284" w:hanging="284"/>
      </w:pPr>
      <w:r>
        <w:t>6. Alinhamento interno quanto a critérios para simplificação e priorização no rito regulatório para os serviços constantes do plano digital.</w:t>
      </w:r>
    </w:p>
    <w:p w14:paraId="6E2552E2" w14:textId="560F6BDC" w:rsidR="007E68C2" w:rsidRDefault="007E68C2" w:rsidP="003D37EC">
      <w:pPr>
        <w:ind w:left="284" w:hanging="284"/>
      </w:pPr>
      <w:r>
        <w:t>7. Alinhamento com as estratégias e planos de Governo.</w:t>
      </w:r>
    </w:p>
    <w:p w14:paraId="28E9A0BD" w14:textId="28A9C9DD" w:rsidR="007E68C2" w:rsidRDefault="007E68C2" w:rsidP="003D37EC">
      <w:pPr>
        <w:ind w:left="284" w:hanging="284"/>
      </w:pPr>
      <w:r>
        <w:t>8. Projeto atualizado mesmo com a substituição de membro da equipe.</w:t>
      </w:r>
    </w:p>
    <w:p w14:paraId="25C83739" w14:textId="14B1EF31" w:rsidR="007E68C2" w:rsidRDefault="007E68C2" w:rsidP="003D37EC">
      <w:pPr>
        <w:ind w:left="284" w:hanging="284"/>
      </w:pPr>
      <w:r>
        <w:t>9. Reuniões periódicas de divulgação de informações do Plano e entregas realizadas.</w:t>
      </w:r>
    </w:p>
    <w:p w14:paraId="0CFB40E7" w14:textId="0931DE5B" w:rsidR="007E68C2" w:rsidRDefault="007E68C2" w:rsidP="003D37EC">
      <w:pPr>
        <w:ind w:left="284" w:hanging="284"/>
      </w:pPr>
      <w:r>
        <w:t>10. Acompanhamento quinzenal do Plano, conforme monitoramento interno.</w:t>
      </w:r>
    </w:p>
    <w:p w14:paraId="1DF5A46E" w14:textId="592BFB56" w:rsidR="007E68C2" w:rsidRDefault="007E68C2" w:rsidP="003D37EC">
      <w:pPr>
        <w:ind w:left="284" w:hanging="284"/>
      </w:pPr>
      <w:r>
        <w:t>11. Reporte a alta administração para alinhamento de eventuais alterações estratégicas.</w:t>
      </w:r>
    </w:p>
    <w:p w14:paraId="73B1C083" w14:textId="6099C25B" w:rsidR="007E68C2" w:rsidRDefault="5D2870DB" w:rsidP="003D37EC">
      <w:pPr>
        <w:ind w:left="284" w:hanging="284"/>
      </w:pPr>
      <w:r>
        <w:t>12. Fortalec</w:t>
      </w:r>
      <w:r w:rsidR="5D60400F">
        <w:t>imento</w:t>
      </w:r>
      <w:r>
        <w:t xml:space="preserve"> </w:t>
      </w:r>
      <w:r w:rsidR="55E458B7">
        <w:t>d</w:t>
      </w:r>
      <w:r>
        <w:t>a conformidade com a LGPD e a melhoria contínua do fluxo de tratamento dos dados.</w:t>
      </w:r>
    </w:p>
    <w:p w14:paraId="05335668" w14:textId="262FE895" w:rsidR="007E68C2" w:rsidRDefault="5D2870DB" w:rsidP="003D37EC">
      <w:pPr>
        <w:ind w:left="284" w:hanging="284"/>
      </w:pPr>
      <w:r>
        <w:lastRenderedPageBreak/>
        <w:t>13. Estabelec</w:t>
      </w:r>
      <w:r w:rsidR="6274C6E1">
        <w:t xml:space="preserve">imento de </w:t>
      </w:r>
      <w:r>
        <w:t>uma estratégia efetiva de governança de dados que reconheça o valor dos ativos de dados da organização.</w:t>
      </w:r>
    </w:p>
    <w:p w14:paraId="4E9FC460" w14:textId="2507AB05" w:rsidR="003A535E" w:rsidRDefault="5D2870DB" w:rsidP="003D37EC">
      <w:pPr>
        <w:ind w:left="284" w:hanging="284"/>
      </w:pPr>
      <w:r>
        <w:t>14. Identificação de dependências com fornecedores para o planejamento preventivo para a contratação ou migração de soluções visando a continuidade do negócio.</w:t>
      </w:r>
    </w:p>
    <w:p w14:paraId="15CEAF44" w14:textId="2DD57F5F" w:rsidR="641A9E7E" w:rsidRDefault="641A9E7E" w:rsidP="003D37EC">
      <w:pPr>
        <w:ind w:left="284" w:hanging="284"/>
      </w:pPr>
      <w:r w:rsidRPr="079A31DF">
        <w:t xml:space="preserve">15. </w:t>
      </w:r>
      <w:r w:rsidR="36D400F2" w:rsidRPr="079A31DF">
        <w:t>Participação de</w:t>
      </w:r>
      <w:r w:rsidR="628AE9DD" w:rsidRPr="079A31DF">
        <w:t xml:space="preserve"> especialistas em processos de negócios e em experiência do usuário no desenho de serviços digitais.</w:t>
      </w:r>
    </w:p>
    <w:p w14:paraId="0BF223A2" w14:textId="33BE4248" w:rsidR="628AE9DD" w:rsidRDefault="628AE9DD" w:rsidP="003D37EC">
      <w:pPr>
        <w:ind w:left="284" w:hanging="284"/>
      </w:pPr>
      <w:r w:rsidRPr="079A31DF">
        <w:t xml:space="preserve">16. </w:t>
      </w:r>
      <w:r w:rsidR="6F4A11F3" w:rsidRPr="079A31DF">
        <w:t>Planeja</w:t>
      </w:r>
      <w:r w:rsidR="7F542204" w:rsidRPr="079A31DF">
        <w:t xml:space="preserve">mento e </w:t>
      </w:r>
      <w:proofErr w:type="spellStart"/>
      <w:r w:rsidR="7F542204" w:rsidRPr="079A31DF">
        <w:t>digitização</w:t>
      </w:r>
      <w:proofErr w:type="spellEnd"/>
      <w:r w:rsidR="6F4A11F3" w:rsidRPr="079A31DF">
        <w:t xml:space="preserve"> de todas as etapas digitalizáveis do serviço, com uso de tod</w:t>
      </w:r>
      <w:r w:rsidR="5089968E" w:rsidRPr="079A31DF">
        <w:t>a</w:t>
      </w:r>
      <w:r w:rsidR="6F4A11F3" w:rsidRPr="079A31DF">
        <w:t>s as ferramentas tecnológicas disponíveis para</w:t>
      </w:r>
      <w:r w:rsidR="79DFA0BE" w:rsidRPr="079A31DF">
        <w:t xml:space="preserve"> maior eficiência no atendimento às demandas dos</w:t>
      </w:r>
      <w:r w:rsidR="7DC59EA3" w:rsidRPr="079A31DF">
        <w:t xml:space="preserve"> usuários.</w:t>
      </w:r>
    </w:p>
    <w:p w14:paraId="4F7A3BDC" w14:textId="157A8B0D" w:rsidR="7DC59EA3" w:rsidRDefault="7DC59EA3" w:rsidP="003D37EC">
      <w:pPr>
        <w:ind w:left="284" w:hanging="284"/>
      </w:pPr>
      <w:r w:rsidRPr="079A31DF">
        <w:t xml:space="preserve">17. Manutenção dos canais de prestação </w:t>
      </w:r>
      <w:r w:rsidR="4636DD68" w:rsidRPr="079A31DF">
        <w:t>existentes como pressuposto da oferta dos serviços em canal digital.</w:t>
      </w:r>
    </w:p>
    <w:p w14:paraId="62679B4B" w14:textId="7633E563" w:rsidR="724BD1D5" w:rsidRDefault="724BD1D5" w:rsidP="003D37EC">
      <w:pPr>
        <w:ind w:left="284" w:hanging="284"/>
      </w:pPr>
      <w:r w:rsidRPr="079A31DF">
        <w:t xml:space="preserve">18. Planos de ação claros e bem divulgados sobre formas de oferta do serviço quando o meio digital </w:t>
      </w:r>
      <w:r w:rsidR="3D972053" w:rsidRPr="079A31DF">
        <w:t>não estiver disponível.</w:t>
      </w:r>
    </w:p>
    <w:p w14:paraId="2D062E45" w14:textId="29A3BA0D" w:rsidR="3D972053" w:rsidRDefault="3D972053" w:rsidP="003D37EC">
      <w:pPr>
        <w:ind w:left="284" w:hanging="284"/>
      </w:pPr>
      <w:r w:rsidRPr="079A31DF">
        <w:t>19. Monitoramento e manutenção</w:t>
      </w:r>
      <w:r w:rsidR="7AF0785F" w:rsidRPr="079A31DF">
        <w:t xml:space="preserve"> preventiva do funcionamento</w:t>
      </w:r>
      <w:r w:rsidRPr="079A31DF">
        <w:t xml:space="preserve"> das soluções tecnológicas utilizadas na</w:t>
      </w:r>
      <w:r w:rsidR="3F038BA5" w:rsidRPr="079A31DF">
        <w:t xml:space="preserve"> oferta de serviços digitais priorizadas junto à TI do órgão.</w:t>
      </w:r>
    </w:p>
    <w:p w14:paraId="3B0399EA" w14:textId="5E12D583" w:rsidR="3F038BA5" w:rsidRDefault="3F038BA5" w:rsidP="003D37EC">
      <w:pPr>
        <w:ind w:left="284" w:hanging="284"/>
      </w:pPr>
      <w:r w:rsidRPr="079A31DF">
        <w:t xml:space="preserve">20. Implementação dos controles previstos </w:t>
      </w:r>
      <w:r w:rsidR="56EED8AB" w:rsidRPr="079A31DF">
        <w:t xml:space="preserve">nos </w:t>
      </w:r>
      <w:r w:rsidR="56EED8AB" w:rsidRPr="079A31DF">
        <w:rPr>
          <w:i/>
          <w:iCs/>
        </w:rPr>
        <w:t>frameworks</w:t>
      </w:r>
      <w:r w:rsidR="56EED8AB" w:rsidRPr="079A31DF">
        <w:t xml:space="preserve"> do PPSI.</w:t>
      </w:r>
    </w:p>
    <w:p w14:paraId="79068375" w14:textId="17CDB678" w:rsidR="40E6235C" w:rsidRDefault="40E6235C" w:rsidP="003D37EC">
      <w:pPr>
        <w:ind w:left="284" w:hanging="284"/>
      </w:pPr>
      <w:r w:rsidRPr="079A31DF">
        <w:t>21. Alinhamento com os princípios, objetivos e iniciativas da EFGD e com a legislação relativa ao atendimento aos usuários dos serviços públicos.</w:t>
      </w:r>
    </w:p>
    <w:p w14:paraId="6A49DB82" w14:textId="56571C54" w:rsidR="4E470D82" w:rsidRDefault="4E470D82" w:rsidP="4E470D82"/>
    <w:p w14:paraId="2BAC7D9F" w14:textId="2BB1246E" w:rsidR="4E470D82" w:rsidRDefault="4E470D82"/>
    <w:p w14:paraId="330B390A" w14:textId="0DB538FB" w:rsidR="4E470D82" w:rsidRDefault="4E470D82"/>
    <w:p w14:paraId="253B5808" w14:textId="17F89D29" w:rsidR="4E470D82" w:rsidRDefault="4E470D82" w:rsidP="4E470D82">
      <w:pPr>
        <w:rPr>
          <w:rFonts w:ascii="Calibri" w:eastAsia="Calibri" w:hAnsi="Calibri" w:cs="Calibri"/>
          <w:color w:val="000000" w:themeColor="text1"/>
        </w:rPr>
      </w:pPr>
    </w:p>
    <w:p w14:paraId="50853D5E" w14:textId="61F1EF30" w:rsidR="38FB8FAC" w:rsidRDefault="38FB8FAC" w:rsidP="4E470D82">
      <w:pPr>
        <w:rPr>
          <w:rFonts w:ascii="Calibri" w:eastAsia="Calibri" w:hAnsi="Calibri" w:cs="Calibri"/>
        </w:rPr>
      </w:pPr>
      <w:r>
        <w:br/>
      </w:r>
    </w:p>
    <w:sectPr w:rsidR="38FB8FAC" w:rsidSect="003D37EC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CEC"/>
    <w:rsid w:val="000C3CEC"/>
    <w:rsid w:val="00120AD5"/>
    <w:rsid w:val="00142763"/>
    <w:rsid w:val="002D5BBC"/>
    <w:rsid w:val="002E7A4B"/>
    <w:rsid w:val="00371F88"/>
    <w:rsid w:val="003A535E"/>
    <w:rsid w:val="003D37EC"/>
    <w:rsid w:val="003EC542"/>
    <w:rsid w:val="00404941"/>
    <w:rsid w:val="00424C2E"/>
    <w:rsid w:val="006377F6"/>
    <w:rsid w:val="006812C0"/>
    <w:rsid w:val="007A22FC"/>
    <w:rsid w:val="007E68C2"/>
    <w:rsid w:val="00B76B45"/>
    <w:rsid w:val="00D387F4"/>
    <w:rsid w:val="00E54F20"/>
    <w:rsid w:val="0141315B"/>
    <w:rsid w:val="016030A4"/>
    <w:rsid w:val="026EBB08"/>
    <w:rsid w:val="0314D345"/>
    <w:rsid w:val="03C14CCE"/>
    <w:rsid w:val="04C12426"/>
    <w:rsid w:val="04C7F187"/>
    <w:rsid w:val="0691A234"/>
    <w:rsid w:val="06F87893"/>
    <w:rsid w:val="079A31DF"/>
    <w:rsid w:val="087605A6"/>
    <w:rsid w:val="0926BEDA"/>
    <w:rsid w:val="0A660DFF"/>
    <w:rsid w:val="0B014A2D"/>
    <w:rsid w:val="0BC480D7"/>
    <w:rsid w:val="0C1DB9AE"/>
    <w:rsid w:val="0E0A3F6B"/>
    <w:rsid w:val="0E0EB342"/>
    <w:rsid w:val="0E9F7BC7"/>
    <w:rsid w:val="0EA3A90D"/>
    <w:rsid w:val="123BBDD6"/>
    <w:rsid w:val="12ABFE91"/>
    <w:rsid w:val="1346C85E"/>
    <w:rsid w:val="141BD02B"/>
    <w:rsid w:val="1454B8D1"/>
    <w:rsid w:val="1527262D"/>
    <w:rsid w:val="15322A15"/>
    <w:rsid w:val="15D71C83"/>
    <w:rsid w:val="1603F1AA"/>
    <w:rsid w:val="16426035"/>
    <w:rsid w:val="17591482"/>
    <w:rsid w:val="188B7FE5"/>
    <w:rsid w:val="1909457B"/>
    <w:rsid w:val="19123FE6"/>
    <w:rsid w:val="1949E56B"/>
    <w:rsid w:val="19D24024"/>
    <w:rsid w:val="1A2F9299"/>
    <w:rsid w:val="1A851DF5"/>
    <w:rsid w:val="1CD2EF46"/>
    <w:rsid w:val="1D6676DA"/>
    <w:rsid w:val="1DED58E4"/>
    <w:rsid w:val="1E111712"/>
    <w:rsid w:val="207FA52E"/>
    <w:rsid w:val="2150B837"/>
    <w:rsid w:val="2256F710"/>
    <w:rsid w:val="258C8E27"/>
    <w:rsid w:val="26200344"/>
    <w:rsid w:val="2688ADAC"/>
    <w:rsid w:val="292C6D1B"/>
    <w:rsid w:val="297FEBDC"/>
    <w:rsid w:val="2C577137"/>
    <w:rsid w:val="2C5C9B13"/>
    <w:rsid w:val="2F1F429B"/>
    <w:rsid w:val="31CB1F61"/>
    <w:rsid w:val="31F90384"/>
    <w:rsid w:val="329113E5"/>
    <w:rsid w:val="3322BB80"/>
    <w:rsid w:val="3449385D"/>
    <w:rsid w:val="34DA3838"/>
    <w:rsid w:val="354A05A4"/>
    <w:rsid w:val="359DF9A5"/>
    <w:rsid w:val="35D12A2B"/>
    <w:rsid w:val="36D400F2"/>
    <w:rsid w:val="37FD559C"/>
    <w:rsid w:val="3837EDA2"/>
    <w:rsid w:val="38FB8FAC"/>
    <w:rsid w:val="3930C55F"/>
    <w:rsid w:val="39A90C36"/>
    <w:rsid w:val="3AF9027A"/>
    <w:rsid w:val="3C5341F0"/>
    <w:rsid w:val="3CC0CC1C"/>
    <w:rsid w:val="3D972053"/>
    <w:rsid w:val="3E4F36DD"/>
    <w:rsid w:val="3F038BA5"/>
    <w:rsid w:val="3F969815"/>
    <w:rsid w:val="3FF5A2C3"/>
    <w:rsid w:val="4031E0DC"/>
    <w:rsid w:val="4074C219"/>
    <w:rsid w:val="40E6235C"/>
    <w:rsid w:val="418A9D91"/>
    <w:rsid w:val="41965458"/>
    <w:rsid w:val="41DDE88B"/>
    <w:rsid w:val="420B8D9B"/>
    <w:rsid w:val="42545E8C"/>
    <w:rsid w:val="44742831"/>
    <w:rsid w:val="44CF2612"/>
    <w:rsid w:val="45EB375F"/>
    <w:rsid w:val="460BA3CD"/>
    <w:rsid w:val="4636DD68"/>
    <w:rsid w:val="46C72819"/>
    <w:rsid w:val="4835E43A"/>
    <w:rsid w:val="488BF74C"/>
    <w:rsid w:val="499CDD4E"/>
    <w:rsid w:val="49DB458B"/>
    <w:rsid w:val="4A2C3CBB"/>
    <w:rsid w:val="4AB019E1"/>
    <w:rsid w:val="4CCE4EB8"/>
    <w:rsid w:val="4DD024E9"/>
    <w:rsid w:val="4E470D82"/>
    <w:rsid w:val="4E49B5F4"/>
    <w:rsid w:val="501E9B5A"/>
    <w:rsid w:val="5089968E"/>
    <w:rsid w:val="50D375BA"/>
    <w:rsid w:val="51A6D693"/>
    <w:rsid w:val="53C1E741"/>
    <w:rsid w:val="5412893A"/>
    <w:rsid w:val="55C0B013"/>
    <w:rsid w:val="55E458B7"/>
    <w:rsid w:val="564A2B11"/>
    <w:rsid w:val="56BC612E"/>
    <w:rsid w:val="56EED8AB"/>
    <w:rsid w:val="57DDB84B"/>
    <w:rsid w:val="57EDD2BF"/>
    <w:rsid w:val="585E7439"/>
    <w:rsid w:val="59087B80"/>
    <w:rsid w:val="592DC3E6"/>
    <w:rsid w:val="5A24E0B5"/>
    <w:rsid w:val="5A40D9A5"/>
    <w:rsid w:val="5B14F515"/>
    <w:rsid w:val="5C55EB91"/>
    <w:rsid w:val="5D2870DB"/>
    <w:rsid w:val="5D60400F"/>
    <w:rsid w:val="5D9EDDF8"/>
    <w:rsid w:val="5EA101AD"/>
    <w:rsid w:val="5EC6B991"/>
    <w:rsid w:val="5F1C3F25"/>
    <w:rsid w:val="5FFFCEB7"/>
    <w:rsid w:val="61660BDD"/>
    <w:rsid w:val="6274C6E1"/>
    <w:rsid w:val="628AE9DD"/>
    <w:rsid w:val="641A9E7E"/>
    <w:rsid w:val="6449DF84"/>
    <w:rsid w:val="64CF57EB"/>
    <w:rsid w:val="65559F49"/>
    <w:rsid w:val="66FB83AF"/>
    <w:rsid w:val="68D82630"/>
    <w:rsid w:val="68FD96CB"/>
    <w:rsid w:val="69F9E82F"/>
    <w:rsid w:val="6BB8C431"/>
    <w:rsid w:val="6BE308C8"/>
    <w:rsid w:val="6C522033"/>
    <w:rsid w:val="6C8B3898"/>
    <w:rsid w:val="6E999531"/>
    <w:rsid w:val="6F472463"/>
    <w:rsid w:val="6F4A11F3"/>
    <w:rsid w:val="6F5BC582"/>
    <w:rsid w:val="70992439"/>
    <w:rsid w:val="722F1734"/>
    <w:rsid w:val="724BD1D5"/>
    <w:rsid w:val="7563DBDF"/>
    <w:rsid w:val="75CAE22F"/>
    <w:rsid w:val="79DFA0BE"/>
    <w:rsid w:val="7ADB7944"/>
    <w:rsid w:val="7AF0785F"/>
    <w:rsid w:val="7B127347"/>
    <w:rsid w:val="7BD11A85"/>
    <w:rsid w:val="7DAB4A49"/>
    <w:rsid w:val="7DC59EA3"/>
    <w:rsid w:val="7F54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C62F"/>
  <w15:chartTrackingRefBased/>
  <w15:docId w15:val="{0F386366-C469-46EB-A0BC-A9781F69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deGradeClara">
    <w:name w:val="Grid Table Light"/>
    <w:basedOn w:val="Tabelanormal"/>
    <w:uiPriority w:val="40"/>
    <w:rsid w:val="000C3C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grafodaLista">
    <w:name w:val="List Paragraph"/>
    <w:basedOn w:val="Normal"/>
    <w:uiPriority w:val="34"/>
    <w:qFormat/>
    <w:rsid w:val="003A535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27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4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portal.tcu.gov.br/biblioteca-digital/referencial-basico-de-gestao-de-riscos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d8ae9-0937-4317-bc54-45a9e32619bc">
      <Terms xmlns="http://schemas.microsoft.com/office/infopath/2007/PartnerControls"/>
    </lcf76f155ced4ddcb4097134ff3c332f>
    <TaxCatchAll xmlns="4dac2188-7eea-4eb9-b877-757caee0c4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7ACB375D19C74FAB75AD9766B94F30" ma:contentTypeVersion="17" ma:contentTypeDescription="Crie um novo documento." ma:contentTypeScope="" ma:versionID="291b74777534e48dfa7e0a1e1176917c">
  <xsd:schema xmlns:xsd="http://www.w3.org/2001/XMLSchema" xmlns:xs="http://www.w3.org/2001/XMLSchema" xmlns:p="http://schemas.microsoft.com/office/2006/metadata/properties" xmlns:ns2="e15d8ae9-0937-4317-bc54-45a9e32619bc" xmlns:ns3="4dac2188-7eea-4eb9-b877-757caee0c494" targetNamespace="http://schemas.microsoft.com/office/2006/metadata/properties" ma:root="true" ma:fieldsID="bb3100b7597d2848c756e380731e913c" ns2:_="" ns3:_="">
    <xsd:import namespace="e15d8ae9-0937-4317-bc54-45a9e32619bc"/>
    <xsd:import namespace="4dac2188-7eea-4eb9-b877-757caee0c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d8ae9-0937-4317-bc54-45a9e3261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c2188-7eea-4eb9-b877-757caee0c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3df4e1-17d0-4aee-9db3-dfdba1b3e7bc}" ma:internalName="TaxCatchAll" ma:showField="CatchAllData" ma:web="4dac2188-7eea-4eb9-b877-757caee0c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6BFBA0-E927-4134-A078-59C7701431C2}">
  <ds:schemaRefs>
    <ds:schemaRef ds:uri="http://schemas.microsoft.com/office/2006/metadata/properties"/>
    <ds:schemaRef ds:uri="http://schemas.microsoft.com/office/infopath/2007/PartnerControls"/>
    <ds:schemaRef ds:uri="e15d8ae9-0937-4317-bc54-45a9e32619bc"/>
    <ds:schemaRef ds:uri="4dac2188-7eea-4eb9-b877-757caee0c494"/>
  </ds:schemaRefs>
</ds:datastoreItem>
</file>

<file path=customXml/itemProps2.xml><?xml version="1.0" encoding="utf-8"?>
<ds:datastoreItem xmlns:ds="http://schemas.openxmlformats.org/officeDocument/2006/customXml" ds:itemID="{203045F4-305B-4BE6-8314-F19B3A1B6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d8ae9-0937-4317-bc54-45a9e32619bc"/>
    <ds:schemaRef ds:uri="4dac2188-7eea-4eb9-b877-757caee0c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77FB78-CDC7-4397-8C29-C2A305C037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Gomes Oliveira</dc:creator>
  <cp:keywords/>
  <dc:description/>
  <cp:lastModifiedBy>Altino Jose Mentzingen de Moraes</cp:lastModifiedBy>
  <cp:revision>7</cp:revision>
  <dcterms:created xsi:type="dcterms:W3CDTF">2021-09-01T12:42:00Z</dcterms:created>
  <dcterms:modified xsi:type="dcterms:W3CDTF">2025-06-16T12:51:00Z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0x010100907ACB375D19C74FAB75AD9766B94F30</vt:lpwstr>
  </property>
  <property fmtid="{D5CDD505-2E9C-101B-9397-08002B2CF9AE}" pid="3" name="MediaServiceImageTags">
    <vt:lpwstr/>
  </property>
</Properties>
</file>