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3A61" w14:textId="77777777" w:rsidR="001F619F" w:rsidRDefault="001F619F"/>
    <w:p w14:paraId="6D5558D4" w14:textId="77777777" w:rsidR="001F619F" w:rsidRDefault="00000000">
      <w:pPr>
        <w:spacing w:before="100" w:after="100"/>
        <w:jc w:val="center"/>
        <w:rPr>
          <w:rFonts w:eastAsia="Yu Mincho"/>
          <w:b/>
          <w:bCs/>
          <w:kern w:val="0"/>
          <w:sz w:val="28"/>
          <w:szCs w:val="28"/>
          <w:lang w:eastAsia="pt-BR"/>
        </w:rPr>
      </w:pPr>
      <w:r>
        <w:rPr>
          <w:rFonts w:eastAsia="Yu Mincho"/>
          <w:b/>
          <w:bCs/>
          <w:kern w:val="0"/>
          <w:sz w:val="28"/>
          <w:szCs w:val="28"/>
          <w:lang w:eastAsia="pt-BR"/>
        </w:rPr>
        <w:t>DECLARAÇÃO DE ESTRUTURA DE PESSOAL PARA ATENDIMENTO</w:t>
      </w:r>
    </w:p>
    <w:p w14:paraId="7E3DA2B1" w14:textId="77777777" w:rsidR="001F619F" w:rsidRDefault="001F619F">
      <w:pPr>
        <w:spacing w:before="100" w:after="100"/>
        <w:jc w:val="both"/>
        <w:rPr>
          <w:rFonts w:eastAsia="Yu Mincho"/>
          <w:kern w:val="0"/>
          <w:sz w:val="28"/>
          <w:szCs w:val="28"/>
          <w:lang w:eastAsia="pt-BR"/>
        </w:rPr>
      </w:pPr>
    </w:p>
    <w:p w14:paraId="1D974CE0" w14:textId="1E46BBEA" w:rsidR="001F619F" w:rsidRDefault="00000000">
      <w:pPr>
        <w:spacing w:before="100" w:after="100"/>
        <w:jc w:val="both"/>
      </w:pPr>
      <w:r>
        <w:t xml:space="preserve">A Rede de Atendimento [Nome da Rede de Atendimento], por meio de seu gestor responsável, declara o compromisso de disponibilizar, nas unidades de atendimento em que o Programa Balcão GOV.BR for implantado — seja no momento do credenciamento inicial ou em futuras expansões —, </w:t>
      </w:r>
      <w:r>
        <w:rPr>
          <w:b/>
          <w:bCs/>
        </w:rPr>
        <w:t>estrutura de pessoal</w:t>
      </w:r>
      <w:r>
        <w:t xml:space="preserve"> qualificada e idônea, assegurando a capacidade técnica necessária para a realização dos atendimentos presenciais, em conformidade com os parâmetros definidos pelo </w:t>
      </w:r>
      <w:r w:rsidR="00571772">
        <w:t>P</w:t>
      </w:r>
      <w:r>
        <w:t>rograma e detalhados na tabela a seguir.</w:t>
      </w:r>
    </w:p>
    <w:tbl>
      <w:tblPr>
        <w:tblW w:w="86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1"/>
        <w:gridCol w:w="4134"/>
      </w:tblGrid>
      <w:tr w:rsidR="001F619F" w14:paraId="52063AE2" w14:textId="77777777">
        <w:trPr>
          <w:trHeight w:val="300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6CE87E" w14:textId="77777777" w:rsidR="001F619F" w:rsidRDefault="00000000">
            <w:pPr>
              <w:spacing w:line="247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Quantidade de atendimento diários (incluindo todos os serviços prestados) 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200FAC" w14:textId="77777777" w:rsidR="001F619F" w:rsidRDefault="00000000">
            <w:pPr>
              <w:spacing w:line="247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Quantidade mínima de atendentes dedicados ao Atendimento Balcão Gov.br*</w:t>
            </w:r>
          </w:p>
        </w:tc>
      </w:tr>
      <w:tr w:rsidR="001F619F" w14:paraId="3C79492C" w14:textId="77777777">
        <w:trPr>
          <w:trHeight w:val="300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0DE49D" w14:textId="77777777" w:rsidR="001F619F" w:rsidRDefault="00000000">
            <w:pPr>
              <w:spacing w:line="247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Até 500 atendimentos diários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8462F" w14:textId="77777777" w:rsidR="001F619F" w:rsidRDefault="00000000">
            <w:pPr>
              <w:spacing w:line="247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 atendentes</w:t>
            </w:r>
          </w:p>
        </w:tc>
      </w:tr>
      <w:tr w:rsidR="001F619F" w14:paraId="6F6FEFCF" w14:textId="77777777">
        <w:trPr>
          <w:trHeight w:val="300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8FD7F" w14:textId="77777777" w:rsidR="001F619F" w:rsidRDefault="00000000">
            <w:pPr>
              <w:spacing w:line="247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Entre 500 e 1500 atendimentos diários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1A2D0" w14:textId="77777777" w:rsidR="001F619F" w:rsidRDefault="00000000">
            <w:pPr>
              <w:spacing w:line="247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 atendentes</w:t>
            </w:r>
          </w:p>
        </w:tc>
      </w:tr>
      <w:tr w:rsidR="001F619F" w14:paraId="32158CE4" w14:textId="77777777">
        <w:trPr>
          <w:trHeight w:val="300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FC7C5" w14:textId="77777777" w:rsidR="001F619F" w:rsidRDefault="00000000">
            <w:pPr>
              <w:spacing w:line="247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Entre 1501 até 3000 atendimentos diários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F95DF" w14:textId="77777777" w:rsidR="001F619F" w:rsidRDefault="00000000">
            <w:pPr>
              <w:spacing w:line="247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 atendentes</w:t>
            </w:r>
          </w:p>
        </w:tc>
      </w:tr>
      <w:tr w:rsidR="001F619F" w14:paraId="6927C2A6" w14:textId="77777777">
        <w:trPr>
          <w:trHeight w:val="300"/>
        </w:trPr>
        <w:tc>
          <w:tcPr>
            <w:tcW w:w="4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CACA7C" w14:textId="77777777" w:rsidR="001F619F" w:rsidRDefault="00000000">
            <w:pPr>
              <w:spacing w:line="247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Acima de 3000 atendimentos diários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C6F813" w14:textId="77777777" w:rsidR="001F619F" w:rsidRDefault="00000000">
            <w:pPr>
              <w:spacing w:line="247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 atendentes</w:t>
            </w:r>
          </w:p>
        </w:tc>
      </w:tr>
    </w:tbl>
    <w:p w14:paraId="35633AAA" w14:textId="77777777" w:rsidR="001F619F" w:rsidRDefault="00000000">
      <w:pPr>
        <w:spacing w:before="100" w:line="247" w:lineRule="auto"/>
        <w:jc w:val="both"/>
        <w:rPr>
          <w:rFonts w:cs="Calibri"/>
          <w:color w:val="111111"/>
          <w:sz w:val="20"/>
          <w:szCs w:val="20"/>
        </w:rPr>
      </w:pPr>
      <w:r>
        <w:rPr>
          <w:rFonts w:cs="Calibri"/>
          <w:color w:val="111111"/>
          <w:sz w:val="20"/>
          <w:szCs w:val="20"/>
        </w:rPr>
        <w:t>*Os números acima se referem a cada unidade física. Portanto, redes que possuam unidades vinculadas devem avaliar individualmente o porte de cada uma para determinar o número adequado de atendentes por unidade.</w:t>
      </w:r>
    </w:p>
    <w:p w14:paraId="3ACE55DD" w14:textId="77777777" w:rsidR="001F619F" w:rsidRDefault="001F619F">
      <w:pPr>
        <w:jc w:val="both"/>
        <w:rPr>
          <w:rFonts w:eastAsia="Yu Mincho"/>
          <w:b/>
          <w:bCs/>
          <w:lang w:eastAsia="pt-BR"/>
        </w:rPr>
      </w:pPr>
    </w:p>
    <w:p w14:paraId="18C0CB6A" w14:textId="77777777" w:rsidR="001F619F" w:rsidRDefault="00000000">
      <w:pPr>
        <w:spacing w:before="100" w:after="100"/>
        <w:jc w:val="both"/>
        <w:rPr>
          <w:rFonts w:eastAsia="Yu Mincho"/>
          <w:kern w:val="0"/>
          <w:lang w:eastAsia="pt-BR"/>
        </w:rPr>
      </w:pPr>
      <w:r>
        <w:rPr>
          <w:rFonts w:eastAsia="Yu Mincho"/>
          <w:kern w:val="0"/>
          <w:lang w:eastAsia="pt-BR"/>
        </w:rPr>
        <w:t>Adicionalmente, a rede declara que toda a equipe responsável pelos atendimentos passará por capacitação específica, conduzida pela própria rede com base no material e orientações fornecidos pela Secretaria de Governo Digital, assegurando que todos os atendentes estejam plenamente aptos a executar suas atividades no âmbito do Programa Balcão GOV.BR.</w:t>
      </w:r>
    </w:p>
    <w:p w14:paraId="374869F7" w14:textId="77777777" w:rsidR="001F619F" w:rsidRDefault="001F619F">
      <w:pPr>
        <w:jc w:val="both"/>
        <w:rPr>
          <w:rFonts w:eastAsia="Yu Mincho"/>
          <w:lang w:eastAsia="pt-BR"/>
        </w:rPr>
      </w:pPr>
    </w:p>
    <w:p w14:paraId="7015F501" w14:textId="77777777" w:rsidR="001F619F" w:rsidRDefault="00000000">
      <w:pPr>
        <w:pStyle w:val="NormalWeb"/>
        <w:rPr>
          <w:rFonts w:ascii="Calibri" w:eastAsia="Calibri" w:hAnsi="Calibri" w:cs="Calibri"/>
          <w:color w:val="000000"/>
        </w:rPr>
      </w:pPr>
      <w:bookmarkStart w:id="0" w:name="_Hlk212734919"/>
      <w:r>
        <w:rPr>
          <w:rFonts w:ascii="Calibri" w:eastAsia="Calibri" w:hAnsi="Calibri" w:cs="Calibri"/>
          <w:color w:val="000000"/>
        </w:rPr>
        <w:t>Cidade (UF), ___ de ______ de ____.</w:t>
      </w:r>
    </w:p>
    <w:p w14:paraId="1565241F" w14:textId="77777777" w:rsidR="001F619F" w:rsidRDefault="001F619F">
      <w:pPr>
        <w:ind w:left="720"/>
        <w:rPr>
          <w:rFonts w:cs="Calibri"/>
          <w:color w:val="000000"/>
        </w:rPr>
      </w:pPr>
    </w:p>
    <w:p w14:paraId="64277D5F" w14:textId="77777777" w:rsidR="001F619F" w:rsidRDefault="001F619F">
      <w:pPr>
        <w:ind w:left="720"/>
        <w:rPr>
          <w:rFonts w:cs="Calibri"/>
          <w:color w:val="000000"/>
        </w:rPr>
      </w:pPr>
    </w:p>
    <w:p w14:paraId="5A01839F" w14:textId="77777777" w:rsidR="001F619F" w:rsidRDefault="00000000">
      <w:pPr>
        <w:pStyle w:val="NormalWeb"/>
        <w:rPr>
          <w:rFonts w:ascii="Calibri" w:eastAsia="Yu Mincho" w:hAnsi="Calibri" w:cs="Arial"/>
        </w:rPr>
      </w:pPr>
      <w:r>
        <w:rPr>
          <w:rFonts w:ascii="Calibri" w:eastAsia="Yu Mincho" w:hAnsi="Calibri" w:cs="Arial"/>
        </w:rPr>
        <w:t xml:space="preserve">Nome do gestor responsável (gestor da rede de atendimento): </w:t>
      </w:r>
    </w:p>
    <w:p w14:paraId="07234A00" w14:textId="77777777" w:rsidR="001F619F" w:rsidRDefault="00000000">
      <w:pPr>
        <w:pStyle w:val="NormalWeb"/>
        <w:rPr>
          <w:rFonts w:ascii="Calibri" w:eastAsia="Yu Mincho" w:hAnsi="Calibri" w:cs="Arial"/>
        </w:rPr>
      </w:pPr>
      <w:r>
        <w:rPr>
          <w:rFonts w:ascii="Calibri" w:eastAsia="Yu Mincho" w:hAnsi="Calibri" w:cs="Arial"/>
        </w:rPr>
        <w:t>CPF:</w:t>
      </w:r>
    </w:p>
    <w:p w14:paraId="6FDA904E" w14:textId="77777777" w:rsidR="001F619F" w:rsidRDefault="00000000">
      <w:pPr>
        <w:pStyle w:val="NormalWeb"/>
        <w:rPr>
          <w:rFonts w:ascii="Calibri" w:eastAsia="Yu Mincho" w:hAnsi="Calibri" w:cs="Arial"/>
        </w:rPr>
      </w:pPr>
      <w:r>
        <w:rPr>
          <w:rFonts w:ascii="Calibri" w:eastAsia="Yu Mincho" w:hAnsi="Calibri" w:cs="Arial"/>
        </w:rPr>
        <w:t>Cargo:</w:t>
      </w:r>
    </w:p>
    <w:p w14:paraId="2EDEE3EB" w14:textId="77777777" w:rsidR="001F619F" w:rsidRDefault="001F619F">
      <w:pPr>
        <w:pStyle w:val="NormalWeb"/>
        <w:rPr>
          <w:rFonts w:ascii="Calibri" w:eastAsia="Yu Mincho" w:hAnsi="Calibri" w:cs="Arial"/>
        </w:rPr>
      </w:pPr>
    </w:p>
    <w:p w14:paraId="37DA7148" w14:textId="77777777" w:rsidR="001F619F" w:rsidRDefault="001F619F">
      <w:pPr>
        <w:pStyle w:val="NormalWeb"/>
        <w:rPr>
          <w:rFonts w:ascii="Calibri" w:eastAsia="Yu Mincho" w:hAnsi="Calibri" w:cs="Arial"/>
        </w:rPr>
      </w:pPr>
    </w:p>
    <w:p w14:paraId="5238B8DD" w14:textId="77777777" w:rsidR="001F619F" w:rsidRDefault="00000000">
      <w:pPr>
        <w:pStyle w:val="NormalWeb"/>
        <w:ind w:left="720"/>
        <w:rPr>
          <w:rFonts w:ascii="Calibri" w:eastAsia="Calibri" w:hAnsi="Calibri" w:cs="Calibri"/>
          <w:color w:val="111111"/>
          <w:sz w:val="18"/>
          <w:szCs w:val="18"/>
        </w:rPr>
      </w:pPr>
      <w:r>
        <w:rPr>
          <w:rFonts w:ascii="Calibri" w:eastAsia="Calibri" w:hAnsi="Calibri" w:cs="Calibri"/>
          <w:color w:val="111111"/>
          <w:sz w:val="18"/>
          <w:szCs w:val="18"/>
        </w:rPr>
        <w:t>(A declaração deve ser assinada com assinatura eletrônica GOV.BR)</w:t>
      </w:r>
    </w:p>
    <w:bookmarkEnd w:id="0"/>
    <w:p w14:paraId="6518CABA" w14:textId="77777777" w:rsidR="001F619F" w:rsidRDefault="001F619F">
      <w:pPr>
        <w:pStyle w:val="NormalWeb"/>
        <w:rPr>
          <w:rFonts w:ascii="Calibri" w:eastAsia="Yu Mincho" w:hAnsi="Calibri" w:cs="Arial"/>
        </w:rPr>
      </w:pPr>
    </w:p>
    <w:sectPr w:rsidR="001F619F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16B17" w14:textId="77777777" w:rsidR="0076692E" w:rsidRDefault="0076692E">
      <w:r>
        <w:separator/>
      </w:r>
    </w:p>
  </w:endnote>
  <w:endnote w:type="continuationSeparator" w:id="0">
    <w:p w14:paraId="01641A5A" w14:textId="77777777" w:rsidR="0076692E" w:rsidRDefault="0076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5768E" w14:textId="77777777" w:rsidR="0076692E" w:rsidRDefault="0076692E">
      <w:r>
        <w:rPr>
          <w:color w:val="000000"/>
        </w:rPr>
        <w:separator/>
      </w:r>
    </w:p>
  </w:footnote>
  <w:footnote w:type="continuationSeparator" w:id="0">
    <w:p w14:paraId="7A26438B" w14:textId="77777777" w:rsidR="0076692E" w:rsidRDefault="00766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19F"/>
    <w:rsid w:val="00110C65"/>
    <w:rsid w:val="001F619F"/>
    <w:rsid w:val="002C5B1C"/>
    <w:rsid w:val="00571772"/>
    <w:rsid w:val="0076692E"/>
    <w:rsid w:val="00A11836"/>
    <w:rsid w:val="00EC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6C4C"/>
  <w15:docId w15:val="{F95777AE-B71F-4E40-9511-FEFCC0D5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kern w:val="3"/>
        <w:sz w:val="24"/>
        <w:szCs w:val="24"/>
        <w:lang w:val="pt-B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 w:cs="Times New Roman"/>
      <w:kern w:val="0"/>
      <w:lang w:eastAsia="pt-BR"/>
    </w:rPr>
  </w:style>
  <w:style w:type="paragraph" w:styleId="PargrafodaLista">
    <w:name w:val="List Paragraph"/>
    <w:basedOn w:val="Normal"/>
    <w:pPr>
      <w:spacing w:after="160" w:line="254" w:lineRule="auto"/>
      <w:ind w:left="720"/>
      <w:contextualSpacing/>
      <w:textAlignment w:val="auto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Joáo Paulo Neto</dc:creator>
  <dc:description/>
  <cp:lastModifiedBy>DANIELA SANTOS CORDEIRO BALDEZ</cp:lastModifiedBy>
  <cp:revision>3</cp:revision>
  <dcterms:created xsi:type="dcterms:W3CDTF">2025-10-30T20:17:00Z</dcterms:created>
  <dcterms:modified xsi:type="dcterms:W3CDTF">2025-10-30T20:47:00Z</dcterms:modified>
</cp:coreProperties>
</file>