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3A55CB" w:rsidRDefault="003A55C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6D3C32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GESTÃO DE CONTRATOS DE TIC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MINISTÉRIO DO PLANEJAMENTO, DESENVOLVIMENTO E GESTÃO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MINISTÉRIO DO PLANEJAMENTO, DESENVOLVIMENTO E GESTÃO</w:t>
            </w:r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da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Natal Henrique Troz</w:t>
            </w:r>
            <w:r w:rsidR="000A4C6F">
              <w:rPr>
                <w:rFonts w:ascii="Arial" w:hAnsi="Arial" w:cs="Arial"/>
                <w:b/>
                <w:sz w:val="18"/>
                <w:szCs w:val="18"/>
              </w:rPr>
              <w:t xml:space="preserve"> Guglilhermi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0A4C6F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Default="009D164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Default="009D164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Default="009D164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Default="009D164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Default="009D164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Default="009D164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Default="009D164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D1643" w:rsidRPr="00C14E55" w:rsidRDefault="00FC397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674495"/>
                  <wp:effectExtent l="0" t="0" r="8255" b="190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 SEST- KIT3.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7C7DAB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E3574E">
        <w:rPr>
          <w:rFonts w:ascii="Arial" w:hAnsi="Arial" w:cs="Arial"/>
          <w:b/>
          <w:bCs/>
          <w:sz w:val="24"/>
          <w:szCs w:val="24"/>
        </w:rPr>
        <w:t>6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Edna Dias Canedo e Pedro Thiago Rocha de Alcântara. </w:t>
      </w:r>
    </w:p>
    <w:p w:rsidR="00A60435" w:rsidRDefault="00A60435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A60435">
        <w:rPr>
          <w:rFonts w:ascii="Arial" w:hAnsi="Arial" w:cs="Arial"/>
          <w:b/>
          <w:bCs/>
          <w:sz w:val="24"/>
          <w:szCs w:val="24"/>
        </w:rPr>
        <w:t>Natal Henrique Troz Guglilhermi</w:t>
      </w:r>
      <w:r>
        <w:rPr>
          <w:rFonts w:ascii="Arial" w:hAnsi="Arial" w:cs="Arial"/>
          <w:b/>
          <w:bCs/>
          <w:sz w:val="24"/>
          <w:szCs w:val="24"/>
        </w:rPr>
        <w:t xml:space="preserve"> e Otávio Porto Barbosa.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FC1494" w:rsidRDefault="00FC1494">
          <w:pPr>
            <w:pStyle w:val="CabealhodoSumrio"/>
          </w:pPr>
        </w:p>
        <w:p w:rsidR="00AD20F4" w:rsidRPr="009D40F1" w:rsidRDefault="00FC1494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 w:rsidRPr="007714CE">
            <w:rPr>
              <w:rFonts w:ascii="Arial" w:hAnsi="Arial" w:cs="Arial"/>
            </w:rPr>
            <w:fldChar w:fldCharType="begin"/>
          </w:r>
          <w:r w:rsidRPr="007714CE">
            <w:rPr>
              <w:rFonts w:ascii="Arial" w:hAnsi="Arial" w:cs="Arial"/>
            </w:rPr>
            <w:instrText xml:space="preserve"> TOC \o "1-3" \h \z \u </w:instrText>
          </w:r>
          <w:r w:rsidRPr="007714CE">
            <w:rPr>
              <w:rFonts w:ascii="Arial" w:hAnsi="Arial" w:cs="Arial"/>
            </w:rPr>
            <w:fldChar w:fldCharType="separate"/>
          </w:r>
          <w:hyperlink w:anchor="_Toc509792052" w:history="1">
            <w:r w:rsidR="00AD20F4" w:rsidRPr="009D40F1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AD20F4" w:rsidRPr="009D40F1">
              <w:rPr>
                <w:rFonts w:ascii="Arial" w:hAnsi="Arial" w:cs="Arial"/>
                <w:noProof/>
                <w:webHidden/>
              </w:rPr>
              <w:instrText xml:space="preserve"> PAGEREF _Toc509792052 \h </w:instrText>
            </w:r>
            <w:r w:rsidR="00AD20F4" w:rsidRPr="009D40F1">
              <w:rPr>
                <w:rFonts w:ascii="Arial" w:hAnsi="Arial" w:cs="Arial"/>
                <w:noProof/>
                <w:webHidden/>
              </w:rPr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D20F4" w:rsidRPr="009D40F1">
              <w:rPr>
                <w:rFonts w:ascii="Arial" w:hAnsi="Arial" w:cs="Arial"/>
                <w:noProof/>
                <w:webHidden/>
              </w:rPr>
              <w:t>5</w:t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2053" w:history="1">
            <w:r w:rsidR="00AD20F4" w:rsidRPr="009D40F1">
              <w:rPr>
                <w:rStyle w:val="Hyperlink"/>
                <w:rFonts w:ascii="Arial" w:hAnsi="Arial" w:cs="Arial"/>
                <w:noProof/>
              </w:rPr>
              <w:t>VISÃO GERAL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AD20F4" w:rsidRPr="009D40F1">
              <w:rPr>
                <w:rFonts w:ascii="Arial" w:hAnsi="Arial" w:cs="Arial"/>
                <w:noProof/>
                <w:webHidden/>
              </w:rPr>
              <w:instrText xml:space="preserve"> PAGEREF _Toc509792053 \h </w:instrText>
            </w:r>
            <w:r w:rsidR="00AD20F4" w:rsidRPr="009D40F1">
              <w:rPr>
                <w:rFonts w:ascii="Arial" w:hAnsi="Arial" w:cs="Arial"/>
                <w:noProof/>
                <w:webHidden/>
              </w:rPr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D20F4" w:rsidRPr="009D40F1">
              <w:rPr>
                <w:rFonts w:ascii="Arial" w:hAnsi="Arial" w:cs="Arial"/>
                <w:noProof/>
                <w:webHidden/>
              </w:rPr>
              <w:t>5</w:t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54" w:history="1">
            <w:r w:rsidR="00AD20F4" w:rsidRPr="009D40F1">
              <w:rPr>
                <w:rStyle w:val="Hyperlink"/>
                <w:rFonts w:ascii="Arial" w:eastAsia="SimSun" w:hAnsi="Arial" w:cs="Arial"/>
                <w:noProof/>
              </w:rPr>
              <w:t>2.1. Objetivo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AD20F4" w:rsidRPr="009D40F1">
              <w:rPr>
                <w:rFonts w:ascii="Arial" w:hAnsi="Arial" w:cs="Arial"/>
                <w:noProof/>
                <w:webHidden/>
              </w:rPr>
              <w:instrText xml:space="preserve"> PAGEREF _Toc509792054 \h </w:instrText>
            </w:r>
            <w:r w:rsidR="00AD20F4" w:rsidRPr="009D40F1">
              <w:rPr>
                <w:rFonts w:ascii="Arial" w:hAnsi="Arial" w:cs="Arial"/>
                <w:noProof/>
                <w:webHidden/>
              </w:rPr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D20F4" w:rsidRPr="009D40F1">
              <w:rPr>
                <w:rFonts w:ascii="Arial" w:hAnsi="Arial" w:cs="Arial"/>
                <w:noProof/>
                <w:webHidden/>
              </w:rPr>
              <w:t>5</w:t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55" w:history="1">
            <w:r w:rsidR="00AD20F4" w:rsidRPr="009D40F1">
              <w:rPr>
                <w:rStyle w:val="Hyperlink"/>
                <w:rFonts w:ascii="Arial" w:eastAsia="SimSun" w:hAnsi="Arial" w:cs="Arial"/>
                <w:noProof/>
              </w:rPr>
              <w:t>2.2. Justificativa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AD20F4" w:rsidRPr="009D40F1">
              <w:rPr>
                <w:rFonts w:ascii="Arial" w:hAnsi="Arial" w:cs="Arial"/>
                <w:noProof/>
                <w:webHidden/>
              </w:rPr>
              <w:instrText xml:space="preserve"> PAGEREF _Toc509792055 \h </w:instrText>
            </w:r>
            <w:r w:rsidR="00AD20F4" w:rsidRPr="009D40F1">
              <w:rPr>
                <w:rFonts w:ascii="Arial" w:hAnsi="Arial" w:cs="Arial"/>
                <w:noProof/>
                <w:webHidden/>
              </w:rPr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D20F4" w:rsidRPr="009D40F1">
              <w:rPr>
                <w:rFonts w:ascii="Arial" w:hAnsi="Arial" w:cs="Arial"/>
                <w:noProof/>
                <w:webHidden/>
              </w:rPr>
              <w:t>5</w:t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2056" w:history="1">
            <w:r w:rsidR="00AD20F4" w:rsidRPr="009D40F1">
              <w:rPr>
                <w:rStyle w:val="Hyperlink"/>
                <w:rFonts w:ascii="Arial" w:hAnsi="Arial" w:cs="Arial"/>
                <w:noProof/>
              </w:rPr>
              <w:t>PROCESSO DE GESTÃO DE CONTRATOS DE TIC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AD20F4" w:rsidRPr="009D40F1">
              <w:rPr>
                <w:rFonts w:ascii="Arial" w:hAnsi="Arial" w:cs="Arial"/>
                <w:noProof/>
                <w:webHidden/>
              </w:rPr>
              <w:instrText xml:space="preserve"> PAGEREF _Toc509792056 \h </w:instrText>
            </w:r>
            <w:r w:rsidR="00AD20F4" w:rsidRPr="009D40F1">
              <w:rPr>
                <w:rFonts w:ascii="Arial" w:hAnsi="Arial" w:cs="Arial"/>
                <w:noProof/>
                <w:webHidden/>
              </w:rPr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D20F4" w:rsidRPr="009D40F1">
              <w:rPr>
                <w:rFonts w:ascii="Arial" w:hAnsi="Arial" w:cs="Arial"/>
                <w:noProof/>
                <w:webHidden/>
              </w:rPr>
              <w:t>6</w:t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57" w:history="1">
            <w:r w:rsidR="00AD20F4" w:rsidRPr="009D40F1">
              <w:rPr>
                <w:rStyle w:val="Hyperlink"/>
                <w:rFonts w:ascii="Arial" w:eastAsia="SimSun" w:hAnsi="Arial" w:cs="Arial"/>
                <w:noProof/>
              </w:rPr>
              <w:t>3.1. Definição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AD20F4" w:rsidRPr="009D40F1">
              <w:rPr>
                <w:rFonts w:ascii="Arial" w:hAnsi="Arial" w:cs="Arial"/>
                <w:noProof/>
                <w:webHidden/>
              </w:rPr>
              <w:instrText xml:space="preserve"> PAGEREF _Toc509792057 \h </w:instrText>
            </w:r>
            <w:r w:rsidR="00AD20F4" w:rsidRPr="009D40F1">
              <w:rPr>
                <w:rFonts w:ascii="Arial" w:hAnsi="Arial" w:cs="Arial"/>
                <w:noProof/>
                <w:webHidden/>
              </w:rPr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D20F4" w:rsidRPr="009D40F1">
              <w:rPr>
                <w:rFonts w:ascii="Arial" w:hAnsi="Arial" w:cs="Arial"/>
                <w:noProof/>
                <w:webHidden/>
              </w:rPr>
              <w:t>6</w:t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58" w:history="1">
            <w:r w:rsidR="00AD20F4" w:rsidRPr="009D40F1">
              <w:rPr>
                <w:rStyle w:val="Hyperlink"/>
                <w:rFonts w:ascii="Arial" w:eastAsia="SimSun" w:hAnsi="Arial" w:cs="Arial"/>
                <w:noProof/>
              </w:rPr>
              <w:t>3.2. Passo a passo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AD20F4" w:rsidRPr="009D40F1">
              <w:rPr>
                <w:rFonts w:ascii="Arial" w:hAnsi="Arial" w:cs="Arial"/>
                <w:noProof/>
                <w:webHidden/>
              </w:rPr>
              <w:instrText xml:space="preserve"> PAGEREF _Toc509792058 \h </w:instrText>
            </w:r>
            <w:r w:rsidR="00AD20F4" w:rsidRPr="009D40F1">
              <w:rPr>
                <w:rFonts w:ascii="Arial" w:hAnsi="Arial" w:cs="Arial"/>
                <w:noProof/>
                <w:webHidden/>
              </w:rPr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D20F4" w:rsidRPr="009D40F1">
              <w:rPr>
                <w:rFonts w:ascii="Arial" w:hAnsi="Arial" w:cs="Arial"/>
                <w:noProof/>
                <w:webHidden/>
              </w:rPr>
              <w:t>6</w:t>
            </w:r>
            <w:r w:rsidR="00AD20F4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2059" w:history="1">
            <w:r w:rsidR="00AD20F4" w:rsidRPr="009D40F1">
              <w:rPr>
                <w:rStyle w:val="Hyperlink"/>
                <w:rFonts w:ascii="Arial" w:hAnsi="Arial" w:cs="Arial"/>
                <w:noProof/>
              </w:rPr>
              <w:t>ARTEFATOS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C26B5">
              <w:rPr>
                <w:rFonts w:ascii="Arial" w:hAnsi="Arial" w:cs="Arial"/>
                <w:noProof/>
                <w:webHidden/>
              </w:rPr>
              <w:t>6</w:t>
            </w:r>
          </w:hyperlink>
        </w:p>
        <w:p w:rsidR="007B21A5" w:rsidRPr="009D40F1" w:rsidRDefault="00A5102F" w:rsidP="007B21A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60" w:history="1">
            <w:r w:rsidR="007B21A5" w:rsidRPr="009D40F1">
              <w:rPr>
                <w:rStyle w:val="Hyperlink"/>
                <w:rFonts w:ascii="Arial" w:eastAsia="SimSun" w:hAnsi="Arial" w:cs="Arial"/>
                <w:noProof/>
              </w:rPr>
              <w:t>4.1. Documentos</w:t>
            </w:r>
            <w:r w:rsidR="007B21A5" w:rsidRPr="009D40F1">
              <w:rPr>
                <w:rFonts w:ascii="Arial" w:hAnsi="Arial" w:cs="Arial"/>
                <w:noProof/>
                <w:webHidden/>
              </w:rPr>
              <w:tab/>
            </w:r>
            <w:r w:rsidR="00AC26B5">
              <w:rPr>
                <w:rFonts w:ascii="Arial" w:hAnsi="Arial" w:cs="Arial"/>
                <w:noProof/>
                <w:webHidden/>
              </w:rPr>
              <w:t>6</w:t>
            </w:r>
          </w:hyperlink>
        </w:p>
        <w:p w:rsidR="007B21A5" w:rsidRPr="009D40F1" w:rsidRDefault="00A5102F" w:rsidP="007B21A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60" w:history="1">
            <w:r w:rsidR="007B21A5" w:rsidRPr="009D40F1">
              <w:rPr>
                <w:rStyle w:val="Hyperlink"/>
                <w:rFonts w:ascii="Arial" w:eastAsia="SimSun" w:hAnsi="Arial" w:cs="Arial"/>
                <w:noProof/>
              </w:rPr>
              <w:t xml:space="preserve">4.1. </w:t>
            </w:r>
            <w:r w:rsidR="007B21A5" w:rsidRPr="00AD20F4">
              <w:rPr>
                <w:rFonts w:ascii="Arial" w:hAnsi="Arial"/>
                <w:sz w:val="24"/>
                <w:szCs w:val="24"/>
              </w:rPr>
              <w:t>Critérios e Métodos de Validação dos Produtos</w:t>
            </w:r>
            <w:r w:rsidR="007B21A5" w:rsidRPr="009D40F1">
              <w:rPr>
                <w:rFonts w:ascii="Arial" w:hAnsi="Arial" w:cs="Arial"/>
                <w:noProof/>
                <w:webHidden/>
              </w:rPr>
              <w:tab/>
            </w:r>
            <w:r w:rsidR="007B21A5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7B21A5" w:rsidRPr="009D40F1">
              <w:rPr>
                <w:rFonts w:ascii="Arial" w:hAnsi="Arial" w:cs="Arial"/>
                <w:noProof/>
                <w:webHidden/>
              </w:rPr>
              <w:instrText xml:space="preserve"> PAGEREF _Toc509792060 \h </w:instrText>
            </w:r>
            <w:r w:rsidR="007B21A5" w:rsidRPr="009D40F1">
              <w:rPr>
                <w:rFonts w:ascii="Arial" w:hAnsi="Arial" w:cs="Arial"/>
                <w:noProof/>
                <w:webHidden/>
              </w:rPr>
            </w:r>
            <w:r w:rsidR="007B21A5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B21A5" w:rsidRPr="009D40F1">
              <w:rPr>
                <w:rFonts w:ascii="Arial" w:hAnsi="Arial" w:cs="Arial"/>
                <w:noProof/>
                <w:webHidden/>
              </w:rPr>
              <w:t>7</w:t>
            </w:r>
            <w:r w:rsidR="007B21A5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B21A5" w:rsidRPr="009D40F1" w:rsidRDefault="00A5102F" w:rsidP="007B21A5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60" w:history="1">
            <w:r w:rsidR="007B21A5" w:rsidRPr="009D40F1">
              <w:rPr>
                <w:rStyle w:val="Hyperlink"/>
                <w:rFonts w:ascii="Arial" w:eastAsia="SimSun" w:hAnsi="Arial" w:cs="Arial"/>
                <w:noProof/>
              </w:rPr>
              <w:t xml:space="preserve">4.1. </w:t>
            </w:r>
            <w:r w:rsidR="007B21A5" w:rsidRPr="00AD20F4">
              <w:rPr>
                <w:rFonts w:ascii="Arial" w:hAnsi="Arial"/>
                <w:sz w:val="24"/>
                <w:szCs w:val="24"/>
              </w:rPr>
              <w:t>Relatório de Validação dos Produtos e Componentes</w:t>
            </w:r>
            <w:r w:rsidR="007B21A5" w:rsidRPr="009D40F1">
              <w:rPr>
                <w:rFonts w:ascii="Arial" w:hAnsi="Arial" w:cs="Arial"/>
                <w:noProof/>
                <w:webHidden/>
              </w:rPr>
              <w:tab/>
            </w:r>
            <w:r w:rsidR="007B21A5" w:rsidRPr="009D40F1">
              <w:rPr>
                <w:rFonts w:ascii="Arial" w:hAnsi="Arial" w:cs="Arial"/>
                <w:noProof/>
                <w:webHidden/>
              </w:rPr>
              <w:fldChar w:fldCharType="begin"/>
            </w:r>
            <w:r w:rsidR="007B21A5" w:rsidRPr="009D40F1">
              <w:rPr>
                <w:rFonts w:ascii="Arial" w:hAnsi="Arial" w:cs="Arial"/>
                <w:noProof/>
                <w:webHidden/>
              </w:rPr>
              <w:instrText xml:space="preserve"> PAGEREF _Toc509792060 \h </w:instrText>
            </w:r>
            <w:r w:rsidR="007B21A5" w:rsidRPr="009D40F1">
              <w:rPr>
                <w:rFonts w:ascii="Arial" w:hAnsi="Arial" w:cs="Arial"/>
                <w:noProof/>
                <w:webHidden/>
              </w:rPr>
            </w:r>
            <w:r w:rsidR="007B21A5" w:rsidRPr="009D40F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B21A5" w:rsidRPr="009D40F1">
              <w:rPr>
                <w:rFonts w:ascii="Arial" w:hAnsi="Arial" w:cs="Arial"/>
                <w:noProof/>
                <w:webHidden/>
              </w:rPr>
              <w:t>7</w:t>
            </w:r>
            <w:r w:rsidR="007B21A5" w:rsidRPr="009D40F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AD20F4" w:rsidRPr="009D40F1" w:rsidRDefault="00A5102F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792061" w:history="1">
            <w:r w:rsidR="00AD20F4" w:rsidRPr="009D40F1">
              <w:rPr>
                <w:rStyle w:val="Hyperlink"/>
                <w:rFonts w:ascii="Arial" w:hAnsi="Arial" w:cs="Arial"/>
                <w:noProof/>
              </w:rPr>
              <w:t>REFERÊNCIAS BIBLIOGRÁFICAS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C26B5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:rsidR="00AD20F4" w:rsidRPr="009D40F1" w:rsidRDefault="00A5102F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792062" w:history="1">
            <w:r w:rsidR="00AD20F4" w:rsidRPr="009D40F1">
              <w:rPr>
                <w:rStyle w:val="Hyperlink"/>
                <w:rFonts w:ascii="Arial" w:eastAsia="SimSun" w:hAnsi="Arial" w:cs="Arial"/>
                <w:noProof/>
              </w:rPr>
              <w:t>5.1. Documentos</w:t>
            </w:r>
            <w:r w:rsidR="00AD20F4" w:rsidRPr="009D40F1">
              <w:rPr>
                <w:rFonts w:ascii="Arial" w:hAnsi="Arial" w:cs="Arial"/>
                <w:noProof/>
                <w:webHidden/>
              </w:rPr>
              <w:tab/>
            </w:r>
            <w:r w:rsidR="00AC26B5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:rsidR="00FC1494" w:rsidRPr="007714CE" w:rsidRDefault="00FC1494" w:rsidP="00FC1494">
          <w:pPr>
            <w:rPr>
              <w:rFonts w:ascii="Arial" w:hAnsi="Arial" w:cs="Arial"/>
            </w:rPr>
            <w:sectPr w:rsidR="00FC1494" w:rsidRPr="007714CE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 w:rsidRPr="007714C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9792052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4B2F64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4B2F64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9792053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9792054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listadas em literatura e conhecimento prático, para </w:t>
      </w:r>
      <w:r w:rsidR="006D3C32">
        <w:rPr>
          <w:rFonts w:ascii="Arial" w:hAnsi="Arial"/>
          <w:b w:val="0"/>
          <w:bCs w:val="0"/>
          <w:sz w:val="24"/>
          <w:szCs w:val="24"/>
        </w:rPr>
        <w:t>o Processo de Gestão de Contratos de TIC</w:t>
      </w:r>
      <w:r w:rsidR="006D3C32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nas diferentes Empresas Estatais. 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9792055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45202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A15F91">
      <w:pPr>
        <w:jc w:val="right"/>
        <w:rPr>
          <w:rFonts w:ascii="Arial" w:hAnsi="Arial"/>
          <w:sz w:val="24"/>
          <w:szCs w:val="24"/>
        </w:rPr>
      </w:pPr>
    </w:p>
    <w:p w:rsidR="006D3C32" w:rsidRDefault="006D3C32" w:rsidP="006D3C32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8898035"/>
      <w:bookmarkStart w:id="16" w:name="_Toc509792056"/>
      <w:bookmarkStart w:id="17" w:name="_Toc508656423"/>
      <w:bookmarkStart w:id="18" w:name="_Toc462247079"/>
      <w:r>
        <w:rPr>
          <w:rFonts w:ascii="Arial" w:hAnsi="Arial"/>
          <w:szCs w:val="24"/>
          <w:u w:val="none"/>
        </w:rPr>
        <w:t>PROCESSO DE GESTÃO DE CONTRATOS DE TIC</w:t>
      </w:r>
      <w:bookmarkEnd w:id="15"/>
      <w:bookmarkEnd w:id="16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9" w:name="_Toc509792057"/>
      <w:r>
        <w:rPr>
          <w:rFonts w:ascii="Arial" w:eastAsia="SimSun" w:hAnsi="Arial" w:cs="Tahoma"/>
          <w:szCs w:val="24"/>
        </w:rPr>
        <w:t>3.1. Definição</w:t>
      </w:r>
      <w:bookmarkEnd w:id="17"/>
      <w:bookmarkEnd w:id="19"/>
    </w:p>
    <w:p w:rsidR="006D3C32" w:rsidRPr="004C2009" w:rsidRDefault="006D3C32" w:rsidP="006D3C32">
      <w:pPr>
        <w:spacing w:before="170" w:after="0"/>
        <w:ind w:left="709" w:firstLine="720"/>
        <w:rPr>
          <w:rFonts w:ascii="Arial" w:hAnsi="Arial"/>
          <w:b/>
          <w:szCs w:val="24"/>
        </w:rPr>
      </w:pPr>
      <w:r>
        <w:rPr>
          <w:rFonts w:ascii="Arial" w:hAnsi="Arial"/>
          <w:sz w:val="24"/>
          <w:szCs w:val="24"/>
        </w:rPr>
        <w:t>O Processo de Gestão de Contratos de TIC v</w:t>
      </w:r>
      <w:r w:rsidRPr="003A1AFD">
        <w:rPr>
          <w:rFonts w:ascii="Arial" w:hAnsi="Arial"/>
          <w:sz w:val="24"/>
          <w:szCs w:val="24"/>
        </w:rPr>
        <w:t xml:space="preserve">isa </w:t>
      </w:r>
      <w:r>
        <w:rPr>
          <w:rFonts w:ascii="Arial" w:hAnsi="Arial"/>
          <w:sz w:val="24"/>
          <w:szCs w:val="24"/>
        </w:rPr>
        <w:t>gerenciar os serviços de TIC prestados por todos os tipos de fornecedores para atender aos requerimentos da Estatal.</w:t>
      </w:r>
      <w:r w:rsidRPr="003A1AFD">
        <w:rPr>
          <w:rFonts w:ascii="Arial" w:hAnsi="Arial"/>
          <w:sz w:val="24"/>
          <w:szCs w:val="24"/>
        </w:rPr>
        <w:t xml:space="preserve">  </w:t>
      </w:r>
    </w:p>
    <w:p w:rsidR="00F14239" w:rsidRDefault="006D3C32" w:rsidP="006D3C32">
      <w:pPr>
        <w:spacing w:before="170" w:after="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 este processo</w:t>
      </w:r>
      <w:r w:rsidRPr="005A4909">
        <w:rPr>
          <w:rFonts w:ascii="Arial" w:hAnsi="Arial"/>
          <w:sz w:val="24"/>
          <w:szCs w:val="24"/>
        </w:rPr>
        <w:t xml:space="preserve"> define </w:t>
      </w:r>
      <w:r>
        <w:rPr>
          <w:rFonts w:ascii="Arial" w:hAnsi="Arial"/>
          <w:sz w:val="24"/>
          <w:szCs w:val="24"/>
        </w:rPr>
        <w:t>práticas para selecionar fornecedores, gerir os relacionamentos, gerir contratos de TIC, e revisar e monitorar o desempenho dos fornecedores para efetividade e conformidade na prestação dos serviços.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20" w:name="_Toc508656424"/>
      <w:bookmarkStart w:id="21" w:name="_Toc509792058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8"/>
      <w:bookmarkEnd w:id="20"/>
      <w:bookmarkEnd w:id="21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AD20F4" w:rsidRPr="00274D55" w:rsidRDefault="00AD20F4" w:rsidP="00AD20F4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2" w:name="_Toc462247080"/>
      <w:r w:rsidRPr="00274D55">
        <w:rPr>
          <w:rFonts w:ascii="Arial" w:hAnsi="Arial" w:cs="Arial"/>
        </w:rPr>
        <w:t xml:space="preserve">Para implantação </w:t>
      </w:r>
      <w:r>
        <w:rPr>
          <w:rFonts w:ascii="Arial" w:hAnsi="Arial" w:cs="Arial"/>
        </w:rPr>
        <w:t xml:space="preserve">do </w:t>
      </w:r>
      <w:r>
        <w:rPr>
          <w:rFonts w:ascii="Arial" w:hAnsi="Arial"/>
        </w:rPr>
        <w:t xml:space="preserve">Processo de Gestão de Contratos de TIC, </w:t>
      </w:r>
      <w:r w:rsidRPr="00274D55">
        <w:rPr>
          <w:rFonts w:ascii="Arial" w:hAnsi="Arial" w:cs="Arial"/>
        </w:rPr>
        <w:t>é preciso executar as seguintes atividades:</w:t>
      </w:r>
    </w:p>
    <w:p w:rsidR="00AD20F4" w:rsidRDefault="00AD20F4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D20F4" w:rsidRPr="00E44D30" w:rsidRDefault="00AD20F4" w:rsidP="00D20B38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1 </w:t>
      </w:r>
      <w:r w:rsidR="00D20B38">
        <w:rPr>
          <w:rFonts w:ascii="Arial" w:eastAsia="SimSun" w:hAnsi="Arial" w:cs="Tahoma"/>
          <w:sz w:val="24"/>
          <w:szCs w:val="24"/>
        </w:rPr>
        <w:t>–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D20B38">
        <w:rPr>
          <w:rFonts w:ascii="Arial" w:eastAsia="SimSun" w:hAnsi="Arial" w:cs="Tahoma"/>
          <w:sz w:val="24"/>
          <w:szCs w:val="24"/>
        </w:rPr>
        <w:t>Executar todos os passos relacionados ao processo no kit 2.</w:t>
      </w:r>
    </w:p>
    <w:p w:rsidR="00AD20F4" w:rsidRPr="00E44D30" w:rsidRDefault="00AD20F4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D20F4" w:rsidRPr="00E44D30" w:rsidRDefault="00D20B38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2</w:t>
      </w:r>
      <w:r w:rsidR="00AD20F4" w:rsidRPr="00E44D30">
        <w:rPr>
          <w:rFonts w:ascii="Arial" w:eastAsia="SimSun" w:hAnsi="Arial" w:cs="Tahoma"/>
          <w:sz w:val="24"/>
          <w:szCs w:val="24"/>
        </w:rPr>
        <w:t xml:space="preserve"> - Estabelecer e manter os procedimentos e critérios de validação dos produtos. </w:t>
      </w:r>
    </w:p>
    <w:p w:rsidR="00AD20F4" w:rsidRPr="00E44D30" w:rsidRDefault="00AD20F4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D20F4" w:rsidRPr="00E44D30" w:rsidRDefault="00D20B38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3</w:t>
      </w:r>
      <w:r w:rsidR="00AD20F4" w:rsidRPr="00E44D30">
        <w:rPr>
          <w:rFonts w:ascii="Arial" w:eastAsia="SimSun" w:hAnsi="Arial" w:cs="Tahoma"/>
          <w:sz w:val="24"/>
          <w:szCs w:val="24"/>
        </w:rPr>
        <w:t xml:space="preserve"> - Executar a validação nos produtos e componentes de produtos selecionados. </w:t>
      </w:r>
    </w:p>
    <w:p w:rsidR="00AD20F4" w:rsidRPr="00E44D30" w:rsidRDefault="00AD20F4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AD20F4" w:rsidRPr="00E44D30" w:rsidRDefault="00D20B38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4</w:t>
      </w:r>
      <w:r w:rsidR="00AD20F4" w:rsidRPr="00E44D30">
        <w:rPr>
          <w:rFonts w:ascii="Arial" w:eastAsia="SimSun" w:hAnsi="Arial" w:cs="Tahoma"/>
          <w:sz w:val="24"/>
          <w:szCs w:val="24"/>
        </w:rPr>
        <w:t xml:space="preserve"> - Analisar os resultados das atividades de validação</w:t>
      </w:r>
      <w:r>
        <w:rPr>
          <w:rFonts w:ascii="Arial" w:eastAsia="SimSun" w:hAnsi="Arial" w:cs="Tahoma"/>
          <w:sz w:val="24"/>
          <w:szCs w:val="24"/>
        </w:rPr>
        <w:t>.</w:t>
      </w:r>
    </w:p>
    <w:p w:rsidR="00AD20F4" w:rsidRPr="00824585" w:rsidRDefault="00AD20F4" w:rsidP="00AD20F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3" w:name="_Toc508656425"/>
      <w:bookmarkStart w:id="24" w:name="_Toc509792059"/>
      <w:bookmarkEnd w:id="22"/>
      <w:r>
        <w:rPr>
          <w:rFonts w:ascii="Arial" w:hAnsi="Arial"/>
          <w:szCs w:val="24"/>
          <w:u w:val="none"/>
        </w:rPr>
        <w:t>ARTEFATOS</w:t>
      </w:r>
      <w:bookmarkEnd w:id="23"/>
      <w:bookmarkEnd w:id="24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5" w:name="_Toc508656426"/>
      <w:bookmarkStart w:id="26" w:name="_Toc509792060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5"/>
      <w:bookmarkEnd w:id="26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042DCF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Os modelos dos documentos para </w:t>
      </w:r>
      <w:r w:rsidRPr="00E3574E">
        <w:rPr>
          <w:rFonts w:ascii="Arial" w:hAnsi="Arial"/>
        </w:rPr>
        <w:t xml:space="preserve">Gestão de </w:t>
      </w:r>
      <w:r w:rsidR="00D72F48">
        <w:rPr>
          <w:rFonts w:ascii="Arial" w:hAnsi="Arial"/>
        </w:rPr>
        <w:t xml:space="preserve">Contratos </w:t>
      </w:r>
      <w:r w:rsidRPr="00E3574E">
        <w:rPr>
          <w:rFonts w:ascii="Arial" w:hAnsi="Arial"/>
        </w:rPr>
        <w:t>de TI</w:t>
      </w:r>
      <w:r>
        <w:rPr>
          <w:rFonts w:ascii="Arial" w:hAnsi="Arial"/>
        </w:rPr>
        <w:t>C</w:t>
      </w:r>
      <w:r w:rsidR="00AC36B2">
        <w:rPr>
          <w:rFonts w:ascii="Arial" w:hAnsi="Arial"/>
          <w:sz w:val="24"/>
          <w:szCs w:val="24"/>
        </w:rPr>
        <w:t xml:space="preserve">, 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 xml:space="preserve">estão disponíveis para download no endereço eletrônico </w:t>
      </w:r>
      <w:hyperlink r:id="rId12" w:history="1">
        <w:r w:rsidR="00FC1494"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 w:rsidR="00FC149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 xml:space="preserve"> conforme lista a seguir</w:t>
      </w:r>
      <w:r w:rsidR="00FC1494">
        <w:rPr>
          <w:rFonts w:ascii="Arial" w:hAnsi="Arial" w:cs="Arial"/>
          <w:sz w:val="24"/>
          <w:szCs w:val="24"/>
          <w:lang w:eastAsia="pt-BR"/>
        </w:rPr>
        <w:t>:</w:t>
      </w: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613"/>
        <w:gridCol w:w="7422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AD20F4" w:rsidP="00042DCF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Defini</w:t>
            </w:r>
            <w:r w:rsidR="00BD67A7">
              <w:rPr>
                <w:rFonts w:ascii="Arial" w:eastAsia="Times New Roman" w:hAnsi="Arial"/>
                <w:sz w:val="24"/>
                <w:szCs w:val="24"/>
              </w:rPr>
              <w:t xml:space="preserve">r os </w:t>
            </w:r>
            <w:r w:rsidRPr="00AD20F4">
              <w:rPr>
                <w:rFonts w:ascii="Arial" w:eastAsia="Times New Roman" w:hAnsi="Arial"/>
                <w:sz w:val="24"/>
                <w:szCs w:val="24"/>
              </w:rPr>
              <w:t>Critérios e Métodos de Validação dos Produtos</w:t>
            </w:r>
          </w:p>
        </w:tc>
      </w:tr>
      <w:tr w:rsidR="00213718" w:rsidRPr="00306D36" w:rsidTr="008A356E">
        <w:tc>
          <w:tcPr>
            <w:tcW w:w="1613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8CF2176" wp14:editId="4D438AA7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AD20F4" w:rsidP="00EC163F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AD20F4">
              <w:rPr>
                <w:rFonts w:ascii="Arial" w:eastAsia="Times New Roman" w:hAnsi="Arial"/>
                <w:sz w:val="16"/>
                <w:szCs w:val="24"/>
              </w:rPr>
              <w:t xml:space="preserve">Critérios e Métodos de Validação dos </w:t>
            </w:r>
            <w:r w:rsidRPr="00AD20F4">
              <w:rPr>
                <w:rFonts w:ascii="Arial" w:eastAsia="Times New Roman" w:hAnsi="Arial"/>
                <w:sz w:val="16"/>
                <w:szCs w:val="24"/>
              </w:rPr>
              <w:lastRenderedPageBreak/>
              <w:t>Produtos</w:t>
            </w:r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lastRenderedPageBreak/>
              <w:t>Nome:</w:t>
            </w:r>
          </w:p>
          <w:p w:rsidR="00213718" w:rsidRPr="00306D36" w:rsidRDefault="00AD20F4" w:rsidP="00EC163F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AD20F4">
              <w:rPr>
                <w:rFonts w:ascii="Arial" w:eastAsia="Times New Roman" w:hAnsi="Arial"/>
                <w:sz w:val="24"/>
                <w:szCs w:val="24"/>
              </w:rPr>
              <w:t>Critérios e Métodos de Validação dos Produtos</w:t>
            </w:r>
          </w:p>
        </w:tc>
      </w:tr>
      <w:tr w:rsidR="00213718" w:rsidRPr="00306D36" w:rsidTr="008A356E">
        <w:tc>
          <w:tcPr>
            <w:tcW w:w="1613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042DCF" w:rsidP="005D58D0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Documentar </w:t>
            </w:r>
            <w:r w:rsidR="00AD20F4">
              <w:rPr>
                <w:rFonts w:ascii="Arial" w:eastAsia="Times New Roman" w:hAnsi="Arial"/>
                <w:sz w:val="24"/>
                <w:szCs w:val="24"/>
              </w:rPr>
              <w:t>critérios e m</w:t>
            </w:r>
            <w:r w:rsidR="00AD20F4" w:rsidRPr="00AD20F4">
              <w:rPr>
                <w:rFonts w:ascii="Arial" w:eastAsia="Times New Roman" w:hAnsi="Arial"/>
                <w:sz w:val="24"/>
                <w:szCs w:val="24"/>
              </w:rPr>
              <w:t xml:space="preserve">étodos </w:t>
            </w:r>
            <w:r w:rsidR="00AD20F4">
              <w:rPr>
                <w:rFonts w:ascii="Arial" w:eastAsia="Times New Roman" w:hAnsi="Arial"/>
                <w:sz w:val="24"/>
                <w:szCs w:val="24"/>
              </w:rPr>
              <w:t xml:space="preserve">para realização da validação dos </w:t>
            </w:r>
            <w:r w:rsidR="00AD20F4">
              <w:rPr>
                <w:rFonts w:ascii="Arial" w:eastAsia="Times New Roman" w:hAnsi="Arial"/>
                <w:sz w:val="24"/>
                <w:szCs w:val="24"/>
              </w:rPr>
              <w:lastRenderedPageBreak/>
              <w:t>p</w:t>
            </w:r>
            <w:r w:rsidR="00AD20F4" w:rsidRPr="00AD20F4">
              <w:rPr>
                <w:rFonts w:ascii="Arial" w:eastAsia="Times New Roman" w:hAnsi="Arial"/>
                <w:sz w:val="24"/>
                <w:szCs w:val="24"/>
              </w:rPr>
              <w:t>rodutos</w:t>
            </w:r>
            <w:r w:rsidR="00AD20F4">
              <w:rPr>
                <w:rFonts w:ascii="Arial" w:eastAsia="Times New Roman" w:hAnsi="Arial"/>
                <w:sz w:val="24"/>
                <w:szCs w:val="24"/>
              </w:rPr>
              <w:t>.</w:t>
            </w:r>
          </w:p>
        </w:tc>
      </w:tr>
      <w:tr w:rsidR="00AD20F4" w:rsidRPr="00306D36" w:rsidTr="00404D85">
        <w:tc>
          <w:tcPr>
            <w:tcW w:w="9035" w:type="dxa"/>
            <w:gridSpan w:val="2"/>
            <w:vAlign w:val="center"/>
          </w:tcPr>
          <w:p w:rsidR="00AD20F4" w:rsidRDefault="00AD20F4" w:rsidP="00AD20F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Relatar </w:t>
            </w:r>
            <w:r w:rsidR="00BD67A7">
              <w:rPr>
                <w:rFonts w:ascii="Arial" w:hAnsi="Arial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sz w:val="24"/>
                <w:szCs w:val="24"/>
              </w:rPr>
              <w:t>Validação de Produtos ou Componente</w:t>
            </w:r>
          </w:p>
        </w:tc>
      </w:tr>
      <w:tr w:rsidR="00AD20F4" w:rsidRPr="00306D36" w:rsidTr="008A356E">
        <w:tc>
          <w:tcPr>
            <w:tcW w:w="1613" w:type="dxa"/>
            <w:vMerge w:val="restart"/>
            <w:vAlign w:val="center"/>
          </w:tcPr>
          <w:p w:rsidR="00AD20F4" w:rsidRDefault="00AD20F4" w:rsidP="00AD20F4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B7588C2" wp14:editId="370C32E6">
                  <wp:extent cx="561975" cy="657225"/>
                  <wp:effectExtent l="0" t="0" r="9525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20F4" w:rsidRPr="00306D36" w:rsidRDefault="00AD20F4" w:rsidP="00AD20F4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AD20F4">
              <w:rPr>
                <w:rFonts w:ascii="Arial" w:eastAsia="Times New Roman" w:hAnsi="Arial"/>
                <w:sz w:val="16"/>
                <w:szCs w:val="24"/>
              </w:rPr>
              <w:t>Relatório de Validação dos Produtos e Componentes</w:t>
            </w:r>
          </w:p>
        </w:tc>
        <w:tc>
          <w:tcPr>
            <w:tcW w:w="7422" w:type="dxa"/>
            <w:vAlign w:val="center"/>
          </w:tcPr>
          <w:p w:rsidR="00AD20F4" w:rsidRDefault="00AD20F4" w:rsidP="00AD20F4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AD20F4" w:rsidRPr="00306D36" w:rsidRDefault="00AD20F4" w:rsidP="00AD20F4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AD20F4">
              <w:rPr>
                <w:rFonts w:ascii="Arial" w:eastAsia="Times New Roman" w:hAnsi="Arial"/>
                <w:sz w:val="24"/>
                <w:szCs w:val="24"/>
              </w:rPr>
              <w:t>Relatório de Validação dos Produtos e Componentes</w:t>
            </w:r>
          </w:p>
        </w:tc>
      </w:tr>
      <w:tr w:rsidR="00AD20F4" w:rsidRPr="00306D36" w:rsidTr="008A356E">
        <w:tc>
          <w:tcPr>
            <w:tcW w:w="1613" w:type="dxa"/>
            <w:vMerge/>
            <w:vAlign w:val="center"/>
          </w:tcPr>
          <w:p w:rsidR="00AD20F4" w:rsidRPr="00306D36" w:rsidRDefault="00AD20F4" w:rsidP="00AD20F4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422" w:type="dxa"/>
            <w:vAlign w:val="center"/>
          </w:tcPr>
          <w:p w:rsidR="00AD20F4" w:rsidRDefault="00AD20F4" w:rsidP="00AD20F4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AD20F4" w:rsidRPr="00306D36" w:rsidRDefault="00AD20F4" w:rsidP="00AD20F4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Documentar a validação de produtos ou c</w:t>
            </w:r>
            <w:r w:rsidRPr="00AD20F4">
              <w:rPr>
                <w:rFonts w:ascii="Arial" w:eastAsia="Times New Roman" w:hAnsi="Arial"/>
                <w:sz w:val="24"/>
                <w:szCs w:val="24"/>
              </w:rPr>
              <w:t>omponentes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 recebidos.</w:t>
            </w:r>
          </w:p>
        </w:tc>
      </w:tr>
    </w:tbl>
    <w:p w:rsidR="00EA0050" w:rsidRDefault="00EA0050" w:rsidP="00EA0050"/>
    <w:p w:rsidR="007B21A5" w:rsidRDefault="007B21A5" w:rsidP="00C01AF2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</w:p>
    <w:p w:rsidR="00C01AF2" w:rsidRDefault="00C01AF2" w:rsidP="00C01AF2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t xml:space="preserve">4.1.1 </w:t>
      </w:r>
      <w:r w:rsidRPr="00AD20F4">
        <w:rPr>
          <w:rFonts w:ascii="Arial" w:hAnsi="Arial"/>
          <w:szCs w:val="24"/>
        </w:rPr>
        <w:t>Critérios e Métodos de Validação dos Produtos</w:t>
      </w:r>
    </w:p>
    <w:p w:rsidR="00C01AF2" w:rsidRDefault="00C01AF2" w:rsidP="00C01AF2">
      <w:pPr>
        <w:pStyle w:val="Standard"/>
        <w:tabs>
          <w:tab w:val="left" w:pos="381"/>
        </w:tabs>
      </w:pPr>
      <w:r>
        <w:rPr>
          <w:rFonts w:ascii="Tahoma" w:hAnsi="Tahoma"/>
          <w:b/>
          <w:bCs/>
        </w:rPr>
        <w:t xml:space="preserve">Critérios e Métodos de Validação dos Produtos da </w:t>
      </w:r>
      <w:r>
        <w:rPr>
          <w:b/>
          <w:bCs/>
          <w:color w:val="0000FF"/>
        </w:rPr>
        <w:t>&lt;Sigla da estatal&gt;</w:t>
      </w:r>
    </w:p>
    <w:p w:rsidR="00C01AF2" w:rsidRDefault="00C01AF2" w:rsidP="00C01AF2">
      <w:pPr>
        <w:pStyle w:val="Standard"/>
        <w:tabs>
          <w:tab w:val="left" w:pos="381"/>
        </w:tabs>
        <w:rPr>
          <w:rFonts w:ascii="Tahoma" w:hAnsi="Tahoma"/>
          <w:b/>
          <w:bCs/>
        </w:rPr>
      </w:pPr>
    </w:p>
    <w:p w:rsidR="00C01AF2" w:rsidRDefault="00C01AF2" w:rsidP="00C01AF2">
      <w:pPr>
        <w:pStyle w:val="Standard"/>
        <w:tabs>
          <w:tab w:val="left" w:pos="108"/>
        </w:tabs>
        <w:ind w:left="13"/>
        <w:rPr>
          <w:rFonts w:ascii="Tahoma" w:hAnsi="Tahoma"/>
          <w:b/>
          <w:bCs/>
        </w:rPr>
      </w:pPr>
    </w:p>
    <w:p w:rsidR="00C01AF2" w:rsidRDefault="00C01AF2" w:rsidP="00C01AF2">
      <w:pPr>
        <w:pStyle w:val="Standard"/>
        <w:tabs>
          <w:tab w:val="left" w:pos="108"/>
        </w:tabs>
        <w:ind w:left="13"/>
        <w:rPr>
          <w:rFonts w:ascii="Tahoma" w:hAnsi="Tahoma"/>
          <w:b/>
          <w:bCs/>
        </w:rPr>
      </w:pPr>
    </w:p>
    <w:p w:rsidR="00C01AF2" w:rsidRDefault="00C01AF2" w:rsidP="00C01AF2">
      <w:pPr>
        <w:pStyle w:val="Standard"/>
        <w:numPr>
          <w:ilvl w:val="0"/>
          <w:numId w:val="19"/>
        </w:numPr>
        <w:tabs>
          <w:tab w:val="left" w:pos="-1059"/>
        </w:tabs>
        <w:ind w:left="284" w:hanging="284"/>
        <w:jc w:val="both"/>
        <w:rPr>
          <w:rFonts w:ascii="Tahoma" w:hAnsi="Tahoma"/>
          <w:b/>
          <w:bCs/>
          <w:color w:val="000000"/>
        </w:rPr>
      </w:pPr>
      <w:r>
        <w:rPr>
          <w:rFonts w:ascii="Tahoma" w:hAnsi="Tahoma"/>
          <w:b/>
          <w:bCs/>
          <w:color w:val="000000"/>
        </w:rPr>
        <w:t>Introdução</w:t>
      </w:r>
    </w:p>
    <w:p w:rsidR="00C01AF2" w:rsidRDefault="00C01AF2" w:rsidP="00C01AF2">
      <w:pPr>
        <w:pStyle w:val="Standard"/>
        <w:tabs>
          <w:tab w:val="left" w:pos="108"/>
        </w:tabs>
        <w:ind w:left="13"/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&lt;Introduzir o documento de Critérios e Métodos de Validação dos Produtos.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C01AF2" w:rsidRDefault="00C01AF2" w:rsidP="00C01AF2">
      <w:pPr>
        <w:pStyle w:val="Standard"/>
        <w:tabs>
          <w:tab w:val="left" w:pos="108"/>
        </w:tabs>
        <w:ind w:left="13"/>
        <w:jc w:val="both"/>
      </w:pPr>
    </w:p>
    <w:p w:rsidR="00C01AF2" w:rsidRDefault="00C01AF2" w:rsidP="00C01AF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Tahoma" w:hAnsi="Tahoma"/>
          <w:b/>
          <w:bCs/>
          <w:color w:val="000000"/>
        </w:rPr>
      </w:pPr>
      <w:r>
        <w:rPr>
          <w:rFonts w:ascii="Tahoma" w:hAnsi="Tahoma"/>
          <w:b/>
          <w:bCs/>
          <w:color w:val="000000"/>
        </w:rPr>
        <w:t>Conceitos e Definições</w:t>
      </w:r>
    </w:p>
    <w:p w:rsidR="00C01AF2" w:rsidRDefault="00C01AF2" w:rsidP="00C01AF2">
      <w:pPr>
        <w:pStyle w:val="Standard"/>
        <w:tabs>
          <w:tab w:val="left" w:pos="108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&lt;Listar e definir os conceitos importantes.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C01AF2" w:rsidRDefault="00C01AF2" w:rsidP="00C01AF2">
      <w:pPr>
        <w:pStyle w:val="Standard"/>
        <w:tabs>
          <w:tab w:val="left" w:pos="108"/>
        </w:tabs>
        <w:ind w:left="360"/>
        <w:jc w:val="both"/>
      </w:pPr>
    </w:p>
    <w:p w:rsidR="00C01AF2" w:rsidRDefault="00C01AF2" w:rsidP="00C01AF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Tahoma" w:hAnsi="Tahoma"/>
          <w:b/>
          <w:bCs/>
          <w:color w:val="000000"/>
        </w:rPr>
      </w:pPr>
      <w:r>
        <w:rPr>
          <w:rFonts w:ascii="Tahoma" w:hAnsi="Tahoma"/>
          <w:b/>
          <w:bCs/>
          <w:color w:val="000000"/>
        </w:rPr>
        <w:t>Marcos</w:t>
      </w:r>
    </w:p>
    <w:p w:rsidR="00C01AF2" w:rsidRDefault="00C01AF2" w:rsidP="00C01AF2">
      <w:pPr>
        <w:pStyle w:val="Standard"/>
        <w:tabs>
          <w:tab w:val="left" w:pos="108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&lt;Definir marcos onde serão aplicados os Critérios e Métodos de Validação dos Produtos.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C01AF2" w:rsidRDefault="00C01AF2" w:rsidP="00C01AF2">
      <w:pPr>
        <w:pStyle w:val="Standard"/>
        <w:tabs>
          <w:tab w:val="left" w:pos="381"/>
        </w:tabs>
        <w:jc w:val="both"/>
        <w:rPr>
          <w:rFonts w:ascii="Tahoma" w:hAnsi="Tahoma"/>
          <w:b/>
          <w:bCs/>
          <w:color w:val="000000"/>
        </w:rPr>
      </w:pPr>
    </w:p>
    <w:p w:rsidR="00C01AF2" w:rsidRDefault="00C01AF2" w:rsidP="00C01AF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Tahoma" w:hAnsi="Tahoma"/>
          <w:b/>
          <w:bCs/>
          <w:color w:val="000000"/>
        </w:rPr>
      </w:pPr>
      <w:r>
        <w:rPr>
          <w:rFonts w:ascii="Tahoma" w:hAnsi="Tahoma"/>
          <w:b/>
          <w:bCs/>
          <w:color w:val="000000"/>
        </w:rPr>
        <w:t xml:space="preserve">Ferramentas, Técnicas e </w:t>
      </w:r>
      <w:proofErr w:type="gramStart"/>
      <w:r>
        <w:rPr>
          <w:rFonts w:ascii="Tahoma" w:hAnsi="Tahoma"/>
          <w:b/>
          <w:bCs/>
          <w:color w:val="000000"/>
        </w:rPr>
        <w:t>Metodologias</w:t>
      </w:r>
      <w:proofErr w:type="gramEnd"/>
    </w:p>
    <w:p w:rsidR="00C01AF2" w:rsidRDefault="00C01AF2" w:rsidP="00C01AF2">
      <w:pPr>
        <w:pStyle w:val="Standard"/>
        <w:tabs>
          <w:tab w:val="left" w:pos="108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&lt;Listar ferramentas usadas no processo de Validação dos Produtos.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C01AF2" w:rsidRDefault="00C01AF2" w:rsidP="00C01AF2">
      <w:pPr>
        <w:pStyle w:val="Standard"/>
        <w:tabs>
          <w:tab w:val="left" w:pos="381"/>
        </w:tabs>
        <w:ind w:left="286"/>
        <w:jc w:val="both"/>
        <w:rPr>
          <w:rFonts w:ascii="Tahoma" w:hAnsi="Tahoma"/>
          <w:b/>
          <w:bCs/>
          <w:color w:val="000000"/>
        </w:rPr>
      </w:pPr>
    </w:p>
    <w:p w:rsidR="00C01AF2" w:rsidRDefault="00C01AF2" w:rsidP="00C01AF2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Tahoma" w:hAnsi="Tahoma"/>
          <w:b/>
          <w:bCs/>
          <w:color w:val="000000"/>
        </w:rPr>
      </w:pPr>
      <w:r>
        <w:rPr>
          <w:rFonts w:ascii="Tahoma" w:hAnsi="Tahoma"/>
          <w:b/>
          <w:bCs/>
          <w:color w:val="000000"/>
        </w:rPr>
        <w:t>Métricas e Indicadores</w:t>
      </w:r>
    </w:p>
    <w:p w:rsidR="00C01AF2" w:rsidRDefault="00C01AF2" w:rsidP="00C01AF2">
      <w:pPr>
        <w:pStyle w:val="Standard"/>
        <w:tabs>
          <w:tab w:val="left" w:pos="108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&lt;Listar e definir as métricas e indicadores de Validação dos Produtos.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C01AF2" w:rsidRDefault="00C01AF2" w:rsidP="00C01AF2">
      <w:pPr>
        <w:pStyle w:val="Standard"/>
        <w:tabs>
          <w:tab w:val="left" w:pos="284"/>
        </w:tabs>
        <w:jc w:val="both"/>
        <w:rPr>
          <w:rFonts w:ascii="Tahoma" w:hAnsi="Tahoma"/>
          <w:b/>
          <w:bCs/>
          <w:color w:val="000000"/>
        </w:rPr>
      </w:pPr>
    </w:p>
    <w:p w:rsidR="00C01AF2" w:rsidRDefault="00C01AF2" w:rsidP="00C01AF2">
      <w:pPr>
        <w:spacing w:after="360"/>
        <w:ind w:left="284"/>
        <w:jc w:val="right"/>
        <w:rPr>
          <w:rFonts w:ascii="Arial" w:hAnsi="Arial" w:cs="Arial"/>
          <w:b/>
          <w:sz w:val="20"/>
        </w:rPr>
      </w:pPr>
    </w:p>
    <w:p w:rsidR="00C01AF2" w:rsidRDefault="00C01AF2" w:rsidP="00C01AF2">
      <w:pPr>
        <w:jc w:val="center"/>
        <w:rPr>
          <w:rFonts w:ascii="Arial" w:hAnsi="Arial" w:cs="Arial"/>
          <w:color w:val="000000"/>
          <w:sz w:val="20"/>
          <w:lang w:val="it-IT"/>
        </w:rPr>
      </w:pPr>
    </w:p>
    <w:p w:rsidR="00C01AF2" w:rsidRDefault="00C01AF2" w:rsidP="00C01AF2">
      <w:pPr>
        <w:spacing w:after="360"/>
        <w:ind w:left="28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Aprovado em ___ de __________ </w:t>
      </w:r>
      <w:proofErr w:type="spellStart"/>
      <w:r>
        <w:rPr>
          <w:rFonts w:ascii="Arial" w:hAnsi="Arial" w:cs="Arial"/>
          <w:sz w:val="20"/>
        </w:rPr>
        <w:t>de</w:t>
      </w:r>
      <w:proofErr w:type="spellEnd"/>
      <w:r>
        <w:rPr>
          <w:rFonts w:ascii="Arial" w:hAnsi="Arial" w:cs="Arial"/>
          <w:sz w:val="20"/>
        </w:rPr>
        <w:t xml:space="preserve"> _____.</w:t>
      </w:r>
    </w:p>
    <w:p w:rsidR="00C01AF2" w:rsidRDefault="00C01AF2" w:rsidP="00C01AF2">
      <w:pPr>
        <w:pStyle w:val="Standard"/>
        <w:ind w:left="4254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completo do responsável &gt;</w:t>
      </w:r>
    </w:p>
    <w:p w:rsidR="00C01AF2" w:rsidRDefault="00C01AF2" w:rsidP="00C01AF2">
      <w:pPr>
        <w:pStyle w:val="Standard"/>
        <w:spacing w:after="120"/>
        <w:ind w:left="3545" w:firstLine="709"/>
        <w:jc w:val="center"/>
        <w:rPr>
          <w:color w:val="0000FF"/>
        </w:rPr>
      </w:pPr>
      <w:r>
        <w:rPr>
          <w:color w:val="0000FF"/>
        </w:rPr>
        <w:t>&lt;Cargo&gt;</w:t>
      </w:r>
    </w:p>
    <w:p w:rsidR="00C01AF2" w:rsidRDefault="00C01AF2" w:rsidP="00C01AF2">
      <w:pPr>
        <w:rPr>
          <w:rFonts w:eastAsia="SimSun"/>
        </w:rPr>
      </w:pPr>
    </w:p>
    <w:p w:rsidR="00C01AF2" w:rsidRPr="00C01AF2" w:rsidRDefault="00C01AF2" w:rsidP="00C01AF2">
      <w:pPr>
        <w:rPr>
          <w:rFonts w:eastAsia="SimSun"/>
        </w:rPr>
      </w:pPr>
    </w:p>
    <w:p w:rsidR="00C01AF2" w:rsidRPr="00FC1494" w:rsidRDefault="00C01AF2" w:rsidP="00C01AF2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r>
        <w:rPr>
          <w:rFonts w:ascii="Arial" w:eastAsia="SimSun" w:hAnsi="Arial" w:cs="Tahoma"/>
          <w:szCs w:val="24"/>
        </w:rPr>
        <w:t xml:space="preserve">4.1.2 </w:t>
      </w:r>
      <w:r w:rsidRPr="00AD20F4">
        <w:rPr>
          <w:rFonts w:ascii="Arial" w:hAnsi="Arial"/>
          <w:szCs w:val="24"/>
        </w:rPr>
        <w:t>Relatório de Validação dos Produtos e Componentes</w:t>
      </w:r>
    </w:p>
    <w:p w:rsidR="00C01AF2" w:rsidRDefault="00C01AF2" w:rsidP="00C01AF2">
      <w:pPr>
        <w:pStyle w:val="Standard"/>
        <w:tabs>
          <w:tab w:val="left" w:pos="381"/>
        </w:tabs>
      </w:pPr>
      <w:r>
        <w:rPr>
          <w:rFonts w:ascii="Tahoma" w:hAnsi="Tahoma"/>
          <w:b/>
          <w:bCs/>
        </w:rPr>
        <w:t xml:space="preserve">Relatório de Validação dos Produtos e Componentes da </w:t>
      </w:r>
      <w:r>
        <w:rPr>
          <w:b/>
          <w:bCs/>
          <w:color w:val="0000FF"/>
        </w:rPr>
        <w:t>&lt;Sigla da estatal&gt;</w:t>
      </w:r>
    </w:p>
    <w:p w:rsidR="00C01AF2" w:rsidRDefault="00C01AF2" w:rsidP="00C01AF2">
      <w:pPr>
        <w:pStyle w:val="Standard"/>
        <w:tabs>
          <w:tab w:val="left" w:pos="381"/>
        </w:tabs>
        <w:rPr>
          <w:rFonts w:ascii="Tahoma" w:hAnsi="Tahoma"/>
          <w:b/>
          <w:bCs/>
        </w:rPr>
      </w:pPr>
    </w:p>
    <w:p w:rsidR="00C01AF2" w:rsidRDefault="00C01AF2" w:rsidP="00C01AF2">
      <w:pPr>
        <w:pStyle w:val="Standard"/>
        <w:numPr>
          <w:ilvl w:val="0"/>
          <w:numId w:val="20"/>
        </w:numPr>
        <w:tabs>
          <w:tab w:val="left" w:pos="-1419"/>
        </w:tabs>
        <w:jc w:val="both"/>
        <w:rPr>
          <w:rFonts w:ascii="Tahoma" w:hAnsi="Tahoma"/>
          <w:b/>
          <w:bCs/>
          <w:color w:val="000000"/>
        </w:rPr>
      </w:pPr>
      <w:r>
        <w:rPr>
          <w:rFonts w:ascii="Tahoma" w:hAnsi="Tahoma"/>
          <w:b/>
          <w:bCs/>
          <w:color w:val="000000"/>
        </w:rPr>
        <w:t>Produtos e Componentes</w:t>
      </w:r>
    </w:p>
    <w:p w:rsidR="00C01AF2" w:rsidRDefault="00C01AF2" w:rsidP="00C01AF2">
      <w:pPr>
        <w:pStyle w:val="Standard"/>
        <w:tabs>
          <w:tab w:val="left" w:pos="108"/>
        </w:tabs>
        <w:ind w:left="13"/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 Listar e identificar as licenças de software &gt;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843"/>
        <w:gridCol w:w="1417"/>
        <w:gridCol w:w="1418"/>
        <w:gridCol w:w="1275"/>
      </w:tblGrid>
      <w:tr w:rsidR="00C01AF2" w:rsidTr="00D1529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lastRenderedPageBreak/>
              <w:t>ID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Produto/ Componente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Responsável pela Entrega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Responsável pelo Recebimento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Aprovação do Recebimento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Justificativa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C01AF2" w:rsidTr="00D1529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AF2" w:rsidRDefault="00C01AF2" w:rsidP="00D1529F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C01AF2" w:rsidRDefault="00C01AF2" w:rsidP="00C01AF2">
      <w:pPr>
        <w:pStyle w:val="Standard"/>
        <w:tabs>
          <w:tab w:val="left" w:pos="108"/>
        </w:tabs>
        <w:ind w:left="13"/>
        <w:jc w:val="both"/>
      </w:pPr>
    </w:p>
    <w:p w:rsidR="00C01AF2" w:rsidRDefault="00C01AF2" w:rsidP="00C01AF2">
      <w:pPr>
        <w:pStyle w:val="Standard"/>
        <w:tabs>
          <w:tab w:val="left" w:pos="381"/>
        </w:tabs>
        <w:ind w:left="286"/>
        <w:jc w:val="both"/>
        <w:rPr>
          <w:rFonts w:ascii="Tahoma" w:hAnsi="Tahoma"/>
          <w:b/>
          <w:bCs/>
          <w:color w:val="000000"/>
        </w:rPr>
      </w:pPr>
    </w:p>
    <w:p w:rsidR="00C01AF2" w:rsidRDefault="00C01AF2" w:rsidP="00C01AF2">
      <w:pPr>
        <w:spacing w:after="360"/>
        <w:ind w:left="284"/>
        <w:rPr>
          <w:rFonts w:ascii="Arial" w:hAnsi="Arial" w:cs="Arial"/>
          <w:b/>
          <w:sz w:val="20"/>
        </w:rPr>
      </w:pPr>
    </w:p>
    <w:p w:rsidR="00C01AF2" w:rsidRDefault="00C01AF2" w:rsidP="00C01AF2">
      <w:pPr>
        <w:spacing w:after="360"/>
        <w:ind w:left="284"/>
        <w:jc w:val="right"/>
        <w:rPr>
          <w:rFonts w:ascii="Arial" w:hAnsi="Arial" w:cs="Arial"/>
          <w:b/>
          <w:sz w:val="20"/>
        </w:rPr>
      </w:pPr>
    </w:p>
    <w:p w:rsidR="00C01AF2" w:rsidRDefault="00C01AF2" w:rsidP="00C01AF2">
      <w:pPr>
        <w:jc w:val="center"/>
        <w:rPr>
          <w:rFonts w:ascii="Arial" w:hAnsi="Arial" w:cs="Arial"/>
          <w:color w:val="000000"/>
          <w:sz w:val="20"/>
          <w:lang w:val="it-IT"/>
        </w:rPr>
      </w:pPr>
    </w:p>
    <w:p w:rsidR="00C01AF2" w:rsidRDefault="00C01AF2" w:rsidP="00C01AF2">
      <w:pPr>
        <w:spacing w:after="360"/>
        <w:ind w:left="28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Aprovado em ___ de __________ </w:t>
      </w:r>
      <w:proofErr w:type="spellStart"/>
      <w:r>
        <w:rPr>
          <w:rFonts w:ascii="Arial" w:hAnsi="Arial" w:cs="Arial"/>
          <w:sz w:val="20"/>
        </w:rPr>
        <w:t>de</w:t>
      </w:r>
      <w:proofErr w:type="spellEnd"/>
      <w:r>
        <w:rPr>
          <w:rFonts w:ascii="Arial" w:hAnsi="Arial" w:cs="Arial"/>
          <w:sz w:val="20"/>
        </w:rPr>
        <w:t xml:space="preserve"> _____.</w:t>
      </w:r>
    </w:p>
    <w:p w:rsidR="00C01AF2" w:rsidRDefault="00C01AF2" w:rsidP="00C01AF2">
      <w:pPr>
        <w:pStyle w:val="Standard"/>
        <w:ind w:left="4254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completo do responsável &gt;</w:t>
      </w:r>
    </w:p>
    <w:p w:rsidR="00C01AF2" w:rsidRDefault="00C01AF2" w:rsidP="00C01AF2">
      <w:pPr>
        <w:pStyle w:val="Standard"/>
        <w:spacing w:after="120"/>
        <w:ind w:left="3545" w:firstLine="709"/>
        <w:jc w:val="center"/>
        <w:rPr>
          <w:color w:val="0000FF"/>
        </w:rPr>
      </w:pPr>
      <w:r>
        <w:rPr>
          <w:color w:val="0000FF"/>
        </w:rPr>
        <w:t>&lt;Cargo&gt;</w:t>
      </w:r>
    </w:p>
    <w:p w:rsidR="00C01AF2" w:rsidRDefault="00C01AF2" w:rsidP="00EA0050"/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7" w:name="_Toc508656427"/>
      <w:bookmarkStart w:id="28" w:name="_Toc509792061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7"/>
      <w:bookmarkEnd w:id="28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9" w:name="_Toc508302056"/>
      <w:bookmarkStart w:id="30" w:name="_Toc508648603"/>
      <w:bookmarkStart w:id="31" w:name="_Toc509792062"/>
      <w:r>
        <w:rPr>
          <w:rFonts w:ascii="Arial" w:eastAsia="SimSun" w:hAnsi="Arial" w:cs="Tahoma"/>
          <w:szCs w:val="24"/>
        </w:rPr>
        <w:t>5.1. Documentos</w:t>
      </w:r>
      <w:bookmarkEnd w:id="29"/>
      <w:bookmarkEnd w:id="30"/>
      <w:bookmarkEnd w:id="31"/>
      <w:r>
        <w:rPr>
          <w:rFonts w:ascii="Arial" w:eastAsia="SimSun" w:hAnsi="Arial" w:cs="Tahoma"/>
          <w:szCs w:val="24"/>
        </w:rPr>
        <w:t xml:space="preserve"> </w:t>
      </w:r>
    </w:p>
    <w:p w:rsidR="00867BBE" w:rsidRDefault="00867BBE" w:rsidP="00867B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Style w:val="Forte"/>
          <w:rFonts w:ascii="Arial" w:hAnsi="Arial"/>
          <w:sz w:val="24"/>
          <w:szCs w:val="24"/>
        </w:rPr>
        <w:t>Guia de Comitê de TIC do SISP (versão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</w:t>
      </w:r>
      <w:r w:rsidR="00154C33">
        <w:rPr>
          <w:rFonts w:ascii="Arial" w:hAnsi="Arial"/>
          <w:b w:val="0"/>
          <w:bCs w:val="0"/>
          <w:sz w:val="24"/>
          <w:szCs w:val="24"/>
        </w:rPr>
        <w:t>o</w:t>
      </w:r>
      <w:r>
        <w:rPr>
          <w:rFonts w:ascii="Arial" w:hAnsi="Arial"/>
          <w:b w:val="0"/>
          <w:bCs w:val="0"/>
          <w:sz w:val="24"/>
          <w:szCs w:val="24"/>
        </w:rPr>
        <w:t xml:space="preserve"> PDTI</w:t>
      </w:r>
      <w:r w:rsidR="00154C33">
        <w:rPr>
          <w:rFonts w:ascii="Arial" w:hAnsi="Arial"/>
          <w:b w:val="0"/>
          <w:bCs w:val="0"/>
          <w:sz w:val="24"/>
          <w:szCs w:val="24"/>
        </w:rPr>
        <w:t>C</w:t>
      </w:r>
      <w:r>
        <w:rPr>
          <w:rFonts w:ascii="Arial" w:hAnsi="Arial"/>
          <w:b w:val="0"/>
          <w:bCs w:val="0"/>
          <w:sz w:val="24"/>
          <w:szCs w:val="24"/>
        </w:rPr>
        <w:t xml:space="preserve">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 2012).</w:t>
      </w:r>
    </w:p>
    <w:p w:rsidR="00DC5888" w:rsidRPr="00371405" w:rsidRDefault="00970800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   </w:t>
      </w:r>
      <w:r w:rsidRPr="00371405">
        <w:rPr>
          <w:rFonts w:ascii="Arial" w:hAnsi="Arial"/>
          <w:b w:val="0"/>
          <w:bCs w:val="0"/>
          <w:sz w:val="24"/>
          <w:szCs w:val="24"/>
        </w:rPr>
        <w:t xml:space="preserve">Guia de Governança de Tecnologia da Informação e Comunicação (GovTIC) do SISP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2.0 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>2017).</w:t>
      </w:r>
    </w:p>
    <w:sectPr w:rsidR="00DC5888" w:rsidRPr="00371405" w:rsidSect="00A15F91">
      <w:footerReference w:type="default" r:id="rId14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2F" w:rsidRDefault="00A5102F">
      <w:pPr>
        <w:spacing w:before="0" w:after="0"/>
      </w:pPr>
      <w:r>
        <w:separator/>
      </w:r>
    </w:p>
  </w:endnote>
  <w:endnote w:type="continuationSeparator" w:id="0">
    <w:p w:rsidR="00A5102F" w:rsidRDefault="00A510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Pr="007714CE" w:rsidRDefault="007238AF">
    <w:pPr>
      <w:pStyle w:val="Rodap"/>
      <w:jc w:val="right"/>
      <w:rPr>
        <w:rFonts w:cs="Arial"/>
      </w:rPr>
    </w:pPr>
    <w:r w:rsidRPr="007714CE">
      <w:rPr>
        <w:rFonts w:cs="Arial"/>
      </w:rPr>
      <w:fldChar w:fldCharType="begin"/>
    </w:r>
    <w:r w:rsidRPr="007714CE">
      <w:rPr>
        <w:rFonts w:cs="Arial"/>
      </w:rPr>
      <w:instrText>PAGE   \* MERGEFORMAT</w:instrText>
    </w:r>
    <w:r w:rsidRPr="007714CE">
      <w:rPr>
        <w:rFonts w:cs="Arial"/>
      </w:rPr>
      <w:fldChar w:fldCharType="separate"/>
    </w:r>
    <w:r w:rsidR="00FC3976">
      <w:rPr>
        <w:rFonts w:cs="Arial"/>
        <w:noProof/>
      </w:rPr>
      <w:t>8</w:t>
    </w:r>
    <w:r w:rsidRPr="007714CE">
      <w:rPr>
        <w:rFonts w:cs="Arial"/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2F" w:rsidRDefault="00A5102F">
      <w:pPr>
        <w:spacing w:before="0" w:after="0"/>
      </w:pPr>
      <w:r>
        <w:separator/>
      </w:r>
    </w:p>
  </w:footnote>
  <w:footnote w:type="continuationSeparator" w:id="0">
    <w:p w:rsidR="00A5102F" w:rsidRDefault="00A510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0F5676B0"/>
    <w:multiLevelType w:val="multilevel"/>
    <w:tmpl w:val="2F18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147E98"/>
    <w:multiLevelType w:val="multilevel"/>
    <w:tmpl w:val="DEBC6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B85FFC"/>
    <w:multiLevelType w:val="multilevel"/>
    <w:tmpl w:val="0FB04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3"/>
  </w:num>
  <w:num w:numId="19">
    <w:abstractNumId w:val="15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75"/>
    <w:rsid w:val="0001078D"/>
    <w:rsid w:val="00036EB5"/>
    <w:rsid w:val="00042DCF"/>
    <w:rsid w:val="000475C9"/>
    <w:rsid w:val="00047BFC"/>
    <w:rsid w:val="0005094A"/>
    <w:rsid w:val="00061786"/>
    <w:rsid w:val="00063454"/>
    <w:rsid w:val="0007180C"/>
    <w:rsid w:val="000773C3"/>
    <w:rsid w:val="000863C7"/>
    <w:rsid w:val="000940D1"/>
    <w:rsid w:val="000A4C6F"/>
    <w:rsid w:val="000B010A"/>
    <w:rsid w:val="000B51AB"/>
    <w:rsid w:val="000C5F24"/>
    <w:rsid w:val="000C6500"/>
    <w:rsid w:val="000D284F"/>
    <w:rsid w:val="000E2E07"/>
    <w:rsid w:val="000F1707"/>
    <w:rsid w:val="000F19B6"/>
    <w:rsid w:val="000F66A7"/>
    <w:rsid w:val="00104067"/>
    <w:rsid w:val="00106B59"/>
    <w:rsid w:val="0011345D"/>
    <w:rsid w:val="00121699"/>
    <w:rsid w:val="00127CE5"/>
    <w:rsid w:val="00145F8F"/>
    <w:rsid w:val="00154C33"/>
    <w:rsid w:val="001637DA"/>
    <w:rsid w:val="00167C7A"/>
    <w:rsid w:val="00172FD9"/>
    <w:rsid w:val="00174F49"/>
    <w:rsid w:val="001755CE"/>
    <w:rsid w:val="0017607D"/>
    <w:rsid w:val="00180960"/>
    <w:rsid w:val="001872E6"/>
    <w:rsid w:val="00187E06"/>
    <w:rsid w:val="001942C7"/>
    <w:rsid w:val="001A1017"/>
    <w:rsid w:val="001A4528"/>
    <w:rsid w:val="001A459B"/>
    <w:rsid w:val="001B093C"/>
    <w:rsid w:val="001C3D62"/>
    <w:rsid w:val="001C4B64"/>
    <w:rsid w:val="001C5314"/>
    <w:rsid w:val="001D0FFB"/>
    <w:rsid w:val="001D13D7"/>
    <w:rsid w:val="001D726D"/>
    <w:rsid w:val="001F3582"/>
    <w:rsid w:val="001F5F7A"/>
    <w:rsid w:val="002018B5"/>
    <w:rsid w:val="00213718"/>
    <w:rsid w:val="002166E2"/>
    <w:rsid w:val="00217114"/>
    <w:rsid w:val="00220B7E"/>
    <w:rsid w:val="002231B9"/>
    <w:rsid w:val="002233E1"/>
    <w:rsid w:val="0022683A"/>
    <w:rsid w:val="00226965"/>
    <w:rsid w:val="00231DBE"/>
    <w:rsid w:val="0024460F"/>
    <w:rsid w:val="002514E1"/>
    <w:rsid w:val="00254A32"/>
    <w:rsid w:val="00256E6F"/>
    <w:rsid w:val="00262AA0"/>
    <w:rsid w:val="0026506B"/>
    <w:rsid w:val="00265C4E"/>
    <w:rsid w:val="00274D55"/>
    <w:rsid w:val="0029115B"/>
    <w:rsid w:val="00294778"/>
    <w:rsid w:val="0029564A"/>
    <w:rsid w:val="002A63CE"/>
    <w:rsid w:val="002A76A4"/>
    <w:rsid w:val="002A7FB9"/>
    <w:rsid w:val="002B1695"/>
    <w:rsid w:val="002B5B13"/>
    <w:rsid w:val="002C249B"/>
    <w:rsid w:val="002D0181"/>
    <w:rsid w:val="002D0E0C"/>
    <w:rsid w:val="002D211C"/>
    <w:rsid w:val="002D747F"/>
    <w:rsid w:val="002E7B31"/>
    <w:rsid w:val="002F2DC3"/>
    <w:rsid w:val="00300CF4"/>
    <w:rsid w:val="00310031"/>
    <w:rsid w:val="00311A20"/>
    <w:rsid w:val="003124F8"/>
    <w:rsid w:val="00313505"/>
    <w:rsid w:val="003215F0"/>
    <w:rsid w:val="00330366"/>
    <w:rsid w:val="0033367E"/>
    <w:rsid w:val="003351E2"/>
    <w:rsid w:val="00340B7B"/>
    <w:rsid w:val="00345ADD"/>
    <w:rsid w:val="0035144E"/>
    <w:rsid w:val="0035536F"/>
    <w:rsid w:val="00362E36"/>
    <w:rsid w:val="003713A3"/>
    <w:rsid w:val="00371405"/>
    <w:rsid w:val="0037173B"/>
    <w:rsid w:val="00375FE1"/>
    <w:rsid w:val="00380A9C"/>
    <w:rsid w:val="00390C13"/>
    <w:rsid w:val="003948AD"/>
    <w:rsid w:val="00397813"/>
    <w:rsid w:val="003A1AFD"/>
    <w:rsid w:val="003A55CB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1F4D"/>
    <w:rsid w:val="004316DC"/>
    <w:rsid w:val="004331E9"/>
    <w:rsid w:val="00443222"/>
    <w:rsid w:val="0045271F"/>
    <w:rsid w:val="0045460F"/>
    <w:rsid w:val="00457257"/>
    <w:rsid w:val="00457DE8"/>
    <w:rsid w:val="004632D7"/>
    <w:rsid w:val="004637B2"/>
    <w:rsid w:val="00464BFD"/>
    <w:rsid w:val="00464D3F"/>
    <w:rsid w:val="0047278E"/>
    <w:rsid w:val="0047331F"/>
    <w:rsid w:val="004767E6"/>
    <w:rsid w:val="004834C9"/>
    <w:rsid w:val="00492F72"/>
    <w:rsid w:val="0049783A"/>
    <w:rsid w:val="004A63A6"/>
    <w:rsid w:val="004B047A"/>
    <w:rsid w:val="004B2F64"/>
    <w:rsid w:val="004B48A0"/>
    <w:rsid w:val="004C0B8F"/>
    <w:rsid w:val="004C2009"/>
    <w:rsid w:val="004C42C1"/>
    <w:rsid w:val="004C71BD"/>
    <w:rsid w:val="004C7583"/>
    <w:rsid w:val="004C7984"/>
    <w:rsid w:val="004D15DD"/>
    <w:rsid w:val="004D2ECA"/>
    <w:rsid w:val="004D3A8C"/>
    <w:rsid w:val="004D47D8"/>
    <w:rsid w:val="004E35AC"/>
    <w:rsid w:val="004E4372"/>
    <w:rsid w:val="004F116C"/>
    <w:rsid w:val="004F3B7B"/>
    <w:rsid w:val="0050270F"/>
    <w:rsid w:val="005059C9"/>
    <w:rsid w:val="00526F67"/>
    <w:rsid w:val="00535106"/>
    <w:rsid w:val="0053662E"/>
    <w:rsid w:val="00537572"/>
    <w:rsid w:val="0054271F"/>
    <w:rsid w:val="00545202"/>
    <w:rsid w:val="00555861"/>
    <w:rsid w:val="00557008"/>
    <w:rsid w:val="00557316"/>
    <w:rsid w:val="00572AA7"/>
    <w:rsid w:val="00581CF0"/>
    <w:rsid w:val="005842E1"/>
    <w:rsid w:val="005872D0"/>
    <w:rsid w:val="0059040E"/>
    <w:rsid w:val="00590ED7"/>
    <w:rsid w:val="005935A6"/>
    <w:rsid w:val="00594B27"/>
    <w:rsid w:val="00595A59"/>
    <w:rsid w:val="005A0F4E"/>
    <w:rsid w:val="005A4909"/>
    <w:rsid w:val="005A502F"/>
    <w:rsid w:val="005A6A69"/>
    <w:rsid w:val="005B5F2C"/>
    <w:rsid w:val="005D4208"/>
    <w:rsid w:val="005D4D93"/>
    <w:rsid w:val="005D58D0"/>
    <w:rsid w:val="005E5046"/>
    <w:rsid w:val="005F5F84"/>
    <w:rsid w:val="0060678C"/>
    <w:rsid w:val="00615CC5"/>
    <w:rsid w:val="00615F1C"/>
    <w:rsid w:val="006171B2"/>
    <w:rsid w:val="0061797E"/>
    <w:rsid w:val="00640A35"/>
    <w:rsid w:val="00642302"/>
    <w:rsid w:val="006443D1"/>
    <w:rsid w:val="006505E2"/>
    <w:rsid w:val="0065154C"/>
    <w:rsid w:val="00654239"/>
    <w:rsid w:val="00654DE6"/>
    <w:rsid w:val="00666144"/>
    <w:rsid w:val="00672AF2"/>
    <w:rsid w:val="00697E5E"/>
    <w:rsid w:val="006A416F"/>
    <w:rsid w:val="006A4172"/>
    <w:rsid w:val="006C0EB3"/>
    <w:rsid w:val="006D00FA"/>
    <w:rsid w:val="006D1723"/>
    <w:rsid w:val="006D3C32"/>
    <w:rsid w:val="006E1A20"/>
    <w:rsid w:val="006F233B"/>
    <w:rsid w:val="007002D8"/>
    <w:rsid w:val="0070625F"/>
    <w:rsid w:val="00710770"/>
    <w:rsid w:val="0071082A"/>
    <w:rsid w:val="00710B5C"/>
    <w:rsid w:val="007238AF"/>
    <w:rsid w:val="007243A5"/>
    <w:rsid w:val="00741AA8"/>
    <w:rsid w:val="0074322A"/>
    <w:rsid w:val="00762359"/>
    <w:rsid w:val="0077059C"/>
    <w:rsid w:val="007714CE"/>
    <w:rsid w:val="00772F7D"/>
    <w:rsid w:val="00775D5D"/>
    <w:rsid w:val="007926D4"/>
    <w:rsid w:val="00794157"/>
    <w:rsid w:val="007B21A5"/>
    <w:rsid w:val="007C060B"/>
    <w:rsid w:val="007C1672"/>
    <w:rsid w:val="007C7DAB"/>
    <w:rsid w:val="007D0379"/>
    <w:rsid w:val="007E70FE"/>
    <w:rsid w:val="007F51EF"/>
    <w:rsid w:val="00810406"/>
    <w:rsid w:val="00823657"/>
    <w:rsid w:val="00824585"/>
    <w:rsid w:val="00830985"/>
    <w:rsid w:val="00842821"/>
    <w:rsid w:val="00845770"/>
    <w:rsid w:val="00856732"/>
    <w:rsid w:val="00860DF8"/>
    <w:rsid w:val="00867BBE"/>
    <w:rsid w:val="008730EB"/>
    <w:rsid w:val="00896970"/>
    <w:rsid w:val="008A356E"/>
    <w:rsid w:val="008A549C"/>
    <w:rsid w:val="008C5232"/>
    <w:rsid w:val="008C6200"/>
    <w:rsid w:val="008D5FE2"/>
    <w:rsid w:val="008E0C59"/>
    <w:rsid w:val="008E1508"/>
    <w:rsid w:val="008F2185"/>
    <w:rsid w:val="00900BC1"/>
    <w:rsid w:val="00902C7F"/>
    <w:rsid w:val="00905D03"/>
    <w:rsid w:val="0091239A"/>
    <w:rsid w:val="009163E5"/>
    <w:rsid w:val="00916CE5"/>
    <w:rsid w:val="00925F3C"/>
    <w:rsid w:val="0093685E"/>
    <w:rsid w:val="00940623"/>
    <w:rsid w:val="00956AE6"/>
    <w:rsid w:val="009624F0"/>
    <w:rsid w:val="00964E3B"/>
    <w:rsid w:val="00965142"/>
    <w:rsid w:val="00970800"/>
    <w:rsid w:val="00972570"/>
    <w:rsid w:val="0097681E"/>
    <w:rsid w:val="00983ED5"/>
    <w:rsid w:val="00991E75"/>
    <w:rsid w:val="009A75C0"/>
    <w:rsid w:val="009B2CF2"/>
    <w:rsid w:val="009C15F5"/>
    <w:rsid w:val="009D0C8D"/>
    <w:rsid w:val="009D1643"/>
    <w:rsid w:val="009D2BAE"/>
    <w:rsid w:val="009D40F1"/>
    <w:rsid w:val="009E07DE"/>
    <w:rsid w:val="009E3614"/>
    <w:rsid w:val="009E36EE"/>
    <w:rsid w:val="009F3C3A"/>
    <w:rsid w:val="00A0029B"/>
    <w:rsid w:val="00A04EE5"/>
    <w:rsid w:val="00A06B8D"/>
    <w:rsid w:val="00A15F91"/>
    <w:rsid w:val="00A17708"/>
    <w:rsid w:val="00A2402F"/>
    <w:rsid w:val="00A255EF"/>
    <w:rsid w:val="00A3091C"/>
    <w:rsid w:val="00A35E67"/>
    <w:rsid w:val="00A371AF"/>
    <w:rsid w:val="00A40AD1"/>
    <w:rsid w:val="00A40D19"/>
    <w:rsid w:val="00A430FE"/>
    <w:rsid w:val="00A44B75"/>
    <w:rsid w:val="00A5102F"/>
    <w:rsid w:val="00A60037"/>
    <w:rsid w:val="00A60435"/>
    <w:rsid w:val="00A63744"/>
    <w:rsid w:val="00A64482"/>
    <w:rsid w:val="00A76AB6"/>
    <w:rsid w:val="00A82B2D"/>
    <w:rsid w:val="00A848D3"/>
    <w:rsid w:val="00A91E9E"/>
    <w:rsid w:val="00A9246C"/>
    <w:rsid w:val="00AA23D1"/>
    <w:rsid w:val="00AA6FE4"/>
    <w:rsid w:val="00AB08C1"/>
    <w:rsid w:val="00AC089B"/>
    <w:rsid w:val="00AC26B5"/>
    <w:rsid w:val="00AC2D79"/>
    <w:rsid w:val="00AC36B2"/>
    <w:rsid w:val="00AD18E3"/>
    <w:rsid w:val="00AD20F4"/>
    <w:rsid w:val="00AD4827"/>
    <w:rsid w:val="00AF11C3"/>
    <w:rsid w:val="00AF6071"/>
    <w:rsid w:val="00B00653"/>
    <w:rsid w:val="00B00CC7"/>
    <w:rsid w:val="00B06738"/>
    <w:rsid w:val="00B15506"/>
    <w:rsid w:val="00B159FA"/>
    <w:rsid w:val="00B34002"/>
    <w:rsid w:val="00B37257"/>
    <w:rsid w:val="00B374F4"/>
    <w:rsid w:val="00B408DF"/>
    <w:rsid w:val="00B4332E"/>
    <w:rsid w:val="00B463C8"/>
    <w:rsid w:val="00B61629"/>
    <w:rsid w:val="00B63761"/>
    <w:rsid w:val="00B81FF0"/>
    <w:rsid w:val="00B875A9"/>
    <w:rsid w:val="00B912BE"/>
    <w:rsid w:val="00B9292D"/>
    <w:rsid w:val="00BA0CCE"/>
    <w:rsid w:val="00BA222A"/>
    <w:rsid w:val="00BA279F"/>
    <w:rsid w:val="00BB1ADD"/>
    <w:rsid w:val="00BB2E8C"/>
    <w:rsid w:val="00BB6409"/>
    <w:rsid w:val="00BC1C17"/>
    <w:rsid w:val="00BC2692"/>
    <w:rsid w:val="00BC2E49"/>
    <w:rsid w:val="00BC41DB"/>
    <w:rsid w:val="00BD1472"/>
    <w:rsid w:val="00BD67A7"/>
    <w:rsid w:val="00BE006B"/>
    <w:rsid w:val="00BF4905"/>
    <w:rsid w:val="00BF5A32"/>
    <w:rsid w:val="00C00E26"/>
    <w:rsid w:val="00C01AF2"/>
    <w:rsid w:val="00C05D1A"/>
    <w:rsid w:val="00C075D9"/>
    <w:rsid w:val="00C21849"/>
    <w:rsid w:val="00C23D4A"/>
    <w:rsid w:val="00C3349A"/>
    <w:rsid w:val="00C41A47"/>
    <w:rsid w:val="00C4750F"/>
    <w:rsid w:val="00C47E8C"/>
    <w:rsid w:val="00C62C35"/>
    <w:rsid w:val="00C6534F"/>
    <w:rsid w:val="00C674FB"/>
    <w:rsid w:val="00C73956"/>
    <w:rsid w:val="00C805D7"/>
    <w:rsid w:val="00C90BBE"/>
    <w:rsid w:val="00C9474F"/>
    <w:rsid w:val="00C96211"/>
    <w:rsid w:val="00CA1E05"/>
    <w:rsid w:val="00CA57BF"/>
    <w:rsid w:val="00CB1936"/>
    <w:rsid w:val="00CC217A"/>
    <w:rsid w:val="00CC72ED"/>
    <w:rsid w:val="00CD3079"/>
    <w:rsid w:val="00CD6183"/>
    <w:rsid w:val="00CE168A"/>
    <w:rsid w:val="00D02DBA"/>
    <w:rsid w:val="00D20B38"/>
    <w:rsid w:val="00D23648"/>
    <w:rsid w:val="00D31314"/>
    <w:rsid w:val="00D4014D"/>
    <w:rsid w:val="00D4107F"/>
    <w:rsid w:val="00D51CB1"/>
    <w:rsid w:val="00D63084"/>
    <w:rsid w:val="00D65A61"/>
    <w:rsid w:val="00D67EED"/>
    <w:rsid w:val="00D67FB1"/>
    <w:rsid w:val="00D72F48"/>
    <w:rsid w:val="00D808DC"/>
    <w:rsid w:val="00D85885"/>
    <w:rsid w:val="00D879AA"/>
    <w:rsid w:val="00D91A16"/>
    <w:rsid w:val="00D96DD0"/>
    <w:rsid w:val="00D97B00"/>
    <w:rsid w:val="00DC5888"/>
    <w:rsid w:val="00DD3F47"/>
    <w:rsid w:val="00DE5AC3"/>
    <w:rsid w:val="00DE7351"/>
    <w:rsid w:val="00E063D1"/>
    <w:rsid w:val="00E10442"/>
    <w:rsid w:val="00E17502"/>
    <w:rsid w:val="00E32E39"/>
    <w:rsid w:val="00E3574E"/>
    <w:rsid w:val="00E3700B"/>
    <w:rsid w:val="00E41F3B"/>
    <w:rsid w:val="00E42029"/>
    <w:rsid w:val="00E44D30"/>
    <w:rsid w:val="00E47D7E"/>
    <w:rsid w:val="00E609F1"/>
    <w:rsid w:val="00E61AB6"/>
    <w:rsid w:val="00E73F6E"/>
    <w:rsid w:val="00E74995"/>
    <w:rsid w:val="00EA0050"/>
    <w:rsid w:val="00EA3AF9"/>
    <w:rsid w:val="00EB5150"/>
    <w:rsid w:val="00EB5609"/>
    <w:rsid w:val="00EC163F"/>
    <w:rsid w:val="00EC2CAF"/>
    <w:rsid w:val="00ED35E4"/>
    <w:rsid w:val="00ED412A"/>
    <w:rsid w:val="00ED4B27"/>
    <w:rsid w:val="00EE0603"/>
    <w:rsid w:val="00EF6591"/>
    <w:rsid w:val="00F02BEB"/>
    <w:rsid w:val="00F14239"/>
    <w:rsid w:val="00F142FA"/>
    <w:rsid w:val="00F21DA3"/>
    <w:rsid w:val="00F31F54"/>
    <w:rsid w:val="00F36CC3"/>
    <w:rsid w:val="00F50447"/>
    <w:rsid w:val="00F518D6"/>
    <w:rsid w:val="00F6092A"/>
    <w:rsid w:val="00F63321"/>
    <w:rsid w:val="00F827A2"/>
    <w:rsid w:val="00F843A2"/>
    <w:rsid w:val="00F85CE6"/>
    <w:rsid w:val="00F86B2F"/>
    <w:rsid w:val="00F9297F"/>
    <w:rsid w:val="00FA04C0"/>
    <w:rsid w:val="00FA313D"/>
    <w:rsid w:val="00FA447E"/>
    <w:rsid w:val="00FB7AA3"/>
    <w:rsid w:val="00FC1494"/>
    <w:rsid w:val="00FC37E3"/>
    <w:rsid w:val="00FC3976"/>
    <w:rsid w:val="00FC43CD"/>
    <w:rsid w:val="00FC51C3"/>
    <w:rsid w:val="00FD331C"/>
    <w:rsid w:val="00FE5056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590ED7"/>
    <w:pPr>
      <w:ind w:left="720"/>
      <w:contextualSpacing/>
    </w:pPr>
  </w:style>
  <w:style w:type="paragraph" w:customStyle="1" w:styleId="Standard">
    <w:name w:val="Standard"/>
    <w:rsid w:val="00C01AF2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1AF2"/>
    <w:pPr>
      <w:suppressLineNumbers/>
    </w:pPr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590ED7"/>
    <w:pPr>
      <w:ind w:left="720"/>
      <w:contextualSpacing/>
    </w:pPr>
  </w:style>
  <w:style w:type="paragraph" w:customStyle="1" w:styleId="Standard">
    <w:name w:val="Standard"/>
    <w:rsid w:val="00C01AF2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1AF2"/>
    <w:pPr>
      <w:suppressLineNumbers/>
    </w:pPr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4CE0-6566-4C4B-9B22-27F09078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1258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22</cp:revision>
  <cp:lastPrinted>2018-03-06T17:58:00Z</cp:lastPrinted>
  <dcterms:created xsi:type="dcterms:W3CDTF">2018-03-26T04:45:00Z</dcterms:created>
  <dcterms:modified xsi:type="dcterms:W3CDTF">2018-06-21T14:55:00Z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