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0E2E07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GERENCIAMENTO DE MUDANÇAS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Natal Henrique Troz </w:t>
            </w:r>
            <w:r w:rsidR="00264786">
              <w:rPr>
                <w:rFonts w:ascii="Arial" w:hAnsi="Arial" w:cs="Arial"/>
                <w:b/>
                <w:sz w:val="18"/>
                <w:szCs w:val="18"/>
              </w:rPr>
              <w:t xml:space="preserve">Guglilhermi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264786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Default="006F226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2267" w:rsidRPr="00C14E55" w:rsidRDefault="008E2AD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721485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 SEST- KIT3.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72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7C7DAB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E3574E">
        <w:rPr>
          <w:rFonts w:ascii="Arial" w:hAnsi="Arial" w:cs="Arial"/>
          <w:b/>
          <w:bCs/>
          <w:sz w:val="24"/>
          <w:szCs w:val="24"/>
        </w:rPr>
        <w:t>6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Edna Dias Canedo e Pedro Thiago Rocha de Alcântara. </w:t>
      </w:r>
    </w:p>
    <w:p w:rsidR="00264786" w:rsidRDefault="00264786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264786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Default="00FC1494">
          <w:pPr>
            <w:pStyle w:val="CabealhodoSumrio"/>
          </w:pPr>
        </w:p>
        <w:p w:rsidR="00716410" w:rsidRPr="005C194C" w:rsidRDefault="00FC1494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7714CE">
            <w:rPr>
              <w:rFonts w:ascii="Arial" w:hAnsi="Arial" w:cs="Arial"/>
            </w:rPr>
            <w:fldChar w:fldCharType="begin"/>
          </w:r>
          <w:r w:rsidRPr="007714CE">
            <w:rPr>
              <w:rFonts w:ascii="Arial" w:hAnsi="Arial" w:cs="Arial"/>
            </w:rPr>
            <w:instrText xml:space="preserve"> TOC \o "1-3" \h \z \u </w:instrText>
          </w:r>
          <w:r w:rsidRPr="007714CE">
            <w:rPr>
              <w:rFonts w:ascii="Arial" w:hAnsi="Arial" w:cs="Arial"/>
            </w:rPr>
            <w:fldChar w:fldCharType="separate"/>
          </w:r>
          <w:hyperlink w:anchor="_Toc509796037" w:history="1">
            <w:r w:rsidR="00716410" w:rsidRPr="005C194C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_Toc509796037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5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6038" w:history="1">
            <w:r w:rsidR="00716410" w:rsidRPr="005C194C">
              <w:rPr>
                <w:rStyle w:val="Hyperlink"/>
                <w:rFonts w:ascii="Arial" w:hAnsi="Arial" w:cs="Arial"/>
                <w:noProof/>
              </w:rPr>
              <w:t>VISÃO GERAL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_Toc509796038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5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6039" w:history="1">
            <w:r w:rsidR="00716410" w:rsidRPr="005C194C">
              <w:rPr>
                <w:rStyle w:val="Hyperlink"/>
                <w:rFonts w:ascii="Arial" w:eastAsia="SimSun" w:hAnsi="Arial" w:cs="Arial"/>
                <w:noProof/>
              </w:rPr>
              <w:t>2.1. Objetivo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_Toc509796039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5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6040" w:history="1">
            <w:r w:rsidR="00716410" w:rsidRPr="005C194C">
              <w:rPr>
                <w:rStyle w:val="Hyperlink"/>
                <w:rFonts w:ascii="Arial" w:eastAsia="SimSun" w:hAnsi="Arial" w:cs="Arial"/>
                <w:noProof/>
              </w:rPr>
              <w:t>2.2. Justificativa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_Toc509796040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5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6041" w:history="1">
            <w:r w:rsidR="00716410" w:rsidRPr="005C194C">
              <w:rPr>
                <w:rStyle w:val="Hyperlink"/>
                <w:rFonts w:ascii="Arial" w:hAnsi="Arial" w:cs="Arial"/>
                <w:noProof/>
              </w:rPr>
              <w:t>GERENIAMENTO DE MUDANÇA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_Toc509796041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6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6042" w:history="1">
            <w:r w:rsidR="00716410" w:rsidRPr="005C194C">
              <w:rPr>
                <w:rStyle w:val="Hyperlink"/>
                <w:rFonts w:ascii="Arial" w:eastAsia="SimSun" w:hAnsi="Arial" w:cs="Arial"/>
                <w:noProof/>
              </w:rPr>
              <w:t>3.1. Definição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_Toc509796042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6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6043" w:history="1">
            <w:r w:rsidR="00716410" w:rsidRPr="005C194C">
              <w:rPr>
                <w:rStyle w:val="Hyperlink"/>
                <w:rFonts w:ascii="Arial" w:eastAsia="SimSun" w:hAnsi="Arial" w:cs="Arial"/>
                <w:noProof/>
              </w:rPr>
              <w:t>3.2. Passo a passo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_Toc509796043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6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6044" w:history="1">
            <w:r w:rsidR="00716410" w:rsidRPr="005C194C">
              <w:rPr>
                <w:rStyle w:val="Hyperlink"/>
                <w:rFonts w:ascii="Arial" w:hAnsi="Arial" w:cs="Arial"/>
                <w:noProof/>
              </w:rPr>
              <w:t>ARTEFATOS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410" w:rsidRPr="005C194C">
              <w:rPr>
                <w:rFonts w:ascii="Arial" w:hAnsi="Arial" w:cs="Arial"/>
                <w:noProof/>
                <w:webHidden/>
              </w:rPr>
              <w:instrText xml:space="preserve"> PAGEREF _Toc509796044 \h </w:instrText>
            </w:r>
            <w:r w:rsidR="00716410" w:rsidRPr="005C194C">
              <w:rPr>
                <w:rFonts w:ascii="Arial" w:hAnsi="Arial" w:cs="Arial"/>
                <w:noProof/>
                <w:webHidden/>
              </w:rPr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410" w:rsidRPr="005C194C">
              <w:rPr>
                <w:rFonts w:ascii="Arial" w:hAnsi="Arial" w:cs="Arial"/>
                <w:noProof/>
                <w:webHidden/>
              </w:rPr>
              <w:t>7</w:t>
            </w:r>
            <w:r w:rsidR="00716410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E549E" w:rsidRPr="005C194C" w:rsidRDefault="00686531" w:rsidP="009E549E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6045" w:history="1">
            <w:r w:rsidR="009E549E" w:rsidRPr="005C194C">
              <w:rPr>
                <w:rStyle w:val="Hyperlink"/>
                <w:rFonts w:ascii="Arial" w:eastAsia="SimSun" w:hAnsi="Arial" w:cs="Arial"/>
                <w:noProof/>
              </w:rPr>
              <w:t>4.1. Documentos</w:t>
            </w:r>
            <w:r w:rsidR="009E549E" w:rsidRPr="005C194C">
              <w:rPr>
                <w:rFonts w:ascii="Arial" w:hAnsi="Arial" w:cs="Arial"/>
                <w:noProof/>
                <w:webHidden/>
              </w:rPr>
              <w:tab/>
            </w:r>
            <w:r w:rsidR="009E549E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9E549E" w:rsidRPr="005C194C">
              <w:rPr>
                <w:rFonts w:ascii="Arial" w:hAnsi="Arial" w:cs="Arial"/>
                <w:noProof/>
                <w:webHidden/>
              </w:rPr>
              <w:instrText xml:space="preserve"> PAGEREF _Toc509796045 \h </w:instrText>
            </w:r>
            <w:r w:rsidR="009E549E" w:rsidRPr="005C194C">
              <w:rPr>
                <w:rFonts w:ascii="Arial" w:hAnsi="Arial" w:cs="Arial"/>
                <w:noProof/>
                <w:webHidden/>
              </w:rPr>
            </w:r>
            <w:r w:rsidR="009E549E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E549E" w:rsidRPr="005C194C">
              <w:rPr>
                <w:rFonts w:ascii="Arial" w:hAnsi="Arial" w:cs="Arial"/>
                <w:noProof/>
                <w:webHidden/>
              </w:rPr>
              <w:t>7</w:t>
            </w:r>
            <w:r w:rsidR="009E549E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E549E" w:rsidRPr="005C194C" w:rsidRDefault="00686531" w:rsidP="009E549E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6045" w:history="1">
            <w:r w:rsidR="009E549E" w:rsidRPr="005C194C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9E549E">
              <w:rPr>
                <w:rStyle w:val="Hyperlink"/>
                <w:rFonts w:ascii="Arial" w:eastAsia="SimSun" w:hAnsi="Arial" w:cs="Arial"/>
                <w:noProof/>
              </w:rPr>
              <w:t>1</w:t>
            </w:r>
            <w:r w:rsidR="009E549E" w:rsidRPr="005C194C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9E549E" w:rsidRPr="005D58D0">
              <w:rPr>
                <w:rFonts w:ascii="Arial" w:hAnsi="Arial"/>
                <w:sz w:val="24"/>
                <w:szCs w:val="24"/>
              </w:rPr>
              <w:t>Relatório Analise Causal</w:t>
            </w:r>
            <w:r w:rsidR="009E549E" w:rsidRPr="005C194C">
              <w:rPr>
                <w:rFonts w:ascii="Arial" w:hAnsi="Arial" w:cs="Arial"/>
                <w:noProof/>
                <w:webHidden/>
              </w:rPr>
              <w:tab/>
            </w:r>
            <w:r w:rsidR="009E549E" w:rsidRPr="005C194C">
              <w:rPr>
                <w:rFonts w:ascii="Arial" w:hAnsi="Arial" w:cs="Arial"/>
                <w:noProof/>
                <w:webHidden/>
              </w:rPr>
              <w:fldChar w:fldCharType="begin"/>
            </w:r>
            <w:r w:rsidR="009E549E" w:rsidRPr="005C194C">
              <w:rPr>
                <w:rFonts w:ascii="Arial" w:hAnsi="Arial" w:cs="Arial"/>
                <w:noProof/>
                <w:webHidden/>
              </w:rPr>
              <w:instrText xml:space="preserve"> PAGEREF _Toc509796045 \h </w:instrText>
            </w:r>
            <w:r w:rsidR="009E549E" w:rsidRPr="005C194C">
              <w:rPr>
                <w:rFonts w:ascii="Arial" w:hAnsi="Arial" w:cs="Arial"/>
                <w:noProof/>
                <w:webHidden/>
              </w:rPr>
            </w:r>
            <w:r w:rsidR="009E549E" w:rsidRPr="005C19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E549E" w:rsidRPr="005C194C">
              <w:rPr>
                <w:rFonts w:ascii="Arial" w:hAnsi="Arial" w:cs="Arial"/>
                <w:noProof/>
                <w:webHidden/>
              </w:rPr>
              <w:t>7</w:t>
            </w:r>
            <w:r w:rsidR="009E549E" w:rsidRPr="005C19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16410" w:rsidRPr="005C194C" w:rsidRDefault="0068653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6046" w:history="1">
            <w:r w:rsidR="00716410" w:rsidRPr="005C194C">
              <w:rPr>
                <w:rStyle w:val="Hyperlink"/>
                <w:rFonts w:ascii="Arial" w:hAnsi="Arial" w:cs="Arial"/>
                <w:noProof/>
              </w:rPr>
              <w:t>REFERÊNCIAS BIBLIOGRÁFICAS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E969FF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716410" w:rsidRDefault="00686531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9796047" w:history="1">
            <w:r w:rsidR="00716410" w:rsidRPr="005C194C">
              <w:rPr>
                <w:rStyle w:val="Hyperlink"/>
                <w:rFonts w:ascii="Arial" w:eastAsia="SimSun" w:hAnsi="Arial" w:cs="Arial"/>
                <w:noProof/>
              </w:rPr>
              <w:t>5.1. Documentos</w:t>
            </w:r>
            <w:r w:rsidR="00716410" w:rsidRPr="005C194C">
              <w:rPr>
                <w:rFonts w:ascii="Arial" w:hAnsi="Arial" w:cs="Arial"/>
                <w:noProof/>
                <w:webHidden/>
              </w:rPr>
              <w:tab/>
            </w:r>
            <w:r w:rsidR="00E969FF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FC1494" w:rsidRPr="007714CE" w:rsidRDefault="00FC1494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7714C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9796037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AC7EC7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AC7EC7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9796038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9796039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listadas em literatura e conhecimento prático, para </w:t>
      </w:r>
      <w:r w:rsidR="000E2E07">
        <w:rPr>
          <w:rFonts w:ascii="Arial" w:hAnsi="Arial"/>
          <w:b w:val="0"/>
          <w:bCs w:val="0"/>
          <w:sz w:val="24"/>
          <w:szCs w:val="24"/>
        </w:rPr>
        <w:t>o Gerenciamento de Mudança</w:t>
      </w:r>
      <w:r w:rsidR="00E3574E" w:rsidRPr="00E3574E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nas diferentes Empresas Estatais.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9796040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F14239" w:rsidRDefault="000E2E07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9796041"/>
      <w:bookmarkStart w:id="16" w:name="_Toc462247079"/>
      <w:r>
        <w:rPr>
          <w:rFonts w:ascii="Arial" w:hAnsi="Arial"/>
          <w:szCs w:val="24"/>
          <w:u w:val="none"/>
        </w:rPr>
        <w:t>GERENIAMENTO DE MUDANÇA</w:t>
      </w:r>
      <w:bookmarkEnd w:id="15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9796042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AA6FE4" w:rsidRPr="004C2009" w:rsidRDefault="00AA6FE4" w:rsidP="00AA6FE4">
      <w:pPr>
        <w:spacing w:before="170" w:after="0"/>
        <w:ind w:left="709" w:firstLine="720"/>
        <w:rPr>
          <w:rFonts w:ascii="Arial" w:hAnsi="Arial"/>
          <w:b/>
          <w:szCs w:val="24"/>
        </w:rPr>
      </w:pPr>
      <w:r>
        <w:rPr>
          <w:rFonts w:ascii="Arial" w:hAnsi="Arial"/>
          <w:sz w:val="24"/>
          <w:szCs w:val="24"/>
        </w:rPr>
        <w:t>O Processo de Gerenciamento de Mudanças v</w:t>
      </w:r>
      <w:r w:rsidRPr="003A1AFD">
        <w:rPr>
          <w:rFonts w:ascii="Arial" w:hAnsi="Arial"/>
          <w:sz w:val="24"/>
          <w:szCs w:val="24"/>
        </w:rPr>
        <w:t xml:space="preserve">isa </w:t>
      </w:r>
      <w:r>
        <w:rPr>
          <w:rFonts w:ascii="Arial" w:hAnsi="Arial"/>
          <w:sz w:val="24"/>
          <w:szCs w:val="24"/>
        </w:rPr>
        <w:t>tratar todas as mudanças de maneira controlada, incluindo mudanças normais e manutenções de emergência relacionadas aos processos de negócio, aplicações e infraestrutura.</w:t>
      </w:r>
      <w:r w:rsidRPr="004C2009">
        <w:rPr>
          <w:rFonts w:ascii="Arial" w:hAnsi="Arial"/>
          <w:szCs w:val="24"/>
        </w:rPr>
        <w:t xml:space="preserve"> </w:t>
      </w:r>
    </w:p>
    <w:p w:rsidR="00F14239" w:rsidRDefault="00AA6FE4" w:rsidP="00AA6FE4">
      <w:pPr>
        <w:spacing w:before="170" w:after="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 este processo</w:t>
      </w:r>
      <w:r w:rsidRPr="005A4909">
        <w:rPr>
          <w:rFonts w:ascii="Arial" w:hAnsi="Arial"/>
          <w:sz w:val="24"/>
          <w:szCs w:val="24"/>
        </w:rPr>
        <w:t xml:space="preserve"> define </w:t>
      </w:r>
      <w:r>
        <w:rPr>
          <w:rFonts w:ascii="Arial" w:hAnsi="Arial"/>
          <w:sz w:val="24"/>
          <w:szCs w:val="24"/>
        </w:rPr>
        <w:t>práticas para gerir alterações em padrões e procedimentos, análises de impacto, priorização e autorização, acompanhamento, relatório, fechamento e documentação.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9796043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AA6FE4" w:rsidRPr="00274D55" w:rsidRDefault="00AA6FE4" w:rsidP="00AA6FE4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implantação </w:t>
      </w:r>
      <w:r>
        <w:rPr>
          <w:rFonts w:ascii="Arial" w:hAnsi="Arial" w:cs="Arial"/>
        </w:rPr>
        <w:t xml:space="preserve">do </w:t>
      </w:r>
      <w:r>
        <w:rPr>
          <w:rFonts w:ascii="Arial" w:hAnsi="Arial"/>
        </w:rPr>
        <w:t xml:space="preserve">Processo de Gerenciamento de Mudanças, </w:t>
      </w:r>
      <w:r w:rsidRPr="00274D55">
        <w:rPr>
          <w:rFonts w:ascii="Arial" w:hAnsi="Arial" w:cs="Arial"/>
        </w:rPr>
        <w:t>é preciso executar as seguintes atividades: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1 -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Identificar as mudanças necessárias e registrar as solicitações de mudança em formulário especifico.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2 - Avaliar, priorizar e autorizar as solicitações de mudança identificadas.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 Acompanhar as solicitações de mudança de itens de configuração.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4 - Gerenciar mudanças emergenciais ocorridas na Estatal.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5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Acompanhar e reportar o status das demandas e solicitações de mudanças.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4107F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6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Fechar e documentar as mudanças realizadas, bem como seus impactos no funcionamento e prestação dos serviços da Estatal.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7 - Identificar e Corrigir os principais ocasionadores de problemas.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8 - Realizar análise causal dos </w:t>
      </w:r>
      <w:r w:rsidR="005D58D0">
        <w:rPr>
          <w:rFonts w:ascii="Arial" w:eastAsia="SimSun" w:hAnsi="Arial" w:cs="Tahoma"/>
          <w:sz w:val="24"/>
          <w:szCs w:val="24"/>
        </w:rPr>
        <w:t>problemas,</w:t>
      </w:r>
      <w:r>
        <w:rPr>
          <w:rFonts w:ascii="Arial" w:eastAsia="SimSun" w:hAnsi="Arial" w:cs="Tahoma"/>
          <w:sz w:val="24"/>
          <w:szCs w:val="24"/>
        </w:rPr>
        <w:t xml:space="preserve"> identifica</w:t>
      </w:r>
      <w:r w:rsidR="00D35E3A">
        <w:rPr>
          <w:rFonts w:ascii="Arial" w:eastAsia="SimSun" w:hAnsi="Arial" w:cs="Tahoma"/>
          <w:sz w:val="24"/>
          <w:szCs w:val="24"/>
        </w:rPr>
        <w:t xml:space="preserve">ndo </w:t>
      </w:r>
      <w:r>
        <w:rPr>
          <w:rFonts w:ascii="Arial" w:eastAsia="SimSun" w:hAnsi="Arial" w:cs="Tahoma"/>
          <w:sz w:val="24"/>
          <w:szCs w:val="24"/>
        </w:rPr>
        <w:t xml:space="preserve">a sua ocorrência, estado e causa. 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9 - Propor ações para enfrentar </w:t>
      </w:r>
      <w:r w:rsidR="008E7E3D">
        <w:rPr>
          <w:rFonts w:ascii="Arial" w:eastAsia="SimSun" w:hAnsi="Arial" w:cs="Tahoma"/>
          <w:sz w:val="24"/>
          <w:szCs w:val="24"/>
        </w:rPr>
        <w:t xml:space="preserve">os </w:t>
      </w:r>
      <w:r>
        <w:rPr>
          <w:rFonts w:ascii="Arial" w:eastAsia="SimSun" w:hAnsi="Arial" w:cs="Tahoma"/>
          <w:sz w:val="24"/>
          <w:szCs w:val="24"/>
        </w:rPr>
        <w:t>problemas identificados.</w:t>
      </w:r>
    </w:p>
    <w:p w:rsidR="00AA6FE4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A6FE4" w:rsidRPr="00824585" w:rsidRDefault="00AA6FE4" w:rsidP="00AA6FE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10 - Implementar </w:t>
      </w:r>
      <w:r w:rsidR="005D58D0" w:rsidRPr="005D58D0">
        <w:rPr>
          <w:rFonts w:ascii="Arial" w:eastAsia="SimSun" w:hAnsi="Arial" w:cs="Tahoma"/>
          <w:sz w:val="24"/>
          <w:szCs w:val="24"/>
        </w:rPr>
        <w:t>propostas de ação selecionadas a partir da análise causal realizada</w:t>
      </w:r>
      <w:r w:rsidR="005D58D0">
        <w:rPr>
          <w:rFonts w:ascii="Arial" w:eastAsia="SimSun" w:hAnsi="Arial" w:cs="Tahoma"/>
          <w:sz w:val="24"/>
          <w:szCs w:val="24"/>
        </w:rPr>
        <w:t>.</w:t>
      </w: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9796044"/>
      <w:bookmarkEnd w:id="21"/>
      <w:r>
        <w:rPr>
          <w:rFonts w:ascii="Arial" w:hAnsi="Arial"/>
          <w:szCs w:val="24"/>
          <w:u w:val="none"/>
        </w:rPr>
        <w:lastRenderedPageBreak/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9796045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042DCF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Os modelos dos documentos para </w:t>
      </w:r>
      <w:r w:rsidRPr="00E3574E">
        <w:rPr>
          <w:rFonts w:ascii="Arial" w:hAnsi="Arial"/>
        </w:rPr>
        <w:t>G</w:t>
      </w:r>
      <w:r w:rsidR="008E7E3D">
        <w:rPr>
          <w:rFonts w:ascii="Arial" w:hAnsi="Arial"/>
        </w:rPr>
        <w:t>erenciamento de Mudanças</w:t>
      </w:r>
      <w:r w:rsidR="00AC36B2">
        <w:rPr>
          <w:rFonts w:ascii="Arial" w:hAnsi="Arial"/>
          <w:sz w:val="24"/>
          <w:szCs w:val="24"/>
        </w:rPr>
        <w:t xml:space="preserve">, 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 xml:space="preserve">estão disponíveis para download no endereço eletrônico </w:t>
      </w:r>
      <w:hyperlink r:id="rId12" w:history="1">
        <w:r w:rsidR="00FC1494"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 w:rsidR="00FC149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 xml:space="preserve"> conforme lista a seguir</w:t>
      </w:r>
      <w:r w:rsidR="00FC1494"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613"/>
        <w:gridCol w:w="7422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5D58D0" w:rsidP="00042DCF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Análise de Problemas</w:t>
            </w:r>
          </w:p>
        </w:tc>
      </w:tr>
      <w:tr w:rsidR="00213718" w:rsidRPr="00306D36" w:rsidTr="008A356E">
        <w:tc>
          <w:tcPr>
            <w:tcW w:w="1613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8CF2176" wp14:editId="4D438AA7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5D58D0" w:rsidP="00EC163F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D58D0">
              <w:rPr>
                <w:rFonts w:ascii="Arial" w:eastAsia="Times New Roman" w:hAnsi="Arial"/>
                <w:sz w:val="16"/>
                <w:szCs w:val="24"/>
              </w:rPr>
              <w:t>Relatório Analise Causal</w:t>
            </w: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5D58D0" w:rsidP="00EC163F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5D58D0">
              <w:rPr>
                <w:rFonts w:ascii="Arial" w:eastAsia="Times New Roman" w:hAnsi="Arial"/>
                <w:sz w:val="24"/>
                <w:szCs w:val="24"/>
              </w:rPr>
              <w:t>Relatório Analise Causal</w:t>
            </w:r>
          </w:p>
        </w:tc>
      </w:tr>
      <w:tr w:rsidR="00213718" w:rsidRPr="00306D36" w:rsidTr="008A356E">
        <w:tc>
          <w:tcPr>
            <w:tcW w:w="1613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042DCF" w:rsidP="005D58D0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Documentar </w:t>
            </w:r>
            <w:r w:rsidR="005D58D0">
              <w:rPr>
                <w:rFonts w:ascii="Arial" w:eastAsia="Times New Roman" w:hAnsi="Arial"/>
                <w:sz w:val="24"/>
                <w:szCs w:val="24"/>
              </w:rPr>
              <w:t>análise causal realizada com um problema</w:t>
            </w:r>
            <w:r>
              <w:rPr>
                <w:rFonts w:ascii="Arial" w:eastAsia="Times New Roman" w:hAnsi="Arial"/>
                <w:sz w:val="24"/>
                <w:szCs w:val="24"/>
              </w:rPr>
              <w:t>.</w:t>
            </w:r>
          </w:p>
        </w:tc>
      </w:tr>
    </w:tbl>
    <w:p w:rsidR="00EA0050" w:rsidRDefault="00EA0050" w:rsidP="00EA0050"/>
    <w:p w:rsidR="001734DF" w:rsidRDefault="001734DF" w:rsidP="00EA0050"/>
    <w:p w:rsidR="001734DF" w:rsidRPr="00DE1508" w:rsidRDefault="001734DF" w:rsidP="001734DF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DE1508">
        <w:rPr>
          <w:rFonts w:ascii="Arial" w:eastAsia="SimSun" w:hAnsi="Arial" w:cs="Arial"/>
          <w:szCs w:val="24"/>
        </w:rPr>
        <w:t xml:space="preserve">4.1.1 </w:t>
      </w:r>
      <w:r w:rsidRPr="00DE1508">
        <w:rPr>
          <w:rFonts w:ascii="Arial" w:hAnsi="Arial" w:cs="Arial"/>
          <w:szCs w:val="24"/>
        </w:rPr>
        <w:t>Relatório Analise Causal</w:t>
      </w:r>
    </w:p>
    <w:p w:rsidR="001734DF" w:rsidRPr="00DE1508" w:rsidRDefault="001734DF" w:rsidP="001734DF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E1508">
        <w:rPr>
          <w:rFonts w:ascii="Arial" w:hAnsi="Arial" w:cs="Arial"/>
          <w:b/>
          <w:bCs/>
        </w:rPr>
        <w:t>Relatório de Análise Causal</w:t>
      </w:r>
    </w:p>
    <w:p w:rsidR="001734DF" w:rsidRPr="00DE1508" w:rsidRDefault="001734DF" w:rsidP="001734DF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</w:p>
    <w:p w:rsidR="001734DF" w:rsidRPr="00DE1508" w:rsidRDefault="001734DF" w:rsidP="001734DF">
      <w:pPr>
        <w:pStyle w:val="Standard"/>
        <w:tabs>
          <w:tab w:val="left" w:pos="381"/>
        </w:tabs>
        <w:rPr>
          <w:rFonts w:ascii="Arial" w:hAnsi="Arial" w:cs="Arial"/>
          <w:bCs/>
        </w:rPr>
      </w:pPr>
    </w:p>
    <w:p w:rsidR="001734DF" w:rsidRPr="00DE1508" w:rsidRDefault="001734DF" w:rsidP="001734DF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1734DF" w:rsidRPr="00DE1508" w:rsidRDefault="001734DF" w:rsidP="001734DF">
      <w:pPr>
        <w:pStyle w:val="Standard"/>
        <w:numPr>
          <w:ilvl w:val="0"/>
          <w:numId w:val="18"/>
        </w:numPr>
        <w:tabs>
          <w:tab w:val="left" w:pos="-1779"/>
        </w:tabs>
        <w:jc w:val="both"/>
        <w:rPr>
          <w:rFonts w:ascii="Arial" w:hAnsi="Arial" w:cs="Arial"/>
          <w:b/>
          <w:bCs/>
          <w:color w:val="000000"/>
        </w:rPr>
      </w:pPr>
      <w:r w:rsidRPr="00DE1508">
        <w:rPr>
          <w:rFonts w:ascii="Arial" w:hAnsi="Arial" w:cs="Arial"/>
          <w:b/>
          <w:bCs/>
          <w:color w:val="000000"/>
        </w:rPr>
        <w:t>Identificação</w:t>
      </w:r>
    </w:p>
    <w:p w:rsidR="001734DF" w:rsidRPr="00DE1508" w:rsidRDefault="001734DF" w:rsidP="001734D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E1508">
        <w:rPr>
          <w:rFonts w:ascii="Arial" w:hAnsi="Arial" w:cs="Arial"/>
          <w:bCs/>
          <w:i/>
          <w:iCs/>
          <w:color w:val="0000FF"/>
        </w:rPr>
        <w:t>&lt;Identificar e descrever o alvo da Análise Causal.</w:t>
      </w:r>
      <w:proofErr w:type="gramStart"/>
      <w:r w:rsidRPr="00DE1508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34DF" w:rsidRPr="00DE1508" w:rsidRDefault="001734DF" w:rsidP="001734DF">
      <w:pPr>
        <w:pStyle w:val="Standard"/>
        <w:tabs>
          <w:tab w:val="left" w:pos="21"/>
        </w:tabs>
        <w:jc w:val="both"/>
        <w:rPr>
          <w:rFonts w:ascii="Arial" w:hAnsi="Arial" w:cs="Arial"/>
          <w:b/>
          <w:bCs/>
          <w:color w:val="000000"/>
        </w:rPr>
      </w:pPr>
    </w:p>
    <w:p w:rsidR="001734DF" w:rsidRPr="00DE1508" w:rsidRDefault="001734DF" w:rsidP="001734DF">
      <w:pPr>
        <w:pStyle w:val="Standard"/>
        <w:numPr>
          <w:ilvl w:val="0"/>
          <w:numId w:val="18"/>
        </w:numPr>
        <w:tabs>
          <w:tab w:val="left" w:pos="-1779"/>
        </w:tabs>
        <w:jc w:val="both"/>
        <w:rPr>
          <w:rFonts w:ascii="Arial" w:hAnsi="Arial" w:cs="Arial"/>
        </w:rPr>
      </w:pPr>
      <w:r w:rsidRPr="00DE1508">
        <w:rPr>
          <w:rFonts w:ascii="Arial" w:hAnsi="Arial" w:cs="Arial"/>
          <w:b/>
          <w:bCs/>
          <w:color w:val="000000"/>
        </w:rPr>
        <w:t xml:space="preserve">Método de </w:t>
      </w:r>
      <w:r w:rsidRPr="00DE1508">
        <w:rPr>
          <w:rFonts w:ascii="Arial" w:hAnsi="Arial" w:cs="Arial"/>
          <w:b/>
          <w:bCs/>
        </w:rPr>
        <w:t>Análise Causal</w:t>
      </w:r>
    </w:p>
    <w:p w:rsidR="001734DF" w:rsidRPr="00DE1508" w:rsidRDefault="001734DF" w:rsidP="001734D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E1508">
        <w:rPr>
          <w:rFonts w:ascii="Arial" w:hAnsi="Arial" w:cs="Arial"/>
          <w:bCs/>
          <w:i/>
          <w:iCs/>
          <w:color w:val="0000FF"/>
        </w:rPr>
        <w:t>&lt;Descrever métodos de Análise Causal usados.</w:t>
      </w:r>
      <w:proofErr w:type="gramStart"/>
      <w:r w:rsidRPr="00DE1508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34DF" w:rsidRPr="00DE1508" w:rsidRDefault="001734DF" w:rsidP="001734D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1734DF" w:rsidRPr="00DE1508" w:rsidRDefault="001734DF" w:rsidP="001734DF">
      <w:pPr>
        <w:pStyle w:val="Standard"/>
        <w:numPr>
          <w:ilvl w:val="0"/>
          <w:numId w:val="18"/>
        </w:numPr>
        <w:tabs>
          <w:tab w:val="left" w:pos="-1779"/>
        </w:tabs>
        <w:jc w:val="both"/>
        <w:rPr>
          <w:rFonts w:ascii="Arial" w:hAnsi="Arial" w:cs="Arial"/>
        </w:rPr>
      </w:pPr>
      <w:r w:rsidRPr="00DE1508">
        <w:rPr>
          <w:rFonts w:ascii="Arial" w:hAnsi="Arial" w:cs="Arial"/>
          <w:b/>
          <w:bCs/>
          <w:color w:val="000000"/>
        </w:rPr>
        <w:t xml:space="preserve">Resultados da </w:t>
      </w:r>
      <w:r w:rsidRPr="00DE1508">
        <w:rPr>
          <w:rFonts w:ascii="Arial" w:hAnsi="Arial" w:cs="Arial"/>
          <w:b/>
          <w:bCs/>
        </w:rPr>
        <w:t>Análise</w:t>
      </w:r>
    </w:p>
    <w:p w:rsidR="001734DF" w:rsidRPr="00DE1508" w:rsidRDefault="001734DF" w:rsidP="001734D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E1508">
        <w:rPr>
          <w:rFonts w:ascii="Arial" w:hAnsi="Arial" w:cs="Arial"/>
          <w:bCs/>
          <w:i/>
          <w:iCs/>
          <w:color w:val="0000FF"/>
        </w:rPr>
        <w:t>&lt;Descrever resultados da Análise Causal.</w:t>
      </w:r>
      <w:proofErr w:type="gramStart"/>
      <w:r w:rsidRPr="00DE1508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34DF" w:rsidRPr="00DE1508" w:rsidRDefault="001734DF" w:rsidP="001734D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1734DF" w:rsidRPr="00DE1508" w:rsidRDefault="001734DF" w:rsidP="001734D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</w:p>
    <w:p w:rsidR="001734DF" w:rsidRPr="00DE1508" w:rsidRDefault="001734DF" w:rsidP="001734D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</w:p>
    <w:p w:rsidR="001734DF" w:rsidRPr="00DE1508" w:rsidRDefault="001734DF" w:rsidP="001734D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DE1508">
        <w:rPr>
          <w:rFonts w:ascii="Arial" w:hAnsi="Arial" w:cs="Arial"/>
          <w:sz w:val="24"/>
          <w:szCs w:val="24"/>
        </w:rPr>
        <w:t>de</w:t>
      </w:r>
      <w:proofErr w:type="spellEnd"/>
      <w:r w:rsidRPr="00DE1508">
        <w:rPr>
          <w:rFonts w:ascii="Arial" w:hAnsi="Arial" w:cs="Arial"/>
          <w:sz w:val="24"/>
          <w:szCs w:val="24"/>
        </w:rPr>
        <w:t xml:space="preserve"> _____.</w:t>
      </w:r>
    </w:p>
    <w:p w:rsidR="001734DF" w:rsidRPr="00DE1508" w:rsidRDefault="001734DF" w:rsidP="001734DF">
      <w:pPr>
        <w:pStyle w:val="Standard"/>
        <w:ind w:left="4254"/>
        <w:jc w:val="center"/>
        <w:rPr>
          <w:rFonts w:ascii="Arial" w:hAnsi="Arial" w:cs="Arial"/>
        </w:rPr>
      </w:pPr>
      <w:r w:rsidRPr="00DE1508">
        <w:rPr>
          <w:rFonts w:ascii="Arial" w:hAnsi="Arial" w:cs="Arial"/>
        </w:rPr>
        <w:softHyphen/>
      </w:r>
      <w:r w:rsidRPr="00DE1508">
        <w:rPr>
          <w:rFonts w:ascii="Arial" w:hAnsi="Arial" w:cs="Arial"/>
        </w:rPr>
        <w:softHyphen/>
      </w:r>
      <w:r w:rsidRPr="00DE1508">
        <w:rPr>
          <w:rFonts w:ascii="Arial" w:hAnsi="Arial" w:cs="Arial"/>
        </w:rPr>
        <w:softHyphen/>
      </w:r>
      <w:r w:rsidRPr="00DE1508">
        <w:rPr>
          <w:rFonts w:ascii="Arial" w:hAnsi="Arial" w:cs="Arial"/>
        </w:rPr>
        <w:softHyphen/>
      </w:r>
      <w:r w:rsidRPr="00DE1508">
        <w:rPr>
          <w:rFonts w:ascii="Arial" w:hAnsi="Arial" w:cs="Arial"/>
          <w:color w:val="0000FF"/>
        </w:rPr>
        <w:t>&lt;nome completo do responsável &gt;</w:t>
      </w:r>
    </w:p>
    <w:p w:rsidR="001734DF" w:rsidRPr="00DE1508" w:rsidRDefault="001734DF" w:rsidP="001734DF">
      <w:pPr>
        <w:pStyle w:val="Standard"/>
        <w:spacing w:after="120"/>
        <w:ind w:left="3545" w:firstLine="709"/>
        <w:jc w:val="center"/>
        <w:rPr>
          <w:rFonts w:ascii="Arial" w:hAnsi="Arial" w:cs="Arial"/>
          <w:color w:val="0000FF"/>
        </w:rPr>
      </w:pPr>
      <w:r w:rsidRPr="00DE1508">
        <w:rPr>
          <w:rFonts w:ascii="Arial" w:hAnsi="Arial" w:cs="Arial"/>
          <w:color w:val="0000FF"/>
        </w:rPr>
        <w:t>&lt;Cargo&gt;</w:t>
      </w:r>
    </w:p>
    <w:p w:rsidR="001734DF" w:rsidRPr="00DE1508" w:rsidRDefault="001734DF" w:rsidP="001734DF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DE1508">
        <w:rPr>
          <w:rFonts w:ascii="Arial" w:hAnsi="Arial" w:cs="Arial"/>
          <w:b/>
          <w:sz w:val="24"/>
          <w:szCs w:val="24"/>
        </w:rPr>
        <w:t>Observações:</w:t>
      </w:r>
    </w:p>
    <w:p w:rsidR="001734DF" w:rsidRPr="00DE1508" w:rsidRDefault="001734DF" w:rsidP="001734DF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sz w:val="24"/>
          <w:szCs w:val="24"/>
        </w:rPr>
        <w:t xml:space="preserve">A Análise Causal, ou Análise de Causa Raiz, também conhecida como RCA (Root Cause </w:t>
      </w:r>
      <w:proofErr w:type="spellStart"/>
      <w:r w:rsidRPr="00DE1508">
        <w:rPr>
          <w:rFonts w:ascii="Arial" w:hAnsi="Arial" w:cs="Arial"/>
          <w:sz w:val="24"/>
          <w:szCs w:val="24"/>
        </w:rPr>
        <w:t>Analysis</w:t>
      </w:r>
      <w:proofErr w:type="spellEnd"/>
      <w:r w:rsidRPr="00DE1508">
        <w:rPr>
          <w:rFonts w:ascii="Arial" w:hAnsi="Arial" w:cs="Arial"/>
          <w:sz w:val="24"/>
          <w:szCs w:val="24"/>
        </w:rPr>
        <w:t>) é uma maneira de identificar as causas de um problema, afinal os problemas são melhores resolvidos ao tentar corrigir ou eliminar as suas causas.</w:t>
      </w:r>
    </w:p>
    <w:p w:rsidR="001734DF" w:rsidRPr="00DE1508" w:rsidRDefault="001734DF" w:rsidP="001734DF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sz w:val="24"/>
          <w:szCs w:val="24"/>
        </w:rPr>
        <w:lastRenderedPageBreak/>
        <w:t xml:space="preserve">Ela é uma técnica usada nas mais variadas áreas. Uma das formas de </w:t>
      </w:r>
      <w:proofErr w:type="gramStart"/>
      <w:r w:rsidRPr="00DE1508">
        <w:rPr>
          <w:rFonts w:ascii="Arial" w:hAnsi="Arial" w:cs="Arial"/>
          <w:sz w:val="24"/>
          <w:szCs w:val="24"/>
        </w:rPr>
        <w:t>implementar</w:t>
      </w:r>
      <w:proofErr w:type="gramEnd"/>
      <w:r w:rsidRPr="00DE1508">
        <w:rPr>
          <w:rFonts w:ascii="Arial" w:hAnsi="Arial" w:cs="Arial"/>
          <w:sz w:val="24"/>
          <w:szCs w:val="24"/>
        </w:rPr>
        <w:t>: o famoso diagrama de Ishikawa, conhecido também como “Diagrama de Causa e Efeito” ou “Espinha-de-peixe” (</w:t>
      </w:r>
      <w:proofErr w:type="spellStart"/>
      <w:r w:rsidRPr="00DE1508">
        <w:rPr>
          <w:rFonts w:ascii="Arial" w:hAnsi="Arial" w:cs="Arial"/>
          <w:sz w:val="24"/>
          <w:szCs w:val="24"/>
        </w:rPr>
        <w:t>fishbone</w:t>
      </w:r>
      <w:proofErr w:type="spellEnd"/>
      <w:r w:rsidRPr="00DE1508">
        <w:rPr>
          <w:rFonts w:ascii="Arial" w:hAnsi="Arial" w:cs="Arial"/>
          <w:sz w:val="24"/>
          <w:szCs w:val="24"/>
        </w:rPr>
        <w:t>).</w:t>
      </w:r>
    </w:p>
    <w:p w:rsidR="001734DF" w:rsidRPr="00DE1508" w:rsidRDefault="001734DF" w:rsidP="001734DF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sz w:val="24"/>
          <w:szCs w:val="24"/>
        </w:rPr>
        <w:t xml:space="preserve">Há muitas técnicas, com as quais podemos </w:t>
      </w:r>
      <w:proofErr w:type="gramStart"/>
      <w:r w:rsidRPr="00DE1508">
        <w:rPr>
          <w:rFonts w:ascii="Arial" w:hAnsi="Arial" w:cs="Arial"/>
          <w:sz w:val="24"/>
          <w:szCs w:val="24"/>
        </w:rPr>
        <w:t>implementar</w:t>
      </w:r>
      <w:proofErr w:type="gramEnd"/>
      <w:r w:rsidRPr="00DE1508">
        <w:rPr>
          <w:rFonts w:ascii="Arial" w:hAnsi="Arial" w:cs="Arial"/>
          <w:sz w:val="24"/>
          <w:szCs w:val="24"/>
        </w:rPr>
        <w:t xml:space="preserve"> a Análise de Causa Raiz, entre as principais se encontram:</w:t>
      </w:r>
    </w:p>
    <w:p w:rsidR="001734DF" w:rsidRPr="00DE1508" w:rsidRDefault="001734DF" w:rsidP="001734DF">
      <w:pPr>
        <w:pStyle w:val="PargrafodaLista"/>
        <w:widowControl w:val="0"/>
        <w:numPr>
          <w:ilvl w:val="0"/>
          <w:numId w:val="19"/>
        </w:numPr>
        <w:autoSpaceDN w:val="0"/>
        <w:spacing w:before="0" w:after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b/>
          <w:sz w:val="24"/>
          <w:szCs w:val="24"/>
        </w:rPr>
        <w:t>Diagrama de Causa e Efeito</w:t>
      </w:r>
      <w:r w:rsidRPr="00DE1508">
        <w:rPr>
          <w:rFonts w:ascii="Arial" w:hAnsi="Arial" w:cs="Arial"/>
          <w:sz w:val="24"/>
          <w:szCs w:val="24"/>
        </w:rPr>
        <w:t>: permite identificar, explorar e apresentar graficamente todas as possíveis causas, relacionadas a um único problema. Utilizando em equipe, criamos uma “foto” do conhecimento e consenso de todos os envolvidos, a respeito do problema.</w:t>
      </w:r>
    </w:p>
    <w:p w:rsidR="001734DF" w:rsidRPr="00DE1508" w:rsidRDefault="001734DF" w:rsidP="001734DF">
      <w:pPr>
        <w:pStyle w:val="PargrafodaLista"/>
        <w:widowControl w:val="0"/>
        <w:numPr>
          <w:ilvl w:val="0"/>
          <w:numId w:val="19"/>
        </w:numPr>
        <w:autoSpaceDN w:val="0"/>
        <w:spacing w:before="0" w:after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b/>
          <w:sz w:val="24"/>
          <w:szCs w:val="24"/>
        </w:rPr>
        <w:t>Cinco Porquês</w:t>
      </w:r>
      <w:r w:rsidRPr="00DE1508">
        <w:rPr>
          <w:rFonts w:ascii="Arial" w:hAnsi="Arial" w:cs="Arial"/>
          <w:sz w:val="24"/>
          <w:szCs w:val="24"/>
        </w:rPr>
        <w:t xml:space="preserve">: desenvolvida por </w:t>
      </w:r>
      <w:proofErr w:type="spellStart"/>
      <w:r w:rsidRPr="00DE1508">
        <w:rPr>
          <w:rFonts w:ascii="Arial" w:hAnsi="Arial" w:cs="Arial"/>
          <w:sz w:val="24"/>
          <w:szCs w:val="24"/>
        </w:rPr>
        <w:t>Sakichi</w:t>
      </w:r>
      <w:proofErr w:type="spellEnd"/>
      <w:r w:rsidRPr="00DE15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08">
        <w:rPr>
          <w:rFonts w:ascii="Arial" w:hAnsi="Arial" w:cs="Arial"/>
          <w:sz w:val="24"/>
          <w:szCs w:val="24"/>
        </w:rPr>
        <w:t>Toyoda</w:t>
      </w:r>
      <w:proofErr w:type="spellEnd"/>
      <w:r w:rsidRPr="00DE1508">
        <w:rPr>
          <w:rFonts w:ascii="Arial" w:hAnsi="Arial" w:cs="Arial"/>
          <w:sz w:val="24"/>
          <w:szCs w:val="24"/>
        </w:rPr>
        <w:t xml:space="preserve"> (fundador da Toyota), é baseada na realização de </w:t>
      </w:r>
      <w:proofErr w:type="gramStart"/>
      <w:r w:rsidRPr="00DE1508">
        <w:rPr>
          <w:rFonts w:ascii="Arial" w:hAnsi="Arial" w:cs="Arial"/>
          <w:sz w:val="24"/>
          <w:szCs w:val="24"/>
        </w:rPr>
        <w:t>5</w:t>
      </w:r>
      <w:proofErr w:type="gramEnd"/>
      <w:r w:rsidRPr="00DE1508">
        <w:rPr>
          <w:rFonts w:ascii="Arial" w:hAnsi="Arial" w:cs="Arial"/>
          <w:sz w:val="24"/>
          <w:szCs w:val="24"/>
        </w:rPr>
        <w:t xml:space="preserve"> iterações perguntando o porquê daquele problema, sempre questionando a causa anterior. E na prática não é necessário fazer </w:t>
      </w:r>
      <w:proofErr w:type="gramStart"/>
      <w:r w:rsidRPr="00DE1508">
        <w:rPr>
          <w:rFonts w:ascii="Arial" w:hAnsi="Arial" w:cs="Arial"/>
          <w:sz w:val="24"/>
          <w:szCs w:val="24"/>
        </w:rPr>
        <w:t>5</w:t>
      </w:r>
      <w:proofErr w:type="gramEnd"/>
      <w:r w:rsidRPr="00DE1508">
        <w:rPr>
          <w:rFonts w:ascii="Arial" w:hAnsi="Arial" w:cs="Arial"/>
          <w:sz w:val="24"/>
          <w:szCs w:val="24"/>
        </w:rPr>
        <w:t xml:space="preserve"> perguntas, pode ser mais ou menos, o importante é chegar à causa do problema.</w:t>
      </w:r>
    </w:p>
    <w:p w:rsidR="001734DF" w:rsidRPr="00DE1508" w:rsidRDefault="001734DF" w:rsidP="001734DF">
      <w:pPr>
        <w:pStyle w:val="PargrafodaLista"/>
        <w:widowControl w:val="0"/>
        <w:numPr>
          <w:ilvl w:val="0"/>
          <w:numId w:val="19"/>
        </w:numPr>
        <w:autoSpaceDN w:val="0"/>
        <w:spacing w:before="0" w:after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b/>
          <w:sz w:val="24"/>
          <w:szCs w:val="24"/>
        </w:rPr>
        <w:t>Reunião de Análise Causal</w:t>
      </w:r>
      <w:r w:rsidRPr="00DE1508">
        <w:rPr>
          <w:rFonts w:ascii="Arial" w:hAnsi="Arial" w:cs="Arial"/>
          <w:sz w:val="24"/>
          <w:szCs w:val="24"/>
        </w:rPr>
        <w:t>: as causas do problema são levantadas em reuniões do tipo “Brainstorming”. As causas mais prováveis podem ser discutidas entre a equipe, e após descobrir as causas dos problemas, os participantes podem propor ações que ajudem na prevenção desses problemas no futuro.</w:t>
      </w:r>
    </w:p>
    <w:p w:rsidR="001734DF" w:rsidRPr="00DE1508" w:rsidRDefault="001734DF" w:rsidP="001734DF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E1508">
        <w:rPr>
          <w:rFonts w:ascii="Arial" w:hAnsi="Arial" w:cs="Arial"/>
          <w:sz w:val="24"/>
          <w:szCs w:val="24"/>
        </w:rPr>
        <w:t>É possível e até recomendado que se use mais de uma técnica ao mesmo tempo, por exemplo: na reunião de Análise Causal utilizar o Diagrama de Causa e Efeito</w:t>
      </w:r>
      <w:r w:rsidRPr="00DE1508">
        <w:rPr>
          <w:rFonts w:ascii="Arial" w:hAnsi="Arial" w:cs="Arial"/>
          <w:b/>
          <w:sz w:val="24"/>
          <w:szCs w:val="24"/>
        </w:rPr>
        <w:t>.</w:t>
      </w:r>
    </w:p>
    <w:p w:rsidR="001734DF" w:rsidRPr="001734DF" w:rsidRDefault="001734DF" w:rsidP="001734DF">
      <w:pPr>
        <w:rPr>
          <w:rFonts w:eastAsia="SimSun"/>
        </w:rPr>
      </w:pPr>
    </w:p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6" w:name="_Toc508656427"/>
      <w:bookmarkStart w:id="27" w:name="_Toc509796046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6"/>
      <w:bookmarkEnd w:id="27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8" w:name="_Toc508302056"/>
      <w:bookmarkStart w:id="29" w:name="_Toc508648603"/>
      <w:bookmarkStart w:id="30" w:name="_Toc509796047"/>
      <w:r>
        <w:rPr>
          <w:rFonts w:ascii="Arial" w:eastAsia="SimSun" w:hAnsi="Arial" w:cs="Tahoma"/>
          <w:szCs w:val="24"/>
        </w:rPr>
        <w:t>5.1. Documentos</w:t>
      </w:r>
      <w:bookmarkEnd w:id="28"/>
      <w:bookmarkEnd w:id="29"/>
      <w:bookmarkEnd w:id="30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Style w:val="Forte"/>
          <w:rFonts w:ascii="Arial" w:hAnsi="Arial"/>
          <w:sz w:val="24"/>
          <w:szCs w:val="24"/>
        </w:rPr>
        <w:t>Guia de Comitê de TIC do SISP (versão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  </w:t>
      </w:r>
      <w:r w:rsidRPr="00371405">
        <w:rPr>
          <w:rFonts w:ascii="Arial" w:hAnsi="Arial"/>
          <w:b w:val="0"/>
          <w:bCs w:val="0"/>
          <w:sz w:val="24"/>
          <w:szCs w:val="24"/>
        </w:rPr>
        <w:t xml:space="preserve">Guia de Governança de Tecnologia da Informação e Comunicação (GovTIC)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14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31" w:rsidRDefault="00686531">
      <w:pPr>
        <w:spacing w:before="0" w:after="0"/>
      </w:pPr>
      <w:r>
        <w:separator/>
      </w:r>
    </w:p>
  </w:endnote>
  <w:endnote w:type="continuationSeparator" w:id="0">
    <w:p w:rsidR="00686531" w:rsidRDefault="006865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7238AF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8E2ADB">
      <w:rPr>
        <w:rFonts w:cs="Arial"/>
        <w:noProof/>
      </w:rPr>
      <w:t>8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31" w:rsidRDefault="00686531">
      <w:pPr>
        <w:spacing w:before="0" w:after="0"/>
      </w:pPr>
      <w:r>
        <w:separator/>
      </w:r>
    </w:p>
  </w:footnote>
  <w:footnote w:type="continuationSeparator" w:id="0">
    <w:p w:rsidR="00686531" w:rsidRDefault="006865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C0675E"/>
    <w:multiLevelType w:val="multilevel"/>
    <w:tmpl w:val="ADDC7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BB865D2"/>
    <w:multiLevelType w:val="multilevel"/>
    <w:tmpl w:val="105600F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13"/>
  </w:num>
  <w:num w:numId="1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5"/>
    <w:rsid w:val="00036EB5"/>
    <w:rsid w:val="00042DCF"/>
    <w:rsid w:val="000475C9"/>
    <w:rsid w:val="00047BFC"/>
    <w:rsid w:val="0005094A"/>
    <w:rsid w:val="00061786"/>
    <w:rsid w:val="00063454"/>
    <w:rsid w:val="0007180C"/>
    <w:rsid w:val="000773C3"/>
    <w:rsid w:val="000940D1"/>
    <w:rsid w:val="000B010A"/>
    <w:rsid w:val="000B51AB"/>
    <w:rsid w:val="000C5F24"/>
    <w:rsid w:val="000C6500"/>
    <w:rsid w:val="000D284F"/>
    <w:rsid w:val="000E2E07"/>
    <w:rsid w:val="000F1707"/>
    <w:rsid w:val="000F19B6"/>
    <w:rsid w:val="000F66A7"/>
    <w:rsid w:val="00104067"/>
    <w:rsid w:val="00106B59"/>
    <w:rsid w:val="0011345D"/>
    <w:rsid w:val="00121699"/>
    <w:rsid w:val="00127CE5"/>
    <w:rsid w:val="00145F8F"/>
    <w:rsid w:val="00154C33"/>
    <w:rsid w:val="001637DA"/>
    <w:rsid w:val="00167C7A"/>
    <w:rsid w:val="00172FD9"/>
    <w:rsid w:val="001734DF"/>
    <w:rsid w:val="00174F49"/>
    <w:rsid w:val="001755CE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C3D62"/>
    <w:rsid w:val="001C4B64"/>
    <w:rsid w:val="001C5314"/>
    <w:rsid w:val="001D0FFB"/>
    <w:rsid w:val="001D13D7"/>
    <w:rsid w:val="001D726D"/>
    <w:rsid w:val="001F3582"/>
    <w:rsid w:val="001F5F7A"/>
    <w:rsid w:val="001F68ED"/>
    <w:rsid w:val="002018B5"/>
    <w:rsid w:val="00213718"/>
    <w:rsid w:val="002166E2"/>
    <w:rsid w:val="00217114"/>
    <w:rsid w:val="00220B7E"/>
    <w:rsid w:val="002231B9"/>
    <w:rsid w:val="002233E1"/>
    <w:rsid w:val="0022683A"/>
    <w:rsid w:val="00226965"/>
    <w:rsid w:val="00231DBE"/>
    <w:rsid w:val="0024460F"/>
    <w:rsid w:val="002514E1"/>
    <w:rsid w:val="00254A32"/>
    <w:rsid w:val="00256E6F"/>
    <w:rsid w:val="00262AA0"/>
    <w:rsid w:val="00264786"/>
    <w:rsid w:val="0026506B"/>
    <w:rsid w:val="00265C4E"/>
    <w:rsid w:val="00274D55"/>
    <w:rsid w:val="0029115B"/>
    <w:rsid w:val="00294778"/>
    <w:rsid w:val="0029564A"/>
    <w:rsid w:val="002A63CE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E7B31"/>
    <w:rsid w:val="002F08E3"/>
    <w:rsid w:val="002F2DC3"/>
    <w:rsid w:val="00300CF4"/>
    <w:rsid w:val="00310031"/>
    <w:rsid w:val="00311A20"/>
    <w:rsid w:val="00311BE1"/>
    <w:rsid w:val="003124F8"/>
    <w:rsid w:val="00313505"/>
    <w:rsid w:val="003215F0"/>
    <w:rsid w:val="00330366"/>
    <w:rsid w:val="0033367E"/>
    <w:rsid w:val="003351E2"/>
    <w:rsid w:val="00340B7B"/>
    <w:rsid w:val="00345ADD"/>
    <w:rsid w:val="0035144E"/>
    <w:rsid w:val="0035536F"/>
    <w:rsid w:val="00362E36"/>
    <w:rsid w:val="003702CF"/>
    <w:rsid w:val="003713A3"/>
    <w:rsid w:val="00371405"/>
    <w:rsid w:val="0037173B"/>
    <w:rsid w:val="00375FE1"/>
    <w:rsid w:val="00380A9C"/>
    <w:rsid w:val="00390C13"/>
    <w:rsid w:val="003948AD"/>
    <w:rsid w:val="00397813"/>
    <w:rsid w:val="003A1AFD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43222"/>
    <w:rsid w:val="0045271F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783A"/>
    <w:rsid w:val="004A63A6"/>
    <w:rsid w:val="004B047A"/>
    <w:rsid w:val="004B48A0"/>
    <w:rsid w:val="004C0B8F"/>
    <w:rsid w:val="004C2009"/>
    <w:rsid w:val="004C42C1"/>
    <w:rsid w:val="004C4A65"/>
    <w:rsid w:val="004C71BD"/>
    <w:rsid w:val="004C7583"/>
    <w:rsid w:val="004C7984"/>
    <w:rsid w:val="004D15DD"/>
    <w:rsid w:val="004D2ECA"/>
    <w:rsid w:val="004D3A8C"/>
    <w:rsid w:val="004D47D8"/>
    <w:rsid w:val="004E35AC"/>
    <w:rsid w:val="004E4372"/>
    <w:rsid w:val="004F3B7B"/>
    <w:rsid w:val="0050270F"/>
    <w:rsid w:val="005059C9"/>
    <w:rsid w:val="00526F67"/>
    <w:rsid w:val="00535106"/>
    <w:rsid w:val="0053662E"/>
    <w:rsid w:val="00537572"/>
    <w:rsid w:val="0054271F"/>
    <w:rsid w:val="00545202"/>
    <w:rsid w:val="00555861"/>
    <w:rsid w:val="00557008"/>
    <w:rsid w:val="00557316"/>
    <w:rsid w:val="00572AA7"/>
    <w:rsid w:val="00581CF0"/>
    <w:rsid w:val="005842E1"/>
    <w:rsid w:val="005872D0"/>
    <w:rsid w:val="0059040E"/>
    <w:rsid w:val="00590ED7"/>
    <w:rsid w:val="005935A6"/>
    <w:rsid w:val="00594B27"/>
    <w:rsid w:val="00595A59"/>
    <w:rsid w:val="005A0F4E"/>
    <w:rsid w:val="005A4909"/>
    <w:rsid w:val="005A502F"/>
    <w:rsid w:val="005A6A69"/>
    <w:rsid w:val="005B5F2C"/>
    <w:rsid w:val="005C194C"/>
    <w:rsid w:val="005D4208"/>
    <w:rsid w:val="005D4D93"/>
    <w:rsid w:val="005D58D0"/>
    <w:rsid w:val="005E5046"/>
    <w:rsid w:val="005F5F84"/>
    <w:rsid w:val="0060678C"/>
    <w:rsid w:val="00615CC5"/>
    <w:rsid w:val="00615F1C"/>
    <w:rsid w:val="006171B2"/>
    <w:rsid w:val="0061797E"/>
    <w:rsid w:val="00640A35"/>
    <w:rsid w:val="00642302"/>
    <w:rsid w:val="006443D1"/>
    <w:rsid w:val="006505E2"/>
    <w:rsid w:val="00654DE6"/>
    <w:rsid w:val="00666144"/>
    <w:rsid w:val="00672AF2"/>
    <w:rsid w:val="00686531"/>
    <w:rsid w:val="00697E5E"/>
    <w:rsid w:val="006A416F"/>
    <w:rsid w:val="006A4172"/>
    <w:rsid w:val="006C0EB3"/>
    <w:rsid w:val="006D00FA"/>
    <w:rsid w:val="006D1723"/>
    <w:rsid w:val="006E1A20"/>
    <w:rsid w:val="006F2267"/>
    <w:rsid w:val="006F233B"/>
    <w:rsid w:val="007002D8"/>
    <w:rsid w:val="0070625F"/>
    <w:rsid w:val="00710770"/>
    <w:rsid w:val="0071082A"/>
    <w:rsid w:val="00710B5C"/>
    <w:rsid w:val="00713BF8"/>
    <w:rsid w:val="00716410"/>
    <w:rsid w:val="007238AF"/>
    <w:rsid w:val="007243A5"/>
    <w:rsid w:val="00741AA8"/>
    <w:rsid w:val="0074322A"/>
    <w:rsid w:val="00762359"/>
    <w:rsid w:val="0077059C"/>
    <w:rsid w:val="007714CE"/>
    <w:rsid w:val="00772F7D"/>
    <w:rsid w:val="00775D5D"/>
    <w:rsid w:val="007926D4"/>
    <w:rsid w:val="00794157"/>
    <w:rsid w:val="007C060B"/>
    <w:rsid w:val="007C1672"/>
    <w:rsid w:val="007C7DAB"/>
    <w:rsid w:val="007D0379"/>
    <w:rsid w:val="007E70FE"/>
    <w:rsid w:val="007F51EF"/>
    <w:rsid w:val="00810406"/>
    <w:rsid w:val="00823657"/>
    <w:rsid w:val="00824585"/>
    <w:rsid w:val="00830985"/>
    <w:rsid w:val="00842821"/>
    <w:rsid w:val="00845770"/>
    <w:rsid w:val="00856732"/>
    <w:rsid w:val="00860DF8"/>
    <w:rsid w:val="00867BBE"/>
    <w:rsid w:val="008730EB"/>
    <w:rsid w:val="00896970"/>
    <w:rsid w:val="008A356E"/>
    <w:rsid w:val="008A549C"/>
    <w:rsid w:val="008C5232"/>
    <w:rsid w:val="008C6200"/>
    <w:rsid w:val="008D5FE2"/>
    <w:rsid w:val="008E0C59"/>
    <w:rsid w:val="008E1508"/>
    <w:rsid w:val="008E2ADB"/>
    <w:rsid w:val="008E7E3D"/>
    <w:rsid w:val="008F2185"/>
    <w:rsid w:val="00900BC1"/>
    <w:rsid w:val="00902C7F"/>
    <w:rsid w:val="00905D03"/>
    <w:rsid w:val="0091239A"/>
    <w:rsid w:val="009163E5"/>
    <w:rsid w:val="00916CE5"/>
    <w:rsid w:val="00925F3C"/>
    <w:rsid w:val="0093685E"/>
    <w:rsid w:val="00940623"/>
    <w:rsid w:val="00956AE6"/>
    <w:rsid w:val="009624F0"/>
    <w:rsid w:val="00964E3B"/>
    <w:rsid w:val="00965142"/>
    <w:rsid w:val="00970800"/>
    <w:rsid w:val="00972570"/>
    <w:rsid w:val="0097681E"/>
    <w:rsid w:val="00983ED5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E549E"/>
    <w:rsid w:val="009F3C3A"/>
    <w:rsid w:val="00A0029B"/>
    <w:rsid w:val="00A04EE5"/>
    <w:rsid w:val="00A06B8D"/>
    <w:rsid w:val="00A15F91"/>
    <w:rsid w:val="00A17708"/>
    <w:rsid w:val="00A2402F"/>
    <w:rsid w:val="00A255EF"/>
    <w:rsid w:val="00A3091C"/>
    <w:rsid w:val="00A35E67"/>
    <w:rsid w:val="00A371AF"/>
    <w:rsid w:val="00A40AD1"/>
    <w:rsid w:val="00A40D19"/>
    <w:rsid w:val="00A430FE"/>
    <w:rsid w:val="00A44B75"/>
    <w:rsid w:val="00A60037"/>
    <w:rsid w:val="00A63744"/>
    <w:rsid w:val="00A64482"/>
    <w:rsid w:val="00A76AB6"/>
    <w:rsid w:val="00A82B2D"/>
    <w:rsid w:val="00A848D3"/>
    <w:rsid w:val="00A91E9E"/>
    <w:rsid w:val="00A9246C"/>
    <w:rsid w:val="00AA23D1"/>
    <w:rsid w:val="00AA6FE4"/>
    <w:rsid w:val="00AB08C1"/>
    <w:rsid w:val="00AC089B"/>
    <w:rsid w:val="00AC2D79"/>
    <w:rsid w:val="00AC36B2"/>
    <w:rsid w:val="00AC7EC7"/>
    <w:rsid w:val="00AD18E3"/>
    <w:rsid w:val="00AD4827"/>
    <w:rsid w:val="00AF11C3"/>
    <w:rsid w:val="00AF6071"/>
    <w:rsid w:val="00B00653"/>
    <w:rsid w:val="00B00CC7"/>
    <w:rsid w:val="00B06738"/>
    <w:rsid w:val="00B15506"/>
    <w:rsid w:val="00B159FA"/>
    <w:rsid w:val="00B34002"/>
    <w:rsid w:val="00B34A24"/>
    <w:rsid w:val="00B37257"/>
    <w:rsid w:val="00B374F4"/>
    <w:rsid w:val="00B408DF"/>
    <w:rsid w:val="00B4332E"/>
    <w:rsid w:val="00B463C8"/>
    <w:rsid w:val="00B61629"/>
    <w:rsid w:val="00B63761"/>
    <w:rsid w:val="00B81FF0"/>
    <w:rsid w:val="00B875A9"/>
    <w:rsid w:val="00B912BE"/>
    <w:rsid w:val="00B9292D"/>
    <w:rsid w:val="00BA0CCE"/>
    <w:rsid w:val="00BA222A"/>
    <w:rsid w:val="00BA279F"/>
    <w:rsid w:val="00BB1ADD"/>
    <w:rsid w:val="00BB2E8C"/>
    <w:rsid w:val="00BB6409"/>
    <w:rsid w:val="00BC1C17"/>
    <w:rsid w:val="00BC2692"/>
    <w:rsid w:val="00BC2E49"/>
    <w:rsid w:val="00BC41DB"/>
    <w:rsid w:val="00BD1472"/>
    <w:rsid w:val="00BE006B"/>
    <w:rsid w:val="00BF4905"/>
    <w:rsid w:val="00BF5A32"/>
    <w:rsid w:val="00C00E26"/>
    <w:rsid w:val="00C05D1A"/>
    <w:rsid w:val="00C075D9"/>
    <w:rsid w:val="00C21849"/>
    <w:rsid w:val="00C23D4A"/>
    <w:rsid w:val="00C3349A"/>
    <w:rsid w:val="00C41A47"/>
    <w:rsid w:val="00C4750F"/>
    <w:rsid w:val="00C47E8C"/>
    <w:rsid w:val="00C62C35"/>
    <w:rsid w:val="00C6534F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D3079"/>
    <w:rsid w:val="00CD6183"/>
    <w:rsid w:val="00CE168A"/>
    <w:rsid w:val="00D02DBA"/>
    <w:rsid w:val="00D23648"/>
    <w:rsid w:val="00D31314"/>
    <w:rsid w:val="00D35E3A"/>
    <w:rsid w:val="00D4014D"/>
    <w:rsid w:val="00D4107F"/>
    <w:rsid w:val="00D51CB1"/>
    <w:rsid w:val="00D63084"/>
    <w:rsid w:val="00D65A61"/>
    <w:rsid w:val="00D67EED"/>
    <w:rsid w:val="00D67FB1"/>
    <w:rsid w:val="00D7325E"/>
    <w:rsid w:val="00D808DC"/>
    <w:rsid w:val="00D85885"/>
    <w:rsid w:val="00D879AA"/>
    <w:rsid w:val="00D91A16"/>
    <w:rsid w:val="00D96DD0"/>
    <w:rsid w:val="00D97B00"/>
    <w:rsid w:val="00DC5888"/>
    <w:rsid w:val="00DD3F47"/>
    <w:rsid w:val="00DE1508"/>
    <w:rsid w:val="00DE5AC3"/>
    <w:rsid w:val="00DE7351"/>
    <w:rsid w:val="00E063D1"/>
    <w:rsid w:val="00E10442"/>
    <w:rsid w:val="00E17502"/>
    <w:rsid w:val="00E3574E"/>
    <w:rsid w:val="00E3700B"/>
    <w:rsid w:val="00E41F3B"/>
    <w:rsid w:val="00E42029"/>
    <w:rsid w:val="00E47D7E"/>
    <w:rsid w:val="00E609F1"/>
    <w:rsid w:val="00E61AB6"/>
    <w:rsid w:val="00E73F6E"/>
    <w:rsid w:val="00E74995"/>
    <w:rsid w:val="00E969FF"/>
    <w:rsid w:val="00EA0050"/>
    <w:rsid w:val="00EA3AF9"/>
    <w:rsid w:val="00EB5150"/>
    <w:rsid w:val="00EB5609"/>
    <w:rsid w:val="00EC163F"/>
    <w:rsid w:val="00ED35E4"/>
    <w:rsid w:val="00ED412A"/>
    <w:rsid w:val="00ED4B27"/>
    <w:rsid w:val="00EE0603"/>
    <w:rsid w:val="00EF6591"/>
    <w:rsid w:val="00F02BEB"/>
    <w:rsid w:val="00F14239"/>
    <w:rsid w:val="00F142FA"/>
    <w:rsid w:val="00F21DA3"/>
    <w:rsid w:val="00F31F54"/>
    <w:rsid w:val="00F36CC3"/>
    <w:rsid w:val="00F50447"/>
    <w:rsid w:val="00F518D6"/>
    <w:rsid w:val="00F6092A"/>
    <w:rsid w:val="00F63321"/>
    <w:rsid w:val="00F827A2"/>
    <w:rsid w:val="00F85CE6"/>
    <w:rsid w:val="00F86B2F"/>
    <w:rsid w:val="00F9297F"/>
    <w:rsid w:val="00FA04C0"/>
    <w:rsid w:val="00FA313D"/>
    <w:rsid w:val="00FA447E"/>
    <w:rsid w:val="00FB7AA3"/>
    <w:rsid w:val="00FC1494"/>
    <w:rsid w:val="00FC37E3"/>
    <w:rsid w:val="00FC43CD"/>
    <w:rsid w:val="00FC51C3"/>
    <w:rsid w:val="00FD331C"/>
    <w:rsid w:val="00FE5056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1734D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1734D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5A5A-2DAD-4CDF-A640-40C4C220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1405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16</cp:revision>
  <cp:lastPrinted>2018-03-06T17:58:00Z</cp:lastPrinted>
  <dcterms:created xsi:type="dcterms:W3CDTF">2018-03-26T04:31:00Z</dcterms:created>
  <dcterms:modified xsi:type="dcterms:W3CDTF">2018-06-21T14:54:00Z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