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F" w:rsidRDefault="000D216F">
      <w:pPr>
        <w:rPr>
          <w:b/>
        </w:rPr>
      </w:pPr>
    </w:p>
    <w:p w:rsidR="000D216F" w:rsidRDefault="000D216F" w:rsidP="00CD135A">
      <w:pPr>
        <w:jc w:val="center"/>
        <w:rPr>
          <w:b/>
        </w:rPr>
      </w:pPr>
    </w:p>
    <w:p w:rsidR="000D216F" w:rsidRPr="00AB78BA" w:rsidRDefault="002C1D82" w:rsidP="00AB78BA">
      <w:pPr>
        <w:autoSpaceDE w:val="0"/>
        <w:adjustRightInd w:val="0"/>
        <w:jc w:val="center"/>
        <w:rPr>
          <w:color w:val="FF0000"/>
        </w:rPr>
      </w:pPr>
      <w:r>
        <w:rPr>
          <w:b/>
        </w:rPr>
        <w:t xml:space="preserve">[ </w:t>
      </w:r>
      <w:r w:rsidR="00894BCD">
        <w:rPr>
          <w:b/>
        </w:rPr>
        <w:t xml:space="preserve">TEMPLATE DO </w:t>
      </w:r>
      <w:r w:rsidR="00894BCD" w:rsidRPr="00894BCD">
        <w:rPr>
          <w:b/>
        </w:rPr>
        <w:t>M</w:t>
      </w:r>
      <w:r w:rsidR="00AB78BA">
        <w:rPr>
          <w:b/>
        </w:rPr>
        <w:t>ODELO</w:t>
      </w:r>
      <w:r w:rsidR="00AB78BA" w:rsidRPr="002A2360">
        <w:rPr>
          <w:color w:val="FF0000"/>
        </w:rPr>
        <w:t xml:space="preserve"> </w:t>
      </w:r>
      <w:r w:rsidR="00AB78BA" w:rsidRPr="00AB78BA">
        <w:rPr>
          <w:b/>
        </w:rPr>
        <w:t>DE PLANO DE GESTÃO DE RISCOS</w:t>
      </w:r>
      <w:r>
        <w:rPr>
          <w:b/>
        </w:rPr>
        <w:t>]</w:t>
      </w:r>
    </w:p>
    <w:p w:rsidR="000D216F" w:rsidRDefault="000D216F" w:rsidP="00CD135A">
      <w:pPr>
        <w:jc w:val="center"/>
        <w:rPr>
          <w:b/>
        </w:rPr>
      </w:pPr>
    </w:p>
    <w:p w:rsidR="00CD135A" w:rsidRDefault="00CD135A" w:rsidP="00CD135A">
      <w:pPr>
        <w:jc w:val="center"/>
        <w:rPr>
          <w:b/>
        </w:rPr>
      </w:pPr>
      <w:r>
        <w:rPr>
          <w:b/>
        </w:rPr>
        <w:t>Objetivo</w:t>
      </w:r>
    </w:p>
    <w:p w:rsidR="00CD135A" w:rsidRDefault="00CD135A" w:rsidP="00CD135A">
      <w:pPr>
        <w:jc w:val="center"/>
        <w:rPr>
          <w:b/>
        </w:rPr>
      </w:pPr>
    </w:p>
    <w:p w:rsidR="00D8526D" w:rsidRDefault="00D8526D" w:rsidP="00CD135A">
      <w:pPr>
        <w:jc w:val="both"/>
      </w:pPr>
      <w:r>
        <w:t>Identificar os riscos associados às ações planejadas, realizar a análise e planejar respostas.</w:t>
      </w:r>
    </w:p>
    <w:p w:rsidR="00CD135A" w:rsidRDefault="00CD135A" w:rsidP="00CD135A">
      <w:pPr>
        <w:jc w:val="both"/>
        <w:rPr>
          <w:sz w:val="20"/>
          <w:szCs w:val="20"/>
          <w:highlight w:val="white"/>
        </w:rPr>
      </w:pPr>
    </w:p>
    <w:p w:rsidR="00E759AD" w:rsidRDefault="005B357B" w:rsidP="009E5FE9">
      <w:pPr>
        <w:jc w:val="center"/>
        <w:rPr>
          <w:b/>
        </w:rPr>
      </w:pPr>
      <w:r>
        <w:rPr>
          <w:b/>
        </w:rPr>
        <w:t>Vigência do Plano Diretor TIC</w:t>
      </w:r>
    </w:p>
    <w:p w:rsidR="005B357B" w:rsidRDefault="005B357B" w:rsidP="00CD135A">
      <w:pPr>
        <w:jc w:val="both"/>
      </w:pPr>
    </w:p>
    <w:p w:rsidR="00E759AD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período de vigência do Plano Diretor de TIC &gt;</w:t>
      </w:r>
    </w:p>
    <w:p w:rsidR="009E5FE9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9E5FE9" w:rsidRPr="009E5FE9" w:rsidRDefault="009E5FE9" w:rsidP="009E5FE9">
      <w:pPr>
        <w:jc w:val="center"/>
        <w:rPr>
          <w:b/>
        </w:rPr>
      </w:pPr>
      <w:r w:rsidRPr="009E5FE9">
        <w:rPr>
          <w:b/>
        </w:rPr>
        <w:t>Elaborado por:</w:t>
      </w:r>
    </w:p>
    <w:p w:rsidR="009E5FE9" w:rsidRDefault="009E5FE9" w:rsidP="00CD135A">
      <w:pPr>
        <w:jc w:val="both"/>
      </w:pPr>
    </w:p>
    <w:p w:rsidR="009E5FE9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responsável ou equipe responsável pela elaboração do plano de riscos&gt;</w:t>
      </w:r>
    </w:p>
    <w:p w:rsidR="00A42772" w:rsidRPr="00A42772" w:rsidRDefault="00E638AB" w:rsidP="00A42772">
      <w:pPr>
        <w:jc w:val="center"/>
        <w:rPr>
          <w:b/>
        </w:rPr>
      </w:pPr>
      <w:r w:rsidRPr="00A42772">
        <w:rPr>
          <w:b/>
        </w:rPr>
        <w:t>Revisado por</w:t>
      </w:r>
      <w:r w:rsidR="00A42772" w:rsidRPr="00A42772">
        <w:rPr>
          <w:b/>
        </w:rPr>
        <w:t>:</w:t>
      </w:r>
    </w:p>
    <w:p w:rsidR="00A42772" w:rsidRDefault="00A42772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A42772" w:rsidRPr="004A1A5B" w:rsidRDefault="00A42772" w:rsidP="00A42772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proofErr w:type="gramStart"/>
      <w:r w:rsidRPr="00A42772">
        <w:rPr>
          <w:rFonts w:ascii="Verdana" w:eastAsia="Times New Roman" w:hAnsi="Verdana"/>
          <w:i/>
          <w:iCs/>
          <w:color w:val="0000FF"/>
          <w:sz w:val="20"/>
          <w:szCs w:val="20"/>
        </w:rPr>
        <w:t>&lt;</w:t>
      </w:r>
      <w:r w:rsidRPr="004A1A5B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P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responsável ou equipe responsável pela revisão do plano de riscos &gt;</w:t>
      </w:r>
    </w:p>
    <w:p w:rsidR="00A42772" w:rsidRPr="009E5FE9" w:rsidRDefault="00A42772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E638AB" w:rsidRPr="004A1A5B" w:rsidRDefault="00E638AB" w:rsidP="004A1A5B">
      <w:pPr>
        <w:jc w:val="center"/>
        <w:rPr>
          <w:b/>
        </w:rPr>
      </w:pPr>
      <w:r w:rsidRPr="00E638AB">
        <w:rPr>
          <w:b/>
        </w:rPr>
        <w:t>Monitoramento dos Riscos</w:t>
      </w:r>
    </w:p>
    <w:p w:rsidR="000D66BC" w:rsidRPr="004A1A5B" w:rsidRDefault="000D66BC" w:rsidP="004A1A5B">
      <w:pPr>
        <w:jc w:val="center"/>
        <w:rPr>
          <w:b/>
        </w:rPr>
      </w:pPr>
      <w:r w:rsidRPr="000D66BC">
        <w:rPr>
          <w:b/>
        </w:rPr>
        <w:t>Periodicidade:</w:t>
      </w:r>
    </w:p>
    <w:p w:rsidR="000D66BC" w:rsidRPr="004A1A5B" w:rsidRDefault="000D66BC" w:rsidP="000D66BC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proofErr w:type="gram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&lt;Inserir</w:t>
      </w:r>
      <w:proofErr w:type="gramEnd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intervalo de tempo com que os riscos serão monitorados. </w:t>
      </w:r>
      <w:proofErr w:type="spell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Ex</w:t>
      </w:r>
      <w:proofErr w:type="spellEnd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 xml:space="preserve">: Semanalmente, </w:t>
      </w:r>
      <w:proofErr w:type="gram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Quinzenalmente</w:t>
      </w:r>
      <w:proofErr w:type="gramEnd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&gt;</w:t>
      </w:r>
    </w:p>
    <w:p w:rsidR="000D66BC" w:rsidRPr="004A1A5B" w:rsidRDefault="000D66BC" w:rsidP="004A1A5B">
      <w:pPr>
        <w:jc w:val="center"/>
        <w:rPr>
          <w:b/>
        </w:rPr>
      </w:pPr>
      <w:r w:rsidRPr="000D66BC">
        <w:rPr>
          <w:b/>
        </w:rPr>
        <w:t>Responsável:</w:t>
      </w:r>
    </w:p>
    <w:p w:rsidR="000D66BC" w:rsidRPr="004A1A5B" w:rsidRDefault="000D66BC" w:rsidP="000D66BC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proofErr w:type="gram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&lt;Inserir</w:t>
      </w:r>
      <w:proofErr w:type="gramEnd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responsável ou equipe responsável pelo monitoramento junto às equipes, dos riscos identificados&gt;</w:t>
      </w:r>
    </w:p>
    <w:p w:rsidR="004A1A5B" w:rsidRDefault="004A1A5B" w:rsidP="004A1A5B">
      <w:pPr>
        <w:jc w:val="center"/>
        <w:rPr>
          <w:b/>
        </w:rPr>
      </w:pPr>
    </w:p>
    <w:p w:rsidR="000D66BC" w:rsidRDefault="000D66BC" w:rsidP="004A1A5B">
      <w:pPr>
        <w:jc w:val="center"/>
        <w:rPr>
          <w:b/>
        </w:rPr>
      </w:pPr>
      <w:r w:rsidRPr="000D66BC">
        <w:rPr>
          <w:b/>
        </w:rPr>
        <w:t>Probabilidade de Ocorrência</w:t>
      </w:r>
    </w:p>
    <w:p w:rsidR="004A1A5B" w:rsidRDefault="004A1A5B" w:rsidP="004A1A5B">
      <w:pPr>
        <w:jc w:val="center"/>
        <w:rPr>
          <w:b/>
        </w:rPr>
      </w:pPr>
    </w:p>
    <w:p w:rsidR="004A1A5B" w:rsidRPr="004A1A5B" w:rsidRDefault="004A1A5B" w:rsidP="004A1A5B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proofErr w:type="gram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&lt;Inserir</w:t>
      </w:r>
      <w:proofErr w:type="gramEnd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FF"/>
          <w:sz w:val="20"/>
          <w:szCs w:val="20"/>
        </w:rPr>
        <w:t xml:space="preserve">a tabela de probabilidade dos riscos&gt; </w:t>
      </w:r>
    </w:p>
    <w:p w:rsidR="009E5FE9" w:rsidRDefault="009E5FE9" w:rsidP="00CD135A">
      <w:pPr>
        <w:jc w:val="both"/>
      </w:pPr>
    </w:p>
    <w:p w:rsidR="000F326E" w:rsidRDefault="000D66BC" w:rsidP="00D477AB">
      <w:pPr>
        <w:jc w:val="center"/>
        <w:rPr>
          <w:b/>
        </w:rPr>
      </w:pPr>
      <w:r w:rsidRPr="000D66BC">
        <w:rPr>
          <w:b/>
        </w:rPr>
        <w:t>Impacto dos Riscos</w:t>
      </w:r>
    </w:p>
    <w:p w:rsidR="000D66BC" w:rsidRDefault="000D66BC">
      <w:pPr>
        <w:rPr>
          <w:b/>
        </w:rPr>
      </w:pPr>
    </w:p>
    <w:p w:rsidR="004A1A5B" w:rsidRPr="004A1A5B" w:rsidRDefault="004A1A5B" w:rsidP="004A1A5B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proofErr w:type="gram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&lt;Inserir</w:t>
      </w:r>
      <w:proofErr w:type="gramEnd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FF"/>
          <w:sz w:val="20"/>
          <w:szCs w:val="20"/>
        </w:rPr>
        <w:t xml:space="preserve">a tabela de </w:t>
      </w:r>
      <w:r>
        <w:rPr>
          <w:rFonts w:ascii="Verdana" w:eastAsia="Verdana" w:hAnsi="Verdana" w:cs="Verdana"/>
          <w:b/>
          <w:color w:val="0000FF"/>
          <w:sz w:val="20"/>
          <w:szCs w:val="20"/>
        </w:rPr>
        <w:t xml:space="preserve">impacto </w:t>
      </w:r>
      <w:r>
        <w:rPr>
          <w:rFonts w:ascii="Verdana" w:eastAsia="Verdana" w:hAnsi="Verdana" w:cs="Verdana"/>
          <w:b/>
          <w:color w:val="0000FF"/>
          <w:sz w:val="20"/>
          <w:szCs w:val="20"/>
        </w:rPr>
        <w:t xml:space="preserve">dos riscos&gt; </w:t>
      </w:r>
    </w:p>
    <w:p w:rsidR="004A1A5B" w:rsidRDefault="004A1A5B">
      <w:pPr>
        <w:rPr>
          <w:b/>
        </w:rPr>
      </w:pPr>
    </w:p>
    <w:p w:rsidR="000F326E" w:rsidRDefault="000F326E">
      <w:pPr>
        <w:rPr>
          <w:b/>
        </w:rPr>
      </w:pPr>
    </w:p>
    <w:p w:rsidR="000D216F" w:rsidRDefault="000D216F"/>
    <w:p w:rsidR="00AE7DB3" w:rsidRDefault="002C1D82" w:rsidP="00AE7DB3">
      <w:pPr>
        <w:pStyle w:val="Standard"/>
        <w:jc w:val="center"/>
        <w:rPr>
          <w:color w:val="0000FF"/>
        </w:rPr>
      </w:pPr>
      <w:r>
        <w:rPr>
          <w:color w:val="0000FF"/>
        </w:rPr>
        <w:t xml:space="preserve">                                                                </w:t>
      </w:r>
      <w:r w:rsidR="00AE7DB3">
        <w:rPr>
          <w:color w:val="0000FF"/>
        </w:rPr>
        <w:t>&lt;Nome completo do Presidente do Comitê de TI &gt;</w:t>
      </w:r>
    </w:p>
    <w:p w:rsidR="008A5C84" w:rsidRDefault="008A5C84" w:rsidP="00AE7DB3">
      <w:pPr>
        <w:pStyle w:val="Standard"/>
        <w:spacing w:after="120"/>
        <w:ind w:left="2880" w:firstLine="720"/>
        <w:jc w:val="center"/>
        <w:rPr>
          <w:color w:val="0000FF"/>
        </w:rPr>
      </w:pPr>
    </w:p>
    <w:p w:rsidR="00AE7DB3" w:rsidRDefault="00AE7DB3" w:rsidP="00AE7DB3">
      <w:pPr>
        <w:pStyle w:val="Standard"/>
        <w:spacing w:after="120"/>
        <w:ind w:left="2880" w:firstLine="720"/>
        <w:jc w:val="center"/>
        <w:rPr>
          <w:color w:val="0000FF"/>
        </w:rPr>
      </w:pPr>
      <w:r>
        <w:rPr>
          <w:color w:val="0000FF"/>
        </w:rPr>
        <w:t>&lt;Cargo do Presidente do Comitê de TI da Estatal &gt;</w:t>
      </w:r>
    </w:p>
    <w:p w:rsidR="000D216F" w:rsidRDefault="000D216F"/>
    <w:p w:rsidR="00EA684B" w:rsidRDefault="00EA684B"/>
    <w:p w:rsidR="00A43685" w:rsidRDefault="00A43685"/>
    <w:p w:rsidR="00A43685" w:rsidRDefault="00A43685"/>
    <w:p w:rsidR="00C51EF0" w:rsidRDefault="00C51EF0" w:rsidP="00C51EF0">
      <w:pPr>
        <w:pStyle w:val="Rodap"/>
        <w:jc w:val="both"/>
      </w:pPr>
      <w:r>
        <w:rPr>
          <w:b/>
        </w:rPr>
        <w:lastRenderedPageBreak/>
        <w:t>Observações:</w:t>
      </w:r>
      <w:r>
        <w:t xml:space="preserve"> </w:t>
      </w:r>
    </w:p>
    <w:p w:rsidR="00B6111D" w:rsidRDefault="00B6111D" w:rsidP="00B6111D">
      <w:pPr>
        <w:spacing w:line="240" w:lineRule="auto"/>
        <w:jc w:val="both"/>
        <w:rPr>
          <w:rFonts w:ascii="Verdana" w:eastAsia="Times New Roman" w:hAnsi="Verdana"/>
          <w:b/>
          <w:bCs/>
          <w:sz w:val="28"/>
          <w:szCs w:val="28"/>
        </w:rPr>
      </w:pPr>
    </w:p>
    <w:p w:rsidR="00470421" w:rsidRPr="00470421" w:rsidRDefault="00470421" w:rsidP="00470421">
      <w:pPr>
        <w:spacing w:line="240" w:lineRule="auto"/>
        <w:rPr>
          <w:rFonts w:eastAsia="Times New Roman"/>
          <w:b/>
          <w:bCs/>
        </w:rPr>
      </w:pPr>
      <w:r w:rsidRPr="00470421">
        <w:rPr>
          <w:rFonts w:eastAsia="Times New Roman"/>
          <w:b/>
          <w:bCs/>
        </w:rPr>
        <w:t xml:space="preserve">Descrição das Tarefas: </w:t>
      </w:r>
    </w:p>
    <w:p w:rsidR="00470421" w:rsidRDefault="00470421" w:rsidP="00470421">
      <w:pPr>
        <w:spacing w:line="240" w:lineRule="auto"/>
        <w:jc w:val="both"/>
        <w:rPr>
          <w:rFonts w:eastAsia="Times New Roman"/>
        </w:rPr>
      </w:pPr>
    </w:p>
    <w:p w:rsidR="00470421" w:rsidRPr="00470421" w:rsidRDefault="00470421" w:rsidP="00470421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Times New Roman"/>
        </w:rPr>
      </w:pPr>
      <w:r w:rsidRPr="00470421">
        <w:rPr>
          <w:rFonts w:eastAsia="Times New Roman"/>
        </w:rPr>
        <w:t xml:space="preserve">Identificar e registrar os possíveis riscos que podem afetar a execução das metas e das ações planejadas. </w:t>
      </w:r>
    </w:p>
    <w:p w:rsidR="00470421" w:rsidRDefault="00470421" w:rsidP="00470421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Times New Roman"/>
        </w:rPr>
      </w:pPr>
      <w:r w:rsidRPr="00470421">
        <w:rPr>
          <w:rFonts w:eastAsia="Times New Roman"/>
        </w:rPr>
        <w:t>Analisar os riscos identificados, avaliando-os com relação a probabilidade de ocorrência e o impacto no PDTIC;</w:t>
      </w:r>
    </w:p>
    <w:p w:rsidR="00470421" w:rsidRDefault="00470421" w:rsidP="00470421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Times New Roman"/>
        </w:rPr>
      </w:pPr>
      <w:r w:rsidRPr="00470421">
        <w:rPr>
          <w:rFonts w:eastAsia="Times New Roman"/>
        </w:rPr>
        <w:t>Planejar as ações que possam ampliar as oportunidades e reduzir as ameaças que comprometam as metas e ações planejadas;</w:t>
      </w:r>
    </w:p>
    <w:p w:rsidR="00470421" w:rsidRDefault="00470421" w:rsidP="00470421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Times New Roman"/>
        </w:rPr>
      </w:pPr>
      <w:r w:rsidRPr="00470421">
        <w:rPr>
          <w:rFonts w:eastAsia="Times New Roman"/>
        </w:rPr>
        <w:t>Identificar os possíveis eventos que transformam um ri</w:t>
      </w:r>
      <w:r>
        <w:rPr>
          <w:rFonts w:eastAsia="Times New Roman"/>
        </w:rPr>
        <w:t>sco em um problema (gatilho);</w:t>
      </w:r>
    </w:p>
    <w:p w:rsidR="00E06023" w:rsidRDefault="00470421" w:rsidP="00E06023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Times New Roman"/>
        </w:rPr>
      </w:pPr>
      <w:r w:rsidRPr="00470421">
        <w:rPr>
          <w:rFonts w:eastAsia="Times New Roman"/>
        </w:rPr>
        <w:t xml:space="preserve">Planejar as ações formais a serem tomadas em caso de ocorrência dos riscos (resposta ao risco); </w:t>
      </w:r>
    </w:p>
    <w:p w:rsidR="00E06023" w:rsidRDefault="00470421" w:rsidP="00E06023">
      <w:pPr>
        <w:pStyle w:val="PargrafodaLista"/>
        <w:numPr>
          <w:ilvl w:val="0"/>
          <w:numId w:val="2"/>
        </w:numPr>
        <w:spacing w:line="240" w:lineRule="auto"/>
        <w:jc w:val="both"/>
        <w:rPr>
          <w:rFonts w:eastAsia="Times New Roman"/>
        </w:rPr>
      </w:pPr>
      <w:r w:rsidRPr="00E06023">
        <w:rPr>
          <w:rFonts w:eastAsia="Times New Roman"/>
        </w:rPr>
        <w:t xml:space="preserve">Definir os responsáveis pelo tratamento do risco. </w:t>
      </w:r>
    </w:p>
    <w:p w:rsidR="00E06023" w:rsidRDefault="00E06023" w:rsidP="00E06023">
      <w:pPr>
        <w:spacing w:line="240" w:lineRule="auto"/>
        <w:jc w:val="both"/>
        <w:rPr>
          <w:rFonts w:eastAsia="Times New Roman"/>
        </w:rPr>
      </w:pPr>
    </w:p>
    <w:p w:rsidR="00E06023" w:rsidRDefault="00470421" w:rsidP="00E06023">
      <w:pPr>
        <w:spacing w:line="240" w:lineRule="auto"/>
        <w:jc w:val="both"/>
        <w:rPr>
          <w:rFonts w:eastAsia="Times New Roman"/>
        </w:rPr>
      </w:pPr>
      <w:r w:rsidRPr="00E06023">
        <w:rPr>
          <w:rFonts w:eastAsia="Times New Roman"/>
        </w:rPr>
        <w:t xml:space="preserve">Durante a análise de riscos, pode-se concluir que algumas metas e ações devam ser excluídas em virtude de existirem riscos que estão além do aceitável e que não possam ser adequadamente tratados; </w:t>
      </w:r>
    </w:p>
    <w:p w:rsidR="00D80BC9" w:rsidRDefault="00D80BC9" w:rsidP="00E06023">
      <w:pPr>
        <w:spacing w:line="240" w:lineRule="auto"/>
        <w:jc w:val="both"/>
        <w:rPr>
          <w:rFonts w:eastAsia="Times New Roman"/>
        </w:rPr>
      </w:pPr>
    </w:p>
    <w:p w:rsidR="00470421" w:rsidRPr="00E06023" w:rsidRDefault="00470421" w:rsidP="00E06023">
      <w:pPr>
        <w:spacing w:line="240" w:lineRule="auto"/>
        <w:jc w:val="both"/>
        <w:rPr>
          <w:rFonts w:eastAsia="Times New Roman"/>
        </w:rPr>
      </w:pPr>
      <w:r w:rsidRPr="00E06023">
        <w:rPr>
          <w:rFonts w:eastAsia="Times New Roman"/>
        </w:rPr>
        <w:t xml:space="preserve">Se o universo dos riscos for extenso, a instituição pode optar por tratar somente os riscos com maior probabilidade de ocorrência e de maior impacto, ou que os riscos de origem externa, por exemplo, não serão monitorados e controlados; </w:t>
      </w:r>
      <w:proofErr w:type="gramStart"/>
      <w:r w:rsidRPr="00E06023">
        <w:rPr>
          <w:rFonts w:eastAsia="Times New Roman"/>
        </w:rPr>
        <w:t>Avaliar</w:t>
      </w:r>
      <w:proofErr w:type="gramEnd"/>
      <w:r w:rsidRPr="00E06023">
        <w:rPr>
          <w:rFonts w:eastAsia="Times New Roman"/>
        </w:rPr>
        <w:t xml:space="preserve"> a pertinência de submeter o Plano para avaliação prévia do Comitê de TIC ou posteriormente quando da aprovação da Minuta do PDTIC.</w:t>
      </w:r>
    </w:p>
    <w:p w:rsidR="00470421" w:rsidRPr="00470421" w:rsidRDefault="00470421" w:rsidP="00470421">
      <w:pPr>
        <w:spacing w:line="240" w:lineRule="auto"/>
        <w:jc w:val="both"/>
        <w:rPr>
          <w:rFonts w:eastAsia="Times New Roman"/>
        </w:rPr>
      </w:pPr>
    </w:p>
    <w:p w:rsidR="00B6111D" w:rsidRPr="00B6111D" w:rsidRDefault="00B6111D" w:rsidP="00B6111D">
      <w:pPr>
        <w:spacing w:line="240" w:lineRule="auto"/>
        <w:rPr>
          <w:rFonts w:eastAsia="Times New Roman"/>
          <w:b/>
          <w:bCs/>
        </w:rPr>
      </w:pPr>
      <w:r w:rsidRPr="00B6111D">
        <w:rPr>
          <w:rFonts w:eastAsia="Times New Roman"/>
          <w:b/>
          <w:bCs/>
        </w:rPr>
        <w:t>Probabilidade de Ocorrência</w:t>
      </w:r>
    </w:p>
    <w:p w:rsidR="00B6111D" w:rsidRPr="00B6111D" w:rsidRDefault="00B6111D" w:rsidP="00B6111D">
      <w:pPr>
        <w:pStyle w:val="Rodap"/>
      </w:pPr>
    </w:p>
    <w:p w:rsidR="00B6111D" w:rsidRDefault="00B6111D" w:rsidP="00B6111D">
      <w:pPr>
        <w:pStyle w:val="Rodap"/>
        <w:rPr>
          <w:rFonts w:eastAsia="Times New Roman"/>
        </w:rPr>
      </w:pPr>
      <w:r w:rsidRPr="00B6111D">
        <w:rPr>
          <w:rFonts w:eastAsia="Times New Roman"/>
        </w:rPr>
        <w:t>Essa classificação sugere possíveis probabilidade a serem aplicadas aos riscos. Essas 3 classificações podem ser alteradas conforme necessidade e planejamento da instituição</w:t>
      </w:r>
      <w:r w:rsidRPr="00B6111D">
        <w:rPr>
          <w:rFonts w:eastAsia="Times New Roman"/>
        </w:rPr>
        <w:t>.</w:t>
      </w:r>
    </w:p>
    <w:p w:rsidR="006B5F66" w:rsidRDefault="006B5F66" w:rsidP="006B5F66">
      <w:pPr>
        <w:rPr>
          <w:b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979"/>
        <w:gridCol w:w="1985"/>
        <w:gridCol w:w="4110"/>
      </w:tblGrid>
      <w:tr w:rsidR="00D477AB" w:rsidRPr="000D66BC" w:rsidTr="00E900F4">
        <w:trPr>
          <w:trHeight w:val="285"/>
        </w:trPr>
        <w:tc>
          <w:tcPr>
            <w:tcW w:w="1998" w:type="dxa"/>
            <w:vMerge w:val="restart"/>
            <w:shd w:val="clear" w:color="E6E6E6" w:fill="E6E6E6"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jc w:val="center"/>
              <w:rPr>
                <w:rFonts w:eastAsia="Times New Roman"/>
                <w:bCs/>
              </w:rPr>
            </w:pPr>
            <w:r w:rsidRPr="000D66BC">
              <w:rPr>
                <w:rFonts w:eastAsia="Times New Roman"/>
                <w:bCs/>
              </w:rPr>
              <w:t>Probabilidade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Alta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&gt;=60%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jc w:val="both"/>
              <w:rPr>
                <w:rFonts w:eastAsia="Times New Roman"/>
                <w:bCs/>
              </w:rPr>
            </w:pPr>
            <w:r w:rsidRPr="000D66BC">
              <w:rPr>
                <w:rFonts w:eastAsia="Times New Roman"/>
                <w:bCs/>
              </w:rPr>
              <w:t>Riscos cuja ocorrência é esperada à curto prazo ou que possuam probabilidade igual ou superior à 60% em algum momento.</w:t>
            </w:r>
          </w:p>
        </w:tc>
      </w:tr>
      <w:tr w:rsidR="00D477AB" w:rsidRPr="000D66BC" w:rsidTr="00E900F4">
        <w:trPr>
          <w:trHeight w:val="285"/>
        </w:trPr>
        <w:tc>
          <w:tcPr>
            <w:tcW w:w="1998" w:type="dxa"/>
            <w:vMerge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  <w:bCs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Média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&gt;=20% e &lt;60%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jc w:val="both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Riscos cuja ocorrência possuam probabilidade igual ou superior à 20% e menor que 60%.</w:t>
            </w:r>
          </w:p>
        </w:tc>
      </w:tr>
      <w:tr w:rsidR="00D477AB" w:rsidRPr="000D66BC" w:rsidTr="00E900F4">
        <w:trPr>
          <w:trHeight w:val="285"/>
        </w:trPr>
        <w:tc>
          <w:tcPr>
            <w:tcW w:w="1998" w:type="dxa"/>
            <w:vMerge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  <w:bCs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Baixa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&lt;20%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D477AB" w:rsidRPr="000D66BC" w:rsidRDefault="00D477AB" w:rsidP="00E900F4">
            <w:pPr>
              <w:spacing w:line="240" w:lineRule="auto"/>
              <w:jc w:val="both"/>
              <w:rPr>
                <w:rFonts w:eastAsia="Times New Roman"/>
              </w:rPr>
            </w:pPr>
            <w:r w:rsidRPr="000D66BC">
              <w:rPr>
                <w:rFonts w:eastAsia="Times New Roman"/>
              </w:rPr>
              <w:t>Riscos cuja ocorrência possuam probabilidade inferior à 20%.</w:t>
            </w:r>
          </w:p>
        </w:tc>
      </w:tr>
    </w:tbl>
    <w:p w:rsidR="00D477AB" w:rsidRDefault="00D477AB" w:rsidP="00D477AB">
      <w:pPr>
        <w:jc w:val="both"/>
      </w:pPr>
    </w:p>
    <w:p w:rsidR="00D477AB" w:rsidRDefault="00D477AB" w:rsidP="00D477AB">
      <w:pPr>
        <w:rPr>
          <w:b/>
        </w:rPr>
      </w:pPr>
      <w:r w:rsidRPr="000D66BC">
        <w:rPr>
          <w:b/>
        </w:rPr>
        <w:t>Impacto dos Riscos</w:t>
      </w:r>
    </w:p>
    <w:p w:rsidR="00D477AB" w:rsidRDefault="00D477AB" w:rsidP="00D477AB">
      <w:pPr>
        <w:rPr>
          <w:b/>
        </w:rPr>
      </w:pPr>
    </w:p>
    <w:p w:rsidR="00D477AB" w:rsidRDefault="00D477AB" w:rsidP="00D477AB">
      <w:pPr>
        <w:pStyle w:val="Rodap"/>
        <w:jc w:val="both"/>
        <w:rPr>
          <w:rFonts w:eastAsia="Times New Roman"/>
        </w:rPr>
      </w:pPr>
      <w:r w:rsidRPr="006B5F66">
        <w:rPr>
          <w:rFonts w:eastAsia="Times New Roman"/>
        </w:rPr>
        <w:t>Essa proposta de classificação sugere níveis de impactos a serem aplicadas aos riscos. Essas 3 classificações podem ser alteradas conforme necessidade e planejamento da instituição</w:t>
      </w:r>
      <w:r>
        <w:rPr>
          <w:rFonts w:eastAsia="Times New Roman"/>
        </w:rPr>
        <w:t>.</w:t>
      </w:r>
    </w:p>
    <w:p w:rsidR="00D477AB" w:rsidRDefault="00D477AB" w:rsidP="00D477AB">
      <w:pPr>
        <w:rPr>
          <w:b/>
        </w:rPr>
      </w:pPr>
    </w:p>
    <w:tbl>
      <w:tblPr>
        <w:tblW w:w="9072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1134"/>
        <w:gridCol w:w="5528"/>
      </w:tblGrid>
      <w:tr w:rsidR="00D477AB" w:rsidRPr="00DE0DAA" w:rsidTr="00E900F4">
        <w:trPr>
          <w:trHeight w:val="55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E0DAA">
              <w:rPr>
                <w:rFonts w:eastAsia="Times New Roman"/>
                <w:b/>
                <w:bCs/>
                <w:sz w:val="20"/>
                <w:szCs w:val="20"/>
              </w:rPr>
              <w:t>Impacto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E0DAA">
              <w:rPr>
                <w:rFonts w:eastAsia="Times New Roman"/>
                <w:sz w:val="20"/>
                <w:szCs w:val="20"/>
              </w:rPr>
              <w:t>Alto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E0DAA">
              <w:rPr>
                <w:rFonts w:eastAsia="Times New Roman"/>
                <w:sz w:val="20"/>
                <w:szCs w:val="20"/>
              </w:rPr>
              <w:t>&gt;=10%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DE0DAA">
              <w:rPr>
                <w:rFonts w:eastAsia="Times New Roman"/>
                <w:b/>
                <w:bCs/>
                <w:sz w:val="20"/>
                <w:szCs w:val="20"/>
              </w:rPr>
              <w:t>Riscos cujo impacto no prazo ou custo seja maior ou igual a 10%.</w:t>
            </w:r>
          </w:p>
        </w:tc>
      </w:tr>
      <w:tr w:rsidR="00D477AB" w:rsidRPr="00DE0DAA" w:rsidTr="00E900F4">
        <w:trPr>
          <w:trHeight w:val="55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E0DAA">
              <w:rPr>
                <w:rFonts w:eastAsia="Times New Roman"/>
                <w:sz w:val="20"/>
                <w:szCs w:val="20"/>
              </w:rPr>
              <w:t>Médio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E0DAA">
              <w:rPr>
                <w:rFonts w:eastAsia="Times New Roman"/>
                <w:sz w:val="20"/>
                <w:szCs w:val="20"/>
              </w:rPr>
              <w:t>&gt;=5% e &lt;10%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DE0DAA">
              <w:rPr>
                <w:rFonts w:eastAsia="Times New Roman"/>
                <w:b/>
                <w:bCs/>
                <w:sz w:val="20"/>
                <w:szCs w:val="20"/>
              </w:rPr>
              <w:t>Riscos cujo impacto no prazo ou custo seja maior ou igual a 5% e menor que 15%</w:t>
            </w:r>
          </w:p>
        </w:tc>
      </w:tr>
      <w:tr w:rsidR="00D477AB" w:rsidRPr="00DE0DAA" w:rsidTr="00E900F4">
        <w:trPr>
          <w:trHeight w:val="64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E0DAA">
              <w:rPr>
                <w:rFonts w:eastAsia="Times New Roman"/>
                <w:sz w:val="20"/>
                <w:szCs w:val="20"/>
              </w:rPr>
              <w:t>Baixo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E0DAA">
              <w:rPr>
                <w:rFonts w:eastAsia="Times New Roman"/>
                <w:sz w:val="20"/>
                <w:szCs w:val="20"/>
              </w:rPr>
              <w:t>&lt;5%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477AB" w:rsidRPr="00DE0DAA" w:rsidRDefault="00D477AB" w:rsidP="00E900F4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DE0DAA">
              <w:rPr>
                <w:rFonts w:eastAsia="Times New Roman"/>
                <w:b/>
                <w:bCs/>
                <w:sz w:val="20"/>
                <w:szCs w:val="20"/>
              </w:rPr>
              <w:t>Riscos cujo impacto no prazo ou custo seja menor que 5%.</w:t>
            </w:r>
          </w:p>
        </w:tc>
      </w:tr>
    </w:tbl>
    <w:p w:rsidR="00D477AB" w:rsidRDefault="00D477AB" w:rsidP="00D477AB">
      <w:pPr>
        <w:rPr>
          <w:b/>
        </w:rPr>
      </w:pPr>
    </w:p>
    <w:p w:rsidR="00D76FCE" w:rsidRDefault="00D76FCE" w:rsidP="006B5F66">
      <w:pPr>
        <w:pStyle w:val="Rodap"/>
        <w:jc w:val="both"/>
        <w:rPr>
          <w:rFonts w:eastAsia="Times New Roman"/>
        </w:rPr>
      </w:pPr>
    </w:p>
    <w:p w:rsidR="00D76FCE" w:rsidRPr="00B6111D" w:rsidRDefault="00D76FCE" w:rsidP="006B5F66">
      <w:pPr>
        <w:pStyle w:val="Rodap"/>
        <w:jc w:val="both"/>
        <w:rPr>
          <w:rFonts w:eastAsia="Times New Roman"/>
        </w:rPr>
      </w:pPr>
      <w:r>
        <w:rPr>
          <w:rFonts w:eastAsia="Times New Roman"/>
        </w:rPr>
        <w:t>Exemplo de Plano de Riscos do PDTI</w:t>
      </w:r>
    </w:p>
    <w:p w:rsidR="00B6111D" w:rsidRDefault="00B6111D" w:rsidP="00C51EF0">
      <w:pPr>
        <w:pStyle w:val="Rodap"/>
        <w:jc w:val="both"/>
        <w:rPr>
          <w:rFonts w:eastAsia="Times New Roman"/>
        </w:rPr>
      </w:pPr>
    </w:p>
    <w:tbl>
      <w:tblPr>
        <w:tblW w:w="10578" w:type="dxa"/>
        <w:tblInd w:w="-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1985"/>
        <w:gridCol w:w="2551"/>
        <w:gridCol w:w="993"/>
        <w:gridCol w:w="708"/>
        <w:gridCol w:w="2268"/>
        <w:gridCol w:w="1276"/>
      </w:tblGrid>
      <w:tr w:rsidR="00D76FCE" w:rsidRPr="00D76FCE" w:rsidTr="00D76FCE">
        <w:trPr>
          <w:trHeight w:val="310"/>
        </w:trPr>
        <w:tc>
          <w:tcPr>
            <w:tcW w:w="2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Riscos Relacionados às Ações do PDTI</w:t>
            </w:r>
          </w:p>
        </w:tc>
      </w:tr>
      <w:tr w:rsidR="00D76FCE" w:rsidRPr="00D76FCE" w:rsidTr="00D76FCE">
        <w:trPr>
          <w:trHeight w:val="310"/>
        </w:trPr>
        <w:tc>
          <w:tcPr>
            <w:tcW w:w="27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Descrição do Risco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Análise do Risco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Tipo de Tratamento do Risco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Área Responsável pelo Monitoramento do Risco</w:t>
            </w:r>
          </w:p>
        </w:tc>
      </w:tr>
      <w:tr w:rsidR="00D76FCE" w:rsidRPr="00D76FCE" w:rsidTr="00D76FCE">
        <w:trPr>
          <w:trHeight w:val="565"/>
        </w:trPr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00" w:fill="F2F2F2" w:themeFill="background1" w:themeFillShade="F2"/>
            <w:noWrap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2F2F2" w:themeFill="background1" w:themeFillShade="F2"/>
            <w:noWrap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2F2F2" w:themeFill="background1" w:themeFillShade="F2"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Probabilidade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F2F2F2" w:themeFill="background1" w:themeFillShade="F2"/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76FCE">
              <w:rPr>
                <w:rFonts w:eastAsia="Times New Roman"/>
                <w:b/>
                <w:bCs/>
                <w:sz w:val="20"/>
                <w:szCs w:val="20"/>
              </w:rPr>
              <w:t>Impacto</w:t>
            </w:r>
          </w:p>
          <w:p w:rsidR="00D76FCE" w:rsidRPr="00D76FCE" w:rsidRDefault="00D76FCE" w:rsidP="00E900F4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FCE" w:rsidRPr="00D76FCE" w:rsidRDefault="00D76FCE" w:rsidP="00E900F4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76FCE" w:rsidRPr="00D76FCE" w:rsidTr="009604C4">
        <w:trPr>
          <w:trHeight w:val="310"/>
        </w:trPr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CE" w:rsidRPr="00D76FCE" w:rsidRDefault="00D76FCE" w:rsidP="00E900F4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6FCE" w:rsidRPr="00D76FCE" w:rsidRDefault="00D76FCE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rFonts w:eastAsia="Times New Roman"/>
                <w:sz w:val="20"/>
                <w:szCs w:val="20"/>
              </w:rPr>
              <w:t>Alinhar a TI ao Negócio.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CE" w:rsidRPr="00D76FCE" w:rsidRDefault="00D76FCE" w:rsidP="00E900F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rFonts w:eastAsia="Times New Roman"/>
                <w:sz w:val="20"/>
                <w:szCs w:val="20"/>
              </w:rPr>
              <w:t xml:space="preserve">Dificuldade de efetuar </w:t>
            </w:r>
            <w:r w:rsidRPr="00D76FCE">
              <w:rPr>
                <w:sz w:val="20"/>
                <w:szCs w:val="20"/>
              </w:rPr>
              <w:t xml:space="preserve">a gestão de TI.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CE" w:rsidRPr="00D76FCE" w:rsidRDefault="00D76FCE" w:rsidP="00E900F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>Alto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6FCE" w:rsidRPr="00D76FCE" w:rsidRDefault="009604C4" w:rsidP="009604C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>Alto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FCE" w:rsidRPr="00D76FCE" w:rsidRDefault="00D76FCE" w:rsidP="00E900F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 xml:space="preserve">Demonstrar a </w:t>
            </w:r>
            <w:r w:rsidR="009604C4">
              <w:rPr>
                <w:sz w:val="20"/>
                <w:szCs w:val="20"/>
              </w:rPr>
              <w:t>Estatal</w:t>
            </w:r>
            <w:bookmarkStart w:id="1" w:name="_GoBack"/>
            <w:bookmarkEnd w:id="1"/>
            <w:r w:rsidRPr="00D76FCE">
              <w:rPr>
                <w:sz w:val="20"/>
                <w:szCs w:val="20"/>
              </w:rPr>
              <w:t xml:space="preserve"> a importância do alinhamento da TI ao negócio.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6FCE" w:rsidRPr="00D76FCE" w:rsidRDefault="00D76FCE" w:rsidP="00E900F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>STI</w:t>
            </w:r>
          </w:p>
        </w:tc>
      </w:tr>
      <w:tr w:rsidR="009604C4" w:rsidRPr="00D76FCE" w:rsidTr="008C7320">
        <w:trPr>
          <w:trHeight w:val="310"/>
        </w:trPr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C4" w:rsidRPr="00D76FCE" w:rsidRDefault="009604C4" w:rsidP="009604C4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C4" w:rsidRPr="00D76FCE" w:rsidRDefault="009604C4" w:rsidP="009604C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rFonts w:eastAsia="Times New Roman"/>
                <w:sz w:val="20"/>
                <w:szCs w:val="20"/>
              </w:rPr>
              <w:t>Publicar a normativa de aquisição e Contratação.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C4" w:rsidRPr="00D76FCE" w:rsidRDefault="009604C4" w:rsidP="009604C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rFonts w:eastAsia="Times New Roman"/>
                <w:sz w:val="20"/>
                <w:szCs w:val="20"/>
              </w:rPr>
              <w:t xml:space="preserve">Dificuldade </w:t>
            </w:r>
            <w:r w:rsidRPr="00D76FCE">
              <w:rPr>
                <w:sz w:val="20"/>
                <w:szCs w:val="20"/>
              </w:rPr>
              <w:t>na gestão dos Contratos de Aquisição e Contratação.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C4" w:rsidRDefault="009604C4" w:rsidP="009604C4">
            <w:r w:rsidRPr="007F2BEC">
              <w:rPr>
                <w:sz w:val="20"/>
                <w:szCs w:val="20"/>
              </w:rPr>
              <w:t>Alto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604C4" w:rsidRDefault="009604C4" w:rsidP="009604C4">
            <w:r w:rsidRPr="007F2BEC">
              <w:rPr>
                <w:sz w:val="20"/>
                <w:szCs w:val="20"/>
              </w:rPr>
              <w:t>Alto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04C4" w:rsidRPr="00D76FCE" w:rsidRDefault="009604C4" w:rsidP="009604C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>Definir normas alternativas para efetuar a Aquisição e Contratação.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04C4" w:rsidRPr="00D76FCE" w:rsidRDefault="009604C4" w:rsidP="009604C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>STI</w:t>
            </w:r>
          </w:p>
        </w:tc>
      </w:tr>
      <w:tr w:rsidR="009604C4" w:rsidRPr="00D76FCE" w:rsidTr="008C7320">
        <w:trPr>
          <w:trHeight w:val="310"/>
        </w:trPr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C4" w:rsidRPr="00D76FCE" w:rsidRDefault="009604C4" w:rsidP="009604C4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C4" w:rsidRPr="00D76FCE" w:rsidRDefault="009604C4" w:rsidP="009604C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D76FCE">
              <w:rPr>
                <w:rFonts w:eastAsia="Times New Roman"/>
                <w:sz w:val="20"/>
                <w:szCs w:val="20"/>
              </w:rPr>
              <w:t>Implementar  o</w:t>
            </w:r>
            <w:proofErr w:type="gramEnd"/>
            <w:r w:rsidRPr="00D76FCE">
              <w:rPr>
                <w:rFonts w:eastAsia="Times New Roman"/>
                <w:sz w:val="20"/>
                <w:szCs w:val="20"/>
              </w:rPr>
              <w:t xml:space="preserve"> processo de Certificação Digital.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C4" w:rsidRPr="00D76FCE" w:rsidRDefault="009604C4" w:rsidP="009604C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76FCE">
              <w:rPr>
                <w:rFonts w:eastAsia="Times New Roman"/>
                <w:sz w:val="20"/>
                <w:szCs w:val="20"/>
              </w:rPr>
              <w:t xml:space="preserve">Quebra de Sigilo na autenticação dos usuários aos sistemas da </w:t>
            </w:r>
            <w:r>
              <w:rPr>
                <w:rFonts w:eastAsia="Times New Roman"/>
                <w:sz w:val="20"/>
                <w:szCs w:val="20"/>
              </w:rPr>
              <w:t>Estatal</w:t>
            </w:r>
            <w:r w:rsidRPr="00D76FC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C4" w:rsidRDefault="009604C4" w:rsidP="009604C4">
            <w:r w:rsidRPr="007F2BEC">
              <w:rPr>
                <w:sz w:val="20"/>
                <w:szCs w:val="20"/>
              </w:rPr>
              <w:t>Alto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604C4" w:rsidRDefault="009604C4" w:rsidP="009604C4">
            <w:r w:rsidRPr="007F2BEC">
              <w:rPr>
                <w:sz w:val="20"/>
                <w:szCs w:val="20"/>
              </w:rPr>
              <w:t>Alto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04C4" w:rsidRPr="00D76FCE" w:rsidRDefault="009604C4" w:rsidP="009604C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>Definir um mecanismo de segurança para autenticar e verificar os acessos dos usuários.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04C4" w:rsidRPr="00D76FCE" w:rsidRDefault="009604C4" w:rsidP="009604C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D76FCE">
              <w:rPr>
                <w:sz w:val="20"/>
                <w:szCs w:val="20"/>
              </w:rPr>
              <w:t>STI</w:t>
            </w:r>
          </w:p>
        </w:tc>
      </w:tr>
    </w:tbl>
    <w:p w:rsidR="00D76FCE" w:rsidRDefault="00D76FCE" w:rsidP="00C51EF0">
      <w:pPr>
        <w:pStyle w:val="Rodap"/>
        <w:jc w:val="both"/>
        <w:rPr>
          <w:rFonts w:eastAsia="Times New Roman"/>
        </w:rPr>
      </w:pPr>
    </w:p>
    <w:p w:rsidR="006B5F66" w:rsidRDefault="006B5F66" w:rsidP="00C51EF0">
      <w:pPr>
        <w:pStyle w:val="Rodap"/>
        <w:jc w:val="both"/>
        <w:rPr>
          <w:rFonts w:eastAsia="Times New Roman"/>
        </w:rPr>
      </w:pPr>
    </w:p>
    <w:sectPr w:rsidR="006B5F66" w:rsidSect="000D66BC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21" w:rsidRDefault="00495E21" w:rsidP="00561D0F">
      <w:pPr>
        <w:spacing w:line="240" w:lineRule="auto"/>
      </w:pPr>
      <w:r>
        <w:separator/>
      </w:r>
    </w:p>
  </w:endnote>
  <w:endnote w:type="continuationSeparator" w:id="0">
    <w:p w:rsidR="00495E21" w:rsidRDefault="00495E21" w:rsidP="00561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21" w:rsidRDefault="00495E21" w:rsidP="00561D0F">
      <w:pPr>
        <w:spacing w:line="240" w:lineRule="auto"/>
      </w:pPr>
      <w:bookmarkStart w:id="0" w:name="_Hlk485624758"/>
      <w:bookmarkEnd w:id="0"/>
      <w:r>
        <w:separator/>
      </w:r>
    </w:p>
  </w:footnote>
  <w:footnote w:type="continuationSeparator" w:id="0">
    <w:p w:rsidR="00495E21" w:rsidRDefault="00495E21" w:rsidP="00561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2" w:rsidRDefault="00A42772" w:rsidP="00561D0F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</w:t>
    </w:r>
  </w:p>
  <w:p w:rsidR="00A42772" w:rsidRDefault="00A42772" w:rsidP="00561D0F">
    <w:pPr>
      <w:pStyle w:val="Cabealho"/>
      <w:rPr>
        <w:rFonts w:ascii="Calibri" w:eastAsia="Times New Roman" w:hAnsi="Calibri" w:cs="Times New Roman"/>
        <w:b/>
        <w:sz w:val="28"/>
      </w:rPr>
    </w:pPr>
  </w:p>
  <w:p w:rsidR="00A42772" w:rsidRDefault="00A42772" w:rsidP="00853F12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68B24AD2" wp14:editId="1AED3D59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42772" w:rsidRDefault="00A42772" w:rsidP="00853F12">
    <w:pPr>
      <w:pStyle w:val="Cabealho"/>
      <w:jc w:val="right"/>
    </w:pPr>
    <w:r>
      <w:rPr>
        <w:rFonts w:ascii="Calibri" w:eastAsia="Times New Roman" w:hAnsi="Calibri" w:cs="Times New Roman"/>
        <w:b/>
        <w:sz w:val="28"/>
      </w:rPr>
      <w:t xml:space="preserve">Ministério do Planejamento, Desenvolvimento e Gestão </w:t>
    </w:r>
  </w:p>
  <w:p w:rsidR="00A42772" w:rsidRDefault="00A42772" w:rsidP="00853F12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A42772" w:rsidRDefault="00A42772">
    <w:pPr>
      <w:pStyle w:val="Cabealho"/>
    </w:pPr>
  </w:p>
  <w:p w:rsidR="00A42772" w:rsidRDefault="00A42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E96"/>
    <w:multiLevelType w:val="hybridMultilevel"/>
    <w:tmpl w:val="141E1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E64A4"/>
    <w:multiLevelType w:val="hybridMultilevel"/>
    <w:tmpl w:val="45100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67BDC"/>
    <w:multiLevelType w:val="hybridMultilevel"/>
    <w:tmpl w:val="D046B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216F"/>
    <w:rsid w:val="00085695"/>
    <w:rsid w:val="000D216F"/>
    <w:rsid w:val="000D66BC"/>
    <w:rsid w:val="000F326E"/>
    <w:rsid w:val="00117E23"/>
    <w:rsid w:val="0019129F"/>
    <w:rsid w:val="00196DAD"/>
    <w:rsid w:val="001B76DF"/>
    <w:rsid w:val="00291BC3"/>
    <w:rsid w:val="00291BFE"/>
    <w:rsid w:val="002A4BCF"/>
    <w:rsid w:val="002C1D82"/>
    <w:rsid w:val="002D79A1"/>
    <w:rsid w:val="00401653"/>
    <w:rsid w:val="004065D9"/>
    <w:rsid w:val="004450D5"/>
    <w:rsid w:val="004577EB"/>
    <w:rsid w:val="00470421"/>
    <w:rsid w:val="00495E21"/>
    <w:rsid w:val="004A1A5B"/>
    <w:rsid w:val="004C75BD"/>
    <w:rsid w:val="00525A06"/>
    <w:rsid w:val="00533F16"/>
    <w:rsid w:val="00561D0F"/>
    <w:rsid w:val="005653BD"/>
    <w:rsid w:val="0058427C"/>
    <w:rsid w:val="005B291D"/>
    <w:rsid w:val="005B357B"/>
    <w:rsid w:val="005B3BF3"/>
    <w:rsid w:val="005D6E81"/>
    <w:rsid w:val="005E71A5"/>
    <w:rsid w:val="00600064"/>
    <w:rsid w:val="00652E8E"/>
    <w:rsid w:val="006B5F66"/>
    <w:rsid w:val="006D3C3D"/>
    <w:rsid w:val="006E0574"/>
    <w:rsid w:val="00702E21"/>
    <w:rsid w:val="007127FA"/>
    <w:rsid w:val="0073520B"/>
    <w:rsid w:val="00756D79"/>
    <w:rsid w:val="00762C44"/>
    <w:rsid w:val="00765F34"/>
    <w:rsid w:val="007951A4"/>
    <w:rsid w:val="007D1681"/>
    <w:rsid w:val="0081002D"/>
    <w:rsid w:val="00813BEA"/>
    <w:rsid w:val="00836E2A"/>
    <w:rsid w:val="00850900"/>
    <w:rsid w:val="00853F12"/>
    <w:rsid w:val="00894BCD"/>
    <w:rsid w:val="008A4930"/>
    <w:rsid w:val="008A5C84"/>
    <w:rsid w:val="008E4320"/>
    <w:rsid w:val="008F4AF4"/>
    <w:rsid w:val="009005FE"/>
    <w:rsid w:val="009575DA"/>
    <w:rsid w:val="009604C4"/>
    <w:rsid w:val="009617FC"/>
    <w:rsid w:val="00965C1A"/>
    <w:rsid w:val="009E2646"/>
    <w:rsid w:val="009E5FE9"/>
    <w:rsid w:val="00A177B8"/>
    <w:rsid w:val="00A42772"/>
    <w:rsid w:val="00A43685"/>
    <w:rsid w:val="00A81D4B"/>
    <w:rsid w:val="00A82E9A"/>
    <w:rsid w:val="00AB78BA"/>
    <w:rsid w:val="00AE7DB3"/>
    <w:rsid w:val="00B6111D"/>
    <w:rsid w:val="00BA310A"/>
    <w:rsid w:val="00BF1BCE"/>
    <w:rsid w:val="00BF3501"/>
    <w:rsid w:val="00C51EF0"/>
    <w:rsid w:val="00C612BA"/>
    <w:rsid w:val="00C6358B"/>
    <w:rsid w:val="00C858D7"/>
    <w:rsid w:val="00CC080A"/>
    <w:rsid w:val="00CD0B75"/>
    <w:rsid w:val="00CD135A"/>
    <w:rsid w:val="00D351FE"/>
    <w:rsid w:val="00D477AB"/>
    <w:rsid w:val="00D76FCE"/>
    <w:rsid w:val="00D80BC9"/>
    <w:rsid w:val="00D8526D"/>
    <w:rsid w:val="00DB0506"/>
    <w:rsid w:val="00DD033F"/>
    <w:rsid w:val="00DE0DAA"/>
    <w:rsid w:val="00DE72EF"/>
    <w:rsid w:val="00E06023"/>
    <w:rsid w:val="00E210A2"/>
    <w:rsid w:val="00E21CD4"/>
    <w:rsid w:val="00E3469C"/>
    <w:rsid w:val="00E638AB"/>
    <w:rsid w:val="00E64E40"/>
    <w:rsid w:val="00E759AD"/>
    <w:rsid w:val="00EA684B"/>
    <w:rsid w:val="00F3144C"/>
    <w:rsid w:val="00F663C7"/>
    <w:rsid w:val="00FB30B5"/>
    <w:rsid w:val="00FE0793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92A8"/>
  <w15:docId w15:val="{3FF5AA5F-146B-4406-BAC8-0732336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D0F"/>
  </w:style>
  <w:style w:type="paragraph" w:styleId="Rodap">
    <w:name w:val="footer"/>
    <w:basedOn w:val="Normal"/>
    <w:link w:val="Rodap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D0F"/>
  </w:style>
  <w:style w:type="paragraph" w:customStyle="1" w:styleId="Standard">
    <w:name w:val="Standard"/>
    <w:link w:val="StandardChar"/>
    <w:rsid w:val="00AE7DB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33F16"/>
    <w:pPr>
      <w:ind w:left="720"/>
      <w:contextualSpacing/>
    </w:pPr>
  </w:style>
  <w:style w:type="paragraph" w:customStyle="1" w:styleId="Default">
    <w:name w:val="Default"/>
    <w:rsid w:val="006E0574"/>
    <w:pPr>
      <w:autoSpaceDE w:val="0"/>
      <w:autoSpaceDN w:val="0"/>
      <w:adjustRightInd w:val="0"/>
      <w:spacing w:line="240" w:lineRule="auto"/>
    </w:pPr>
    <w:rPr>
      <w:rFonts w:ascii="Calibri" w:eastAsia="SimSun" w:hAnsi="Calibri" w:cs="Calibri"/>
      <w:sz w:val="24"/>
      <w:szCs w:val="24"/>
    </w:rPr>
  </w:style>
  <w:style w:type="character" w:customStyle="1" w:styleId="StandardChar">
    <w:name w:val="Standard Char"/>
    <w:link w:val="Standard"/>
    <w:rsid w:val="00A82E9A"/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24</cp:revision>
  <dcterms:created xsi:type="dcterms:W3CDTF">2017-06-19T17:57:00Z</dcterms:created>
  <dcterms:modified xsi:type="dcterms:W3CDTF">2017-06-19T21:08:00Z</dcterms:modified>
</cp:coreProperties>
</file>