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7F8CE" w14:textId="77777777" w:rsidR="00464FBA" w:rsidRPr="0051246D" w:rsidRDefault="00464FBA" w:rsidP="00464FBA">
      <w:pPr>
        <w:pStyle w:val="xl30"/>
        <w:pBdr>
          <w:left w:val="none" w:sz="0" w:space="0" w:color="auto"/>
        </w:pBdr>
        <w:spacing w:before="0" w:beforeAutospacing="0" w:after="160" w:afterAutospacing="0"/>
        <w:outlineLvl w:val="0"/>
        <w:rPr>
          <w:rFonts w:ascii="Calibri" w:eastAsia="Times New Roman" w:hAnsi="Calibri"/>
          <w:sz w:val="18"/>
          <w:szCs w:val="16"/>
        </w:rPr>
      </w:pPr>
    </w:p>
    <w:p w14:paraId="17D0F70B" w14:textId="77777777" w:rsidR="00464FBA" w:rsidRPr="0051246D" w:rsidRDefault="00464FBA" w:rsidP="00464FBA">
      <w:pPr>
        <w:pStyle w:val="xl30"/>
        <w:pBdr>
          <w:left w:val="none" w:sz="0" w:space="0" w:color="auto"/>
        </w:pBdr>
        <w:spacing w:before="0" w:beforeAutospacing="0" w:after="160" w:afterAutospacing="0"/>
        <w:outlineLvl w:val="0"/>
        <w:rPr>
          <w:rFonts w:ascii="Calibri" w:eastAsia="Times New Roman" w:hAnsi="Calibri"/>
          <w:sz w:val="18"/>
          <w:szCs w:val="16"/>
        </w:rPr>
      </w:pPr>
    </w:p>
    <w:p w14:paraId="46A20C4E" w14:textId="77777777" w:rsidR="00464FBA" w:rsidRPr="0051246D" w:rsidRDefault="00464FBA" w:rsidP="00464FBA">
      <w:pPr>
        <w:pStyle w:val="xl30"/>
        <w:pBdr>
          <w:left w:val="none" w:sz="0" w:space="0" w:color="auto"/>
        </w:pBdr>
        <w:spacing w:before="0" w:beforeAutospacing="0" w:after="160" w:afterAutospacing="0"/>
        <w:outlineLvl w:val="0"/>
        <w:rPr>
          <w:rFonts w:ascii="Calibri" w:eastAsia="Times New Roman" w:hAnsi="Calibri"/>
          <w:sz w:val="18"/>
          <w:szCs w:val="16"/>
        </w:rPr>
      </w:pPr>
    </w:p>
    <w:p w14:paraId="51BEE5BA" w14:textId="77777777" w:rsidR="00464FBA" w:rsidRPr="0051246D" w:rsidRDefault="00464FBA" w:rsidP="00464FBA">
      <w:pPr>
        <w:pStyle w:val="xl30"/>
        <w:pBdr>
          <w:left w:val="none" w:sz="0" w:space="0" w:color="auto"/>
        </w:pBdr>
        <w:spacing w:before="0" w:beforeAutospacing="0" w:after="160" w:afterAutospacing="0"/>
        <w:outlineLvl w:val="0"/>
        <w:rPr>
          <w:rFonts w:ascii="Calibri" w:eastAsia="Times New Roman" w:hAnsi="Calibri"/>
          <w:sz w:val="18"/>
          <w:szCs w:val="16"/>
        </w:rPr>
      </w:pPr>
    </w:p>
    <w:p w14:paraId="237FDECC" w14:textId="77777777" w:rsidR="00464FBA" w:rsidRPr="0051246D" w:rsidRDefault="0080716B" w:rsidP="00464FBA">
      <w:pPr>
        <w:pStyle w:val="xl30"/>
        <w:pBdr>
          <w:left w:val="none" w:sz="0" w:space="0" w:color="auto"/>
        </w:pBdr>
        <w:spacing w:before="0" w:beforeAutospacing="0" w:after="160" w:afterAutospacing="0"/>
        <w:outlineLvl w:val="0"/>
        <w:rPr>
          <w:rFonts w:ascii="Calibri" w:eastAsia="Times New Roman" w:hAnsi="Calibri"/>
          <w:sz w:val="18"/>
          <w:szCs w:val="16"/>
        </w:rPr>
      </w:pPr>
      <w:r w:rsidRPr="0051246D">
        <w:rPr>
          <w:rFonts w:ascii="Calibri" w:eastAsia="Times New Roman" w:hAnsi="Calibri"/>
          <w:sz w:val="18"/>
          <w:szCs w:val="16"/>
        </w:rPr>
        <w:t>PORTARIA N</w:t>
      </w:r>
      <w:r w:rsidRPr="0051246D">
        <w:rPr>
          <w:rFonts w:ascii="Calibri" w:hAnsi="Calibri"/>
          <w:sz w:val="18"/>
          <w:szCs w:val="16"/>
        </w:rPr>
        <w:t xml:space="preserve">º </w:t>
      </w:r>
      <w:r w:rsidRPr="0051246D">
        <w:rPr>
          <w:rFonts w:ascii="Calibri" w:hAnsi="Calibri"/>
          <w:sz w:val="18"/>
          <w:szCs w:val="16"/>
          <w:highlight w:val="yellow"/>
        </w:rPr>
        <w:t>XX</w:t>
      </w:r>
      <w:r w:rsidRPr="0051246D">
        <w:rPr>
          <w:rFonts w:ascii="Calibri" w:hAnsi="Calibri"/>
          <w:sz w:val="18"/>
          <w:szCs w:val="16"/>
        </w:rPr>
        <w:t>,</w:t>
      </w:r>
      <w:r w:rsidRPr="0051246D">
        <w:rPr>
          <w:rFonts w:ascii="Calibri" w:eastAsia="Times New Roman" w:hAnsi="Calibri"/>
          <w:sz w:val="18"/>
          <w:szCs w:val="16"/>
        </w:rPr>
        <w:t xml:space="preserve"> DE </w:t>
      </w:r>
      <w:r w:rsidRPr="0051246D">
        <w:rPr>
          <w:rFonts w:ascii="Calibri" w:eastAsia="Times New Roman" w:hAnsi="Calibri"/>
          <w:sz w:val="18"/>
          <w:szCs w:val="16"/>
          <w:highlight w:val="yellow"/>
        </w:rPr>
        <w:t>XX</w:t>
      </w:r>
      <w:r w:rsidRPr="0051246D">
        <w:rPr>
          <w:rFonts w:ascii="Calibri" w:eastAsia="Times New Roman" w:hAnsi="Calibri"/>
          <w:sz w:val="18"/>
          <w:szCs w:val="16"/>
        </w:rPr>
        <w:t xml:space="preserve"> DE </w:t>
      </w:r>
      <w:proofErr w:type="gramStart"/>
      <w:r w:rsidRPr="0051246D">
        <w:rPr>
          <w:rFonts w:ascii="Calibri" w:eastAsia="Times New Roman" w:hAnsi="Calibri"/>
          <w:sz w:val="18"/>
          <w:szCs w:val="16"/>
          <w:highlight w:val="yellow"/>
        </w:rPr>
        <w:t>MAIO</w:t>
      </w:r>
      <w:proofErr w:type="gramEnd"/>
      <w:r w:rsidRPr="0051246D">
        <w:rPr>
          <w:rFonts w:ascii="Calibri" w:eastAsia="Times New Roman" w:hAnsi="Calibri"/>
          <w:sz w:val="18"/>
          <w:szCs w:val="16"/>
        </w:rPr>
        <w:t xml:space="preserve"> DE </w:t>
      </w:r>
      <w:r w:rsidRPr="0051246D">
        <w:rPr>
          <w:rFonts w:ascii="Calibri" w:eastAsia="Times New Roman" w:hAnsi="Calibri"/>
          <w:sz w:val="18"/>
          <w:szCs w:val="16"/>
          <w:highlight w:val="yellow"/>
        </w:rPr>
        <w:t>2020</w:t>
      </w:r>
    </w:p>
    <w:p w14:paraId="7B9303DC" w14:textId="77777777" w:rsidR="00464FBA" w:rsidRPr="0051246D" w:rsidRDefault="00464FBA" w:rsidP="00464FBA">
      <w:pPr>
        <w:pStyle w:val="xl30"/>
        <w:pBdr>
          <w:left w:val="none" w:sz="0" w:space="0" w:color="auto"/>
        </w:pBdr>
        <w:spacing w:before="0" w:beforeAutospacing="0" w:after="160" w:afterAutospacing="0"/>
        <w:outlineLvl w:val="0"/>
        <w:rPr>
          <w:rFonts w:ascii="Calibri" w:eastAsia="Times New Roman" w:hAnsi="Calibri"/>
          <w:sz w:val="18"/>
          <w:szCs w:val="16"/>
        </w:rPr>
      </w:pPr>
    </w:p>
    <w:p w14:paraId="52080143" w14:textId="77777777" w:rsidR="00464FBA" w:rsidRPr="0051246D" w:rsidRDefault="00464FBA" w:rsidP="00464FBA">
      <w:pPr>
        <w:pStyle w:val="xl24"/>
        <w:spacing w:before="0" w:beforeAutospacing="0" w:after="160" w:afterAutospacing="0"/>
        <w:rPr>
          <w:rFonts w:ascii="Calibri" w:eastAsia="Times New Roman" w:hAnsi="Calibri"/>
          <w:sz w:val="18"/>
          <w:szCs w:val="16"/>
        </w:rPr>
      </w:pPr>
    </w:p>
    <w:p w14:paraId="18254860" w14:textId="77777777" w:rsidR="00464FBA" w:rsidRPr="0051246D" w:rsidRDefault="00464FBA" w:rsidP="00464FBA">
      <w:pPr>
        <w:pStyle w:val="xl24"/>
        <w:spacing w:before="0" w:beforeAutospacing="0" w:after="160" w:afterAutospacing="0"/>
        <w:rPr>
          <w:rFonts w:ascii="Calibri" w:eastAsia="Times New Roman" w:hAnsi="Calibri"/>
          <w:sz w:val="18"/>
          <w:szCs w:val="16"/>
        </w:rPr>
      </w:pPr>
    </w:p>
    <w:p w14:paraId="695646F7" w14:textId="77777777" w:rsidR="00464FBA" w:rsidRPr="0051246D" w:rsidRDefault="00464FBA" w:rsidP="00464FBA">
      <w:pPr>
        <w:pStyle w:val="xl24"/>
        <w:spacing w:before="0" w:beforeAutospacing="0" w:after="160" w:afterAutospacing="0"/>
        <w:rPr>
          <w:rFonts w:ascii="Calibri" w:eastAsia="Times New Roman" w:hAnsi="Calibri"/>
          <w:sz w:val="18"/>
          <w:szCs w:val="16"/>
        </w:rPr>
      </w:pPr>
    </w:p>
    <w:p w14:paraId="2DED657F" w14:textId="77777777" w:rsidR="00464FBA" w:rsidRPr="0051246D" w:rsidRDefault="00464FBA" w:rsidP="00464FBA">
      <w:pPr>
        <w:spacing w:after="160"/>
        <w:jc w:val="both"/>
        <w:rPr>
          <w:rFonts w:ascii="Calibri" w:hAnsi="Calibri"/>
          <w:sz w:val="18"/>
          <w:szCs w:val="16"/>
          <w:lang w:val="pt-BR"/>
        </w:rPr>
      </w:pPr>
    </w:p>
    <w:p w14:paraId="075B84F8" w14:textId="77777777" w:rsidR="00464FBA" w:rsidRPr="0051246D" w:rsidRDefault="0080716B" w:rsidP="00464FBA">
      <w:pPr>
        <w:spacing w:after="120"/>
        <w:ind w:firstLine="567"/>
        <w:jc w:val="both"/>
        <w:rPr>
          <w:rFonts w:ascii="Calibri" w:hAnsi="Calibri"/>
          <w:sz w:val="18"/>
          <w:szCs w:val="16"/>
          <w:lang w:val="pt-BR"/>
        </w:rPr>
      </w:pPr>
      <w:r w:rsidRPr="0051246D">
        <w:rPr>
          <w:rFonts w:ascii="Calibri" w:hAnsi="Calibri"/>
          <w:b/>
          <w:sz w:val="18"/>
          <w:szCs w:val="16"/>
          <w:lang w:val="pt-BR"/>
        </w:rPr>
        <w:t>O SECRETÁRIO DE COORDENAÇÃO E GOVERNANÇA DAS EMPRESAS ESTATAIS DO MINISTÉRIO D</w:t>
      </w:r>
      <w:r w:rsidR="005F496A">
        <w:rPr>
          <w:rFonts w:ascii="Calibri" w:hAnsi="Calibri"/>
          <w:b/>
          <w:sz w:val="18"/>
          <w:szCs w:val="16"/>
          <w:lang w:val="pt-BR"/>
        </w:rPr>
        <w:t>A ECONOMIA</w:t>
      </w:r>
      <w:r w:rsidRPr="0051246D">
        <w:rPr>
          <w:rFonts w:ascii="Calibri" w:hAnsi="Calibri"/>
          <w:b/>
          <w:sz w:val="18"/>
          <w:szCs w:val="16"/>
          <w:lang w:val="pt-BR"/>
        </w:rPr>
        <w:t xml:space="preserve">, </w:t>
      </w:r>
      <w:r w:rsidRPr="0051246D">
        <w:rPr>
          <w:rFonts w:ascii="Calibri" w:hAnsi="Calibri"/>
          <w:sz w:val="18"/>
          <w:szCs w:val="16"/>
          <w:lang w:val="pt-BR"/>
        </w:rPr>
        <w:t>no uso da competência que lhe foi delegada pela Portaria GM n</w:t>
      </w:r>
      <w:r w:rsidRPr="0051246D">
        <w:rPr>
          <w:rFonts w:ascii="Calibri" w:hAnsi="Calibri"/>
          <w:strike/>
          <w:sz w:val="18"/>
          <w:szCs w:val="16"/>
          <w:lang w:val="pt-BR"/>
        </w:rPr>
        <w:t>º</w:t>
      </w:r>
      <w:r w:rsidRPr="0051246D">
        <w:rPr>
          <w:rFonts w:ascii="Calibri" w:hAnsi="Calibri"/>
          <w:sz w:val="18"/>
          <w:szCs w:val="16"/>
          <w:lang w:val="pt-BR"/>
        </w:rPr>
        <w:t xml:space="preserve"> 64, de 18 de abril de 2000, publicada no Diário Oficial da União de 19 de abril de 2000, e tendo em vista o disposto no § 3</w:t>
      </w:r>
      <w:r w:rsidRPr="0051246D">
        <w:rPr>
          <w:rFonts w:ascii="Calibri" w:hAnsi="Calibri"/>
          <w:strike/>
          <w:sz w:val="18"/>
          <w:szCs w:val="16"/>
          <w:lang w:val="pt-BR"/>
        </w:rPr>
        <w:t>º</w:t>
      </w:r>
      <w:r w:rsidRPr="0051246D">
        <w:rPr>
          <w:rFonts w:ascii="Calibri" w:hAnsi="Calibri"/>
          <w:sz w:val="18"/>
          <w:szCs w:val="16"/>
          <w:lang w:val="pt-BR"/>
        </w:rPr>
        <w:t xml:space="preserve"> do art. 165 da Constituição Federal, resolve:</w:t>
      </w:r>
    </w:p>
    <w:p w14:paraId="5D08CAAD" w14:textId="77777777" w:rsidR="00464FBA" w:rsidRPr="0051246D" w:rsidRDefault="0080716B" w:rsidP="00464FBA">
      <w:pPr>
        <w:spacing w:after="120"/>
        <w:ind w:firstLine="567"/>
        <w:jc w:val="both"/>
        <w:rPr>
          <w:rFonts w:ascii="Calibri" w:hAnsi="Calibri"/>
          <w:color w:val="000000"/>
          <w:sz w:val="18"/>
          <w:szCs w:val="16"/>
          <w:lang w:val="pt-BR"/>
        </w:rPr>
      </w:pPr>
      <w:r w:rsidRPr="0051246D">
        <w:rPr>
          <w:rFonts w:ascii="Calibri" w:hAnsi="Calibri"/>
          <w:sz w:val="18"/>
          <w:szCs w:val="16"/>
          <w:lang w:val="pt-BR"/>
        </w:rPr>
        <w:t>Divulgar a execução do Orçamento de Investimento das Empresas Estatais relativa ao bimestre</w:t>
      </w:r>
      <w:r w:rsidRPr="0051246D">
        <w:rPr>
          <w:rFonts w:ascii="Calibri" w:hAnsi="Calibri"/>
          <w:b/>
          <w:sz w:val="18"/>
          <w:szCs w:val="16"/>
          <w:lang w:val="pt-BR"/>
        </w:rPr>
        <w:t xml:space="preserve"> março/abril</w:t>
      </w:r>
      <w:r w:rsidRPr="0051246D">
        <w:rPr>
          <w:rFonts w:ascii="Calibri" w:hAnsi="Calibri"/>
          <w:b/>
          <w:bCs/>
          <w:color w:val="000000"/>
          <w:sz w:val="18"/>
          <w:szCs w:val="16"/>
          <w:lang w:val="pt-BR"/>
        </w:rPr>
        <w:t xml:space="preserve"> </w:t>
      </w:r>
      <w:r w:rsidRPr="0051246D">
        <w:rPr>
          <w:rFonts w:ascii="Calibri" w:hAnsi="Calibri"/>
          <w:color w:val="000000"/>
          <w:sz w:val="18"/>
          <w:szCs w:val="16"/>
          <w:lang w:val="pt-BR"/>
        </w:rPr>
        <w:t>de 2020, bem como a execução da política de aplicação dos recursos das agências</w:t>
      </w:r>
      <w:r w:rsidRPr="0051246D">
        <w:rPr>
          <w:rFonts w:ascii="Calibri" w:hAnsi="Calibri"/>
          <w:sz w:val="18"/>
          <w:szCs w:val="16"/>
          <w:lang w:val="pt-BR"/>
        </w:rPr>
        <w:t xml:space="preserve"> financeiras oficiais de fomento, na forma do relatório anexo.</w:t>
      </w:r>
    </w:p>
    <w:p w14:paraId="35542B9C" w14:textId="77777777" w:rsidR="00464FBA" w:rsidRPr="0051246D" w:rsidRDefault="00464FBA" w:rsidP="00464FBA">
      <w:pPr>
        <w:spacing w:after="160"/>
        <w:jc w:val="center"/>
        <w:outlineLvl w:val="0"/>
        <w:rPr>
          <w:rFonts w:ascii="Calibri" w:hAnsi="Calibri"/>
          <w:sz w:val="18"/>
          <w:szCs w:val="16"/>
          <w:lang w:val="pt-BR"/>
        </w:rPr>
      </w:pPr>
    </w:p>
    <w:p w14:paraId="7919D490" w14:textId="77777777" w:rsidR="00464FBA" w:rsidRPr="0051246D" w:rsidRDefault="00464FBA" w:rsidP="00464FBA">
      <w:pPr>
        <w:spacing w:after="160"/>
        <w:jc w:val="center"/>
        <w:outlineLvl w:val="0"/>
        <w:rPr>
          <w:rFonts w:ascii="Calibri" w:hAnsi="Calibri"/>
          <w:sz w:val="18"/>
          <w:szCs w:val="16"/>
          <w:lang w:val="pt-BR"/>
        </w:rPr>
      </w:pPr>
    </w:p>
    <w:p w14:paraId="6EFC90CB" w14:textId="77777777" w:rsidR="00464FBA" w:rsidRPr="0051246D" w:rsidRDefault="00464FBA" w:rsidP="00464FBA">
      <w:pPr>
        <w:jc w:val="center"/>
        <w:outlineLvl w:val="0"/>
        <w:rPr>
          <w:rFonts w:ascii="Calibri" w:hAnsi="Calibri"/>
          <w:sz w:val="18"/>
          <w:szCs w:val="16"/>
          <w:lang w:val="pt-BR"/>
        </w:rPr>
      </w:pPr>
    </w:p>
    <w:p w14:paraId="6A4BBEF1" w14:textId="77777777" w:rsidR="00464FBA" w:rsidRPr="00354026" w:rsidRDefault="0080716B" w:rsidP="00464FBA">
      <w:pPr>
        <w:pStyle w:val="Ttulo7"/>
        <w:spacing w:after="0"/>
        <w:rPr>
          <w:rFonts w:ascii="Calibri" w:hAnsi="Calibri"/>
          <w:sz w:val="18"/>
          <w:lang w:val="es-ES"/>
        </w:rPr>
      </w:pPr>
      <w:r w:rsidRPr="00354026">
        <w:rPr>
          <w:rFonts w:ascii="Calibri" w:hAnsi="Calibri"/>
          <w:sz w:val="18"/>
          <w:lang w:val="es-ES"/>
        </w:rPr>
        <w:t>AMARO LUIZ DE OLIVEIRA GOMES</w:t>
      </w:r>
    </w:p>
    <w:p w14:paraId="76E925D9" w14:textId="77777777" w:rsidR="00464FBA" w:rsidRDefault="0080716B" w:rsidP="00464FBA">
      <w:pPr>
        <w:jc w:val="center"/>
        <w:rPr>
          <w:rFonts w:ascii="Calibri" w:hAnsi="Calibri"/>
          <w:sz w:val="18"/>
          <w:lang w:val="es-ES"/>
        </w:rPr>
      </w:pPr>
      <w:proofErr w:type="spellStart"/>
      <w:r w:rsidRPr="0051246D">
        <w:rPr>
          <w:rFonts w:ascii="Calibri" w:hAnsi="Calibri"/>
          <w:sz w:val="18"/>
          <w:lang w:val="es-ES"/>
        </w:rPr>
        <w:t>Secretário</w:t>
      </w:r>
      <w:proofErr w:type="spellEnd"/>
    </w:p>
    <w:p w14:paraId="695DF129" w14:textId="77777777" w:rsidR="00464FBA" w:rsidRPr="0051246D" w:rsidRDefault="00464FBA" w:rsidP="00464FBA">
      <w:pPr>
        <w:jc w:val="center"/>
        <w:rPr>
          <w:rFonts w:ascii="Calibri" w:hAnsi="Calibri"/>
          <w:sz w:val="18"/>
          <w:lang w:val="es-ES"/>
        </w:rPr>
      </w:pPr>
    </w:p>
    <w:p w14:paraId="53F9B17F" w14:textId="77777777" w:rsidR="00464FBA" w:rsidRDefault="00464FBA" w:rsidP="00464FBA">
      <w:pPr>
        <w:outlineLvl w:val="0"/>
        <w:rPr>
          <w:rFonts w:ascii="Calibri" w:hAnsi="Calibri"/>
          <w:sz w:val="18"/>
          <w:szCs w:val="16"/>
          <w:lang w:val="es-ES"/>
        </w:rPr>
      </w:pPr>
    </w:p>
    <w:p w14:paraId="2D1B3BCA" w14:textId="77777777" w:rsidR="00464FBA" w:rsidRPr="0051246D" w:rsidRDefault="00464FBA" w:rsidP="00464FBA">
      <w:pPr>
        <w:outlineLvl w:val="0"/>
        <w:rPr>
          <w:rFonts w:ascii="Calibri" w:hAnsi="Calibri"/>
          <w:sz w:val="18"/>
          <w:szCs w:val="16"/>
          <w:lang w:val="es-ES"/>
        </w:rPr>
      </w:pPr>
    </w:p>
    <w:p w14:paraId="08D18862" w14:textId="77777777" w:rsidR="00464FBA" w:rsidRPr="0051246D" w:rsidRDefault="00464FBA" w:rsidP="00464FBA">
      <w:pPr>
        <w:outlineLvl w:val="0"/>
        <w:rPr>
          <w:rFonts w:ascii="Calibri" w:hAnsi="Calibri"/>
          <w:sz w:val="18"/>
          <w:szCs w:val="16"/>
          <w:lang w:val="es-ES"/>
        </w:rPr>
      </w:pPr>
    </w:p>
    <w:p w14:paraId="6969BC77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18700929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1D1C1AE6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5A40BB73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00641913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1B22AFC4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1CBDBF15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3658586E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76453898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589907BE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01CAECDA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60ED1F17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03CEA288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293DF879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49721538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38A4E853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29718FF8" w14:textId="77777777" w:rsidR="00464FBA" w:rsidRPr="0051246D" w:rsidRDefault="00464FBA" w:rsidP="00464FBA">
      <w:pPr>
        <w:spacing w:after="160"/>
        <w:outlineLvl w:val="0"/>
        <w:rPr>
          <w:rFonts w:ascii="Calibri" w:hAnsi="Calibri"/>
          <w:sz w:val="18"/>
          <w:szCs w:val="16"/>
          <w:lang w:val="es-ES"/>
        </w:rPr>
      </w:pPr>
    </w:p>
    <w:p w14:paraId="04ACF271" w14:textId="77777777" w:rsidR="00464FBA" w:rsidRDefault="0080716B" w:rsidP="00464FBA">
      <w:pPr>
        <w:spacing w:after="160"/>
        <w:jc w:val="center"/>
        <w:outlineLvl w:val="0"/>
        <w:rPr>
          <w:rFonts w:ascii="Calibri" w:hAnsi="Calibri"/>
          <w:b/>
          <w:sz w:val="18"/>
          <w:szCs w:val="16"/>
          <w:lang w:val="pt-BR"/>
        </w:rPr>
      </w:pPr>
      <w:r w:rsidRPr="0051246D">
        <w:rPr>
          <w:rFonts w:ascii="Calibri" w:hAnsi="Calibri"/>
          <w:b/>
          <w:sz w:val="18"/>
          <w:szCs w:val="16"/>
          <w:lang w:val="pt-BR"/>
        </w:rPr>
        <w:lastRenderedPageBreak/>
        <w:t>ANEXO</w:t>
      </w:r>
    </w:p>
    <w:p w14:paraId="79DD8841" w14:textId="77777777" w:rsidR="00464FBA" w:rsidRPr="0051246D" w:rsidRDefault="00464FBA" w:rsidP="00464FBA">
      <w:pPr>
        <w:spacing w:after="160"/>
        <w:jc w:val="center"/>
        <w:outlineLvl w:val="0"/>
        <w:rPr>
          <w:rFonts w:ascii="Calibri" w:hAnsi="Calibri"/>
          <w:color w:val="000000"/>
          <w:sz w:val="18"/>
          <w:szCs w:val="16"/>
          <w:lang w:val="pt-BR"/>
        </w:rPr>
      </w:pPr>
    </w:p>
    <w:p w14:paraId="42C11016" w14:textId="77777777" w:rsidR="00464FBA" w:rsidRPr="00354026" w:rsidRDefault="0080716B" w:rsidP="00464FBA">
      <w:pPr>
        <w:pStyle w:val="Ttulo5"/>
        <w:keepNext/>
        <w:spacing w:before="0" w:after="160"/>
        <w:jc w:val="center"/>
        <w:rPr>
          <w:lang w:val="pt-BR" w:eastAsia="pt-BR"/>
        </w:rPr>
      </w:pPr>
      <w:r w:rsidRPr="00354026">
        <w:rPr>
          <w:bCs w:val="0"/>
          <w:i w:val="0"/>
          <w:iCs w:val="0"/>
          <w:color w:val="000000"/>
          <w:sz w:val="18"/>
          <w:szCs w:val="16"/>
          <w:lang w:val="pt-BR" w:eastAsia="pt-BR"/>
        </w:rPr>
        <w:t>ORÇAMENTO DE INVESTIMENTO 2020</w:t>
      </w:r>
    </w:p>
    <w:p w14:paraId="0392FA2E" w14:textId="77777777" w:rsidR="00464FBA" w:rsidRPr="00354026" w:rsidRDefault="0080716B" w:rsidP="00464FBA">
      <w:pPr>
        <w:spacing w:after="160"/>
        <w:jc w:val="center"/>
        <w:outlineLvl w:val="0"/>
        <w:rPr>
          <w:rFonts w:ascii="Calibri" w:hAnsi="Calibri"/>
          <w:b/>
          <w:color w:val="000000"/>
          <w:sz w:val="18"/>
          <w:szCs w:val="16"/>
          <w:lang w:val="pt-BR" w:eastAsia="pt-BR"/>
        </w:rPr>
      </w:pPr>
      <w:r w:rsidRPr="00354026">
        <w:rPr>
          <w:rFonts w:ascii="Calibri" w:hAnsi="Calibri"/>
          <w:b/>
          <w:color w:val="000000"/>
          <w:sz w:val="18"/>
          <w:szCs w:val="16"/>
          <w:lang w:val="pt-BR" w:eastAsia="pt-BR"/>
        </w:rPr>
        <w:t>Relatório de Execução Orçamentária referente ao 2º bimestre</w:t>
      </w:r>
    </w:p>
    <w:p w14:paraId="3894768D" w14:textId="77777777" w:rsidR="00464FBA" w:rsidRPr="0051246D" w:rsidRDefault="00464FBA" w:rsidP="00464FBA">
      <w:pPr>
        <w:spacing w:after="160"/>
        <w:jc w:val="both"/>
        <w:rPr>
          <w:rFonts w:ascii="Calibri" w:hAnsi="Calibri"/>
          <w:color w:val="000000"/>
          <w:sz w:val="18"/>
          <w:szCs w:val="16"/>
          <w:lang w:val="pt-BR"/>
        </w:rPr>
      </w:pPr>
    </w:p>
    <w:p w14:paraId="3294CFC6" w14:textId="77777777" w:rsidR="00464FBA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>1. O Orçamento de Investimento das Empresas Estatais Federais para o exercício de 2020 foi aprovado pela Lei 13.978, de 17 de janeiro de 2020, Lei Orçamentária Anual, publicada no Diário Oficial da União de 20.01.2020, no valor global de R$ 121.421.955.849,</w:t>
      </w:r>
      <w:r w:rsidRPr="00464FBA">
        <w:rPr>
          <w:rFonts w:ascii="Calibri" w:hAnsi="Calibri"/>
          <w:color w:val="000000"/>
          <w:sz w:val="18"/>
          <w:szCs w:val="16"/>
        </w:rPr>
        <w:t>00 (</w:t>
      </w:r>
      <w:r w:rsidR="00A65260">
        <w:rPr>
          <w:rFonts w:ascii="Calibri" w:hAnsi="Calibri"/>
          <w:color w:val="000000"/>
          <w:sz w:val="18"/>
          <w:szCs w:val="16"/>
        </w:rPr>
        <w:t>c</w:t>
      </w:r>
      <w:r w:rsidRPr="00464FBA">
        <w:rPr>
          <w:rFonts w:ascii="Calibri" w:hAnsi="Calibri"/>
          <w:color w:val="000000"/>
          <w:sz w:val="18"/>
          <w:szCs w:val="16"/>
        </w:rPr>
        <w:t xml:space="preserve">ento e vinte </w:t>
      </w:r>
      <w:r w:rsidR="00464FBA" w:rsidRPr="00464FBA">
        <w:rPr>
          <w:rFonts w:ascii="Calibri" w:hAnsi="Calibri"/>
          <w:color w:val="000000"/>
          <w:sz w:val="18"/>
          <w:szCs w:val="16"/>
        </w:rPr>
        <w:t xml:space="preserve">e um </w:t>
      </w:r>
      <w:r w:rsidRPr="00464FBA">
        <w:rPr>
          <w:rFonts w:ascii="Calibri" w:hAnsi="Calibri"/>
          <w:color w:val="000000"/>
          <w:sz w:val="18"/>
          <w:szCs w:val="16"/>
        </w:rPr>
        <w:t xml:space="preserve">bilhões, </w:t>
      </w:r>
      <w:r w:rsidR="00464FBA" w:rsidRPr="00464FBA">
        <w:rPr>
          <w:rFonts w:ascii="Calibri" w:hAnsi="Calibri"/>
          <w:color w:val="000000"/>
          <w:sz w:val="18"/>
          <w:szCs w:val="16"/>
        </w:rPr>
        <w:t>quatrocentos e vinte e um</w:t>
      </w:r>
      <w:r w:rsidRPr="00464FBA">
        <w:rPr>
          <w:rFonts w:ascii="Calibri" w:hAnsi="Calibri"/>
          <w:color w:val="000000"/>
          <w:sz w:val="18"/>
          <w:szCs w:val="16"/>
        </w:rPr>
        <w:t xml:space="preserve"> milhões, </w:t>
      </w:r>
      <w:r w:rsidR="00464FBA" w:rsidRPr="00464FBA">
        <w:rPr>
          <w:rFonts w:ascii="Calibri" w:hAnsi="Calibri"/>
          <w:color w:val="000000"/>
          <w:sz w:val="18"/>
          <w:szCs w:val="16"/>
        </w:rPr>
        <w:t>novecentos e cinquenta e cinco</w:t>
      </w:r>
      <w:r w:rsidRPr="00464FBA">
        <w:rPr>
          <w:rFonts w:ascii="Calibri" w:hAnsi="Calibri"/>
          <w:color w:val="000000"/>
          <w:sz w:val="18"/>
          <w:szCs w:val="16"/>
        </w:rPr>
        <w:t xml:space="preserve"> mil, </w:t>
      </w:r>
      <w:r w:rsidR="00464FBA" w:rsidRPr="00464FBA">
        <w:rPr>
          <w:rFonts w:ascii="Calibri" w:hAnsi="Calibri"/>
          <w:color w:val="000000"/>
          <w:sz w:val="18"/>
          <w:szCs w:val="16"/>
        </w:rPr>
        <w:t>oitocentos e quarenta e nove</w:t>
      </w:r>
      <w:r w:rsidRPr="00464FBA">
        <w:rPr>
          <w:rFonts w:ascii="Calibri" w:hAnsi="Calibri"/>
          <w:color w:val="000000"/>
          <w:sz w:val="18"/>
          <w:szCs w:val="16"/>
        </w:rPr>
        <w:t xml:space="preserve"> reais</w:t>
      </w:r>
      <w:r w:rsidRPr="00C64DFA">
        <w:rPr>
          <w:rFonts w:ascii="Calibri" w:hAnsi="Calibri"/>
          <w:color w:val="000000"/>
          <w:sz w:val="18"/>
          <w:szCs w:val="16"/>
        </w:rPr>
        <w:t>).  Esse montante agregava dotações para a execução de obras ou serviços em 222 projetos e 189 atividades, distribuídos em 71 empresas estatais federais. Os valores atribuídos a cada um dos subtítulos (projeto/atividade/localizador de gasto) constantes da LOA consolidam a denominada Dotação Inicial.</w:t>
      </w:r>
    </w:p>
    <w:p w14:paraId="11F39C86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354026">
        <w:rPr>
          <w:rFonts w:ascii="Calibri" w:hAnsi="Calibri"/>
          <w:color w:val="000000"/>
          <w:sz w:val="18"/>
          <w:szCs w:val="16"/>
        </w:rPr>
        <w:t>2. Foram aprovados créditos adicionais e Transposição de Dotações Orçamentárias, ao Orçamento de Investimento, promovendo suplementações ou cancelamentos em dotações de subtítulos pré-existentes. A consolidação dos valores da Dotação Inicial com o movimento decorrente dos créditos aprovados resultou na chamada Dotação Atual, que define o limite anual de gasto autorizado para cada subtítulo.</w:t>
      </w:r>
    </w:p>
    <w:p w14:paraId="49C87FFE" w14:textId="6166D6BD" w:rsidR="00464FBA" w:rsidRPr="0051246D" w:rsidRDefault="0080716B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 xml:space="preserve">3. </w:t>
      </w:r>
      <w:r w:rsidR="0057369C">
        <w:rPr>
          <w:rFonts w:ascii="Calibri" w:hAnsi="Calibri"/>
          <w:color w:val="000000"/>
          <w:sz w:val="18"/>
          <w:szCs w:val="16"/>
        </w:rPr>
        <w:t xml:space="preserve">Neste bimestre houve a </w:t>
      </w:r>
      <w:r w:rsidR="002807DE" w:rsidRPr="002807DE">
        <w:rPr>
          <w:rFonts w:ascii="Calibri" w:hAnsi="Calibri"/>
          <w:color w:val="000000"/>
          <w:sz w:val="18"/>
          <w:szCs w:val="16"/>
        </w:rPr>
        <w:t>incorporaç</w:t>
      </w:r>
      <w:r w:rsidR="006835E3">
        <w:rPr>
          <w:rFonts w:ascii="Calibri" w:hAnsi="Calibri"/>
          <w:color w:val="000000"/>
          <w:sz w:val="18"/>
          <w:szCs w:val="16"/>
        </w:rPr>
        <w:t xml:space="preserve">ão da empresa </w:t>
      </w:r>
      <w:r w:rsidR="006835E3" w:rsidRPr="006835E3">
        <w:rPr>
          <w:rFonts w:ascii="Calibri" w:hAnsi="Calibri"/>
          <w:color w:val="000000"/>
          <w:sz w:val="18"/>
          <w:szCs w:val="16"/>
        </w:rPr>
        <w:t xml:space="preserve">Centrais Elétricas do Sul do Brasil S.A. - </w:t>
      </w:r>
      <w:proofErr w:type="spellStart"/>
      <w:r w:rsidR="006835E3" w:rsidRPr="006835E3">
        <w:rPr>
          <w:rFonts w:ascii="Calibri" w:hAnsi="Calibri"/>
          <w:color w:val="000000"/>
          <w:sz w:val="18"/>
          <w:szCs w:val="16"/>
        </w:rPr>
        <w:t>Eletrosul</w:t>
      </w:r>
      <w:proofErr w:type="spellEnd"/>
      <w:r w:rsidR="006835E3" w:rsidRPr="006835E3">
        <w:rPr>
          <w:rFonts w:ascii="Calibri" w:hAnsi="Calibri"/>
          <w:color w:val="000000"/>
          <w:sz w:val="18"/>
          <w:szCs w:val="16"/>
        </w:rPr>
        <w:t xml:space="preserve"> p</w:t>
      </w:r>
      <w:r w:rsidR="0057369C">
        <w:rPr>
          <w:rFonts w:ascii="Calibri" w:hAnsi="Calibri"/>
          <w:color w:val="000000"/>
          <w:sz w:val="18"/>
          <w:szCs w:val="16"/>
        </w:rPr>
        <w:t>ela</w:t>
      </w:r>
      <w:r w:rsidR="006835E3" w:rsidRPr="006835E3">
        <w:rPr>
          <w:rFonts w:ascii="Calibri" w:hAnsi="Calibri"/>
          <w:color w:val="000000"/>
          <w:sz w:val="18"/>
          <w:szCs w:val="16"/>
        </w:rPr>
        <w:t xml:space="preserve"> a Companhia de Geração Térmica de Energia Elétrica </w:t>
      </w:r>
      <w:r w:rsidR="0057369C">
        <w:rPr>
          <w:rFonts w:ascii="Calibri" w:hAnsi="Calibri"/>
          <w:color w:val="000000"/>
          <w:sz w:val="18"/>
          <w:szCs w:val="16"/>
        </w:rPr>
        <w:t>–</w:t>
      </w:r>
      <w:r w:rsidR="006835E3" w:rsidRPr="006835E3">
        <w:rPr>
          <w:rFonts w:ascii="Calibri" w:hAnsi="Calibri"/>
          <w:color w:val="000000"/>
          <w:sz w:val="18"/>
          <w:szCs w:val="16"/>
        </w:rPr>
        <w:t xml:space="preserve"> CGTEE</w:t>
      </w:r>
      <w:r w:rsidR="0057369C">
        <w:rPr>
          <w:rFonts w:ascii="Calibri" w:hAnsi="Calibri"/>
          <w:color w:val="000000"/>
          <w:sz w:val="18"/>
          <w:szCs w:val="16"/>
        </w:rPr>
        <w:t xml:space="preserve">. Por isso, foi necessário a </w:t>
      </w:r>
      <w:r w:rsidR="006835E3" w:rsidRPr="006835E3">
        <w:rPr>
          <w:rFonts w:ascii="Calibri" w:hAnsi="Calibri"/>
          <w:color w:val="000000"/>
          <w:sz w:val="18"/>
          <w:szCs w:val="16"/>
        </w:rPr>
        <w:t>transposição do Orçamento de Investimento</w:t>
      </w:r>
      <w:r w:rsidR="006835E3">
        <w:rPr>
          <w:rFonts w:ascii="Calibri" w:hAnsi="Calibri"/>
          <w:color w:val="000000"/>
          <w:sz w:val="18"/>
          <w:szCs w:val="16"/>
        </w:rPr>
        <w:t xml:space="preserve"> da </w:t>
      </w:r>
      <w:proofErr w:type="spellStart"/>
      <w:r w:rsidR="006835E3">
        <w:rPr>
          <w:rFonts w:ascii="Calibri" w:hAnsi="Calibri"/>
          <w:color w:val="000000"/>
          <w:sz w:val="18"/>
          <w:szCs w:val="16"/>
        </w:rPr>
        <w:t>Eletrosul</w:t>
      </w:r>
      <w:proofErr w:type="spellEnd"/>
      <w:r w:rsidR="006835E3">
        <w:rPr>
          <w:rFonts w:ascii="Calibri" w:hAnsi="Calibri"/>
          <w:color w:val="000000"/>
          <w:sz w:val="18"/>
          <w:szCs w:val="16"/>
        </w:rPr>
        <w:t xml:space="preserve"> para a CGTEE </w:t>
      </w:r>
      <w:r w:rsidR="002807DE" w:rsidRPr="002807DE">
        <w:rPr>
          <w:rFonts w:ascii="Calibri" w:hAnsi="Calibri"/>
          <w:color w:val="000000"/>
          <w:sz w:val="18"/>
          <w:szCs w:val="16"/>
        </w:rPr>
        <w:t>no montante de R$ 255.175.919,00 (</w:t>
      </w:r>
      <w:r w:rsidR="00FB42D8">
        <w:rPr>
          <w:rFonts w:ascii="Calibri" w:hAnsi="Calibri"/>
          <w:color w:val="000000"/>
          <w:sz w:val="18"/>
          <w:szCs w:val="16"/>
        </w:rPr>
        <w:t>d</w:t>
      </w:r>
      <w:r w:rsidR="002807DE" w:rsidRPr="002807DE">
        <w:rPr>
          <w:rFonts w:ascii="Calibri" w:hAnsi="Calibri"/>
          <w:color w:val="000000"/>
          <w:sz w:val="18"/>
          <w:szCs w:val="16"/>
        </w:rPr>
        <w:t xml:space="preserve">uzentos e cinquenta e cinco milhões, cento e setenta e cinco mil, novecentos e dezenove reais). Com isso, o número de empresas estatais federais abrangidas no Orçamento de Investimento </w:t>
      </w:r>
      <w:r w:rsidR="006835E3">
        <w:rPr>
          <w:rFonts w:ascii="Calibri" w:hAnsi="Calibri"/>
          <w:color w:val="000000"/>
          <w:sz w:val="18"/>
          <w:szCs w:val="16"/>
        </w:rPr>
        <w:t>passou</w:t>
      </w:r>
      <w:r w:rsidR="002807DE" w:rsidRPr="002807DE">
        <w:rPr>
          <w:rFonts w:ascii="Calibri" w:hAnsi="Calibri"/>
          <w:color w:val="000000"/>
          <w:sz w:val="18"/>
          <w:szCs w:val="16"/>
        </w:rPr>
        <w:t xml:space="preserve"> de 71 para 70, sendo 63 do setor produtivo e 7 do setor financeiro. Não foram computadas as entidades cujas programações constam integralmente dos Orçamentos Fiscal e da Seguridade Social nem aquelas que não programaram investiment</w:t>
      </w:r>
      <w:r w:rsidR="003232C9">
        <w:rPr>
          <w:rFonts w:ascii="Calibri" w:hAnsi="Calibri"/>
          <w:color w:val="000000"/>
          <w:sz w:val="18"/>
          <w:szCs w:val="16"/>
        </w:rPr>
        <w:t>os.</w:t>
      </w:r>
      <w:r w:rsidRPr="0051246D">
        <w:rPr>
          <w:rFonts w:ascii="Calibri" w:hAnsi="Calibri"/>
          <w:color w:val="000000"/>
          <w:sz w:val="18"/>
          <w:szCs w:val="16"/>
        </w:rPr>
        <w:t xml:space="preserve"> </w:t>
      </w:r>
    </w:p>
    <w:p w14:paraId="2BE31FC5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>4. As 70 empresas computadas atuam em diversos setores e ramos de atividades, sendo:</w:t>
      </w:r>
    </w:p>
    <w:p w14:paraId="4346A301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 xml:space="preserve">  - 7, no setor financeiro;</w:t>
      </w:r>
    </w:p>
    <w:p w14:paraId="07E8406C" w14:textId="77777777" w:rsidR="00464FBA" w:rsidRPr="0051246D" w:rsidRDefault="0080716B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 xml:space="preserve">  - 2, no setor de armazenamento e abastecimento de produtos agrícolas;</w:t>
      </w:r>
    </w:p>
    <w:p w14:paraId="73FC27A7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 xml:space="preserve">  - 32, no setor de energia elétrica, em atividades de geração, transmissão, distribuição urbana e rural e comercialização;</w:t>
      </w:r>
    </w:p>
    <w:p w14:paraId="2B8A2941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sz w:val="18"/>
          <w:szCs w:val="16"/>
        </w:rPr>
      </w:pPr>
      <w:r>
        <w:rPr>
          <w:rFonts w:ascii="Calibri" w:hAnsi="Calibri"/>
          <w:color w:val="000000"/>
          <w:sz w:val="18"/>
          <w:szCs w:val="16"/>
        </w:rPr>
        <w:t xml:space="preserve">  - 7, no setor de petróleo, gás natural e derivados, em atividades de</w:t>
      </w:r>
      <w:r w:rsidRPr="0051246D">
        <w:rPr>
          <w:rFonts w:ascii="Calibri" w:hAnsi="Calibri"/>
          <w:sz w:val="18"/>
          <w:szCs w:val="16"/>
        </w:rPr>
        <w:t xml:space="preserve"> extração, refino, transporte e distribuição de derivados para o consumidor final;</w:t>
      </w:r>
    </w:p>
    <w:p w14:paraId="6E5D788E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sz w:val="18"/>
          <w:szCs w:val="16"/>
        </w:rPr>
      </w:pPr>
      <w:r w:rsidRPr="0051246D">
        <w:rPr>
          <w:rFonts w:ascii="Calibri" w:hAnsi="Calibri"/>
          <w:sz w:val="18"/>
          <w:szCs w:val="16"/>
        </w:rPr>
        <w:t xml:space="preserve">  - 7, no setor de administração portuária;</w:t>
      </w:r>
    </w:p>
    <w:p w14:paraId="12E6C68A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sz w:val="18"/>
          <w:szCs w:val="16"/>
        </w:rPr>
      </w:pPr>
      <w:r w:rsidRPr="0051246D">
        <w:rPr>
          <w:rFonts w:ascii="Calibri" w:hAnsi="Calibri"/>
          <w:sz w:val="18"/>
          <w:szCs w:val="16"/>
        </w:rPr>
        <w:t xml:space="preserve">  - 1, no setor de comunicações;</w:t>
      </w:r>
    </w:p>
    <w:p w14:paraId="3A5B65CA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sz w:val="18"/>
          <w:szCs w:val="16"/>
        </w:rPr>
      </w:pPr>
      <w:r w:rsidRPr="00720D16">
        <w:rPr>
          <w:rFonts w:ascii="Calibri" w:hAnsi="Calibri"/>
          <w:sz w:val="18"/>
          <w:szCs w:val="16"/>
        </w:rPr>
        <w:t xml:space="preserve">  - 1, no setor de desenvolvimento e administração da infraestrutura de aeroportos, bem como </w:t>
      </w:r>
      <w:r w:rsidRPr="00720D16">
        <w:rPr>
          <w:rFonts w:ascii="Calibri" w:hAnsi="Calibri"/>
          <w:color w:val="000000"/>
          <w:sz w:val="18"/>
          <w:szCs w:val="16"/>
        </w:rPr>
        <w:t>na</w:t>
      </w:r>
      <w:r w:rsidRPr="0051246D">
        <w:rPr>
          <w:rFonts w:ascii="Calibri" w:hAnsi="Calibri"/>
          <w:sz w:val="18"/>
          <w:szCs w:val="16"/>
        </w:rPr>
        <w:t xml:space="preserve"> proteção ao voo e segurança do tráfego aéreo;</w:t>
      </w:r>
    </w:p>
    <w:p w14:paraId="5F5CBF10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sz w:val="18"/>
          <w:szCs w:val="16"/>
        </w:rPr>
        <w:t xml:space="preserve">  - 3, no setor industrial de transformação, em segmentos diversificados, como </w:t>
      </w:r>
      <w:r w:rsidRPr="0051246D">
        <w:rPr>
          <w:rFonts w:ascii="Calibri" w:hAnsi="Calibri"/>
          <w:color w:val="000000"/>
          <w:sz w:val="18"/>
          <w:szCs w:val="16"/>
        </w:rPr>
        <w:t xml:space="preserve">produção de moeda, fertilizantes e hemoderivados; </w:t>
      </w:r>
    </w:p>
    <w:p w14:paraId="041AAA00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 xml:space="preserve">  - 8, no setor de serviços, como processamento de dados, agenciamento de turismo e gestão de ativos;</w:t>
      </w:r>
    </w:p>
    <w:p w14:paraId="0DF865AB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>
        <w:rPr>
          <w:rFonts w:ascii="Calibri" w:hAnsi="Calibri"/>
          <w:color w:val="000000"/>
          <w:sz w:val="18"/>
          <w:szCs w:val="16"/>
        </w:rPr>
        <w:t xml:space="preserve">  - 1, no setor de pesquisa, desenvolvimento e planejamento; e</w:t>
      </w:r>
    </w:p>
    <w:p w14:paraId="0D611649" w14:textId="77777777" w:rsidR="00464FBA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>
        <w:rPr>
          <w:rFonts w:ascii="Calibri" w:hAnsi="Calibri"/>
          <w:color w:val="000000"/>
          <w:sz w:val="18"/>
          <w:szCs w:val="16"/>
        </w:rPr>
        <w:t xml:space="preserve">  - 1, no setor de seguros.</w:t>
      </w:r>
    </w:p>
    <w:p w14:paraId="60A094BB" w14:textId="77777777" w:rsidR="00464FBA" w:rsidRPr="0051246D" w:rsidRDefault="00464FBA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</w:p>
    <w:p w14:paraId="0B76BC34" w14:textId="670B79AC" w:rsidR="00464FBA" w:rsidRPr="0051246D" w:rsidRDefault="0080716B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 xml:space="preserve">5. Na Tabela </w:t>
      </w:r>
      <w:smartTag w:uri="urn:schemas-microsoft-com:office:smarttags" w:element="metricconverter">
        <w:smartTagPr>
          <w:attr w:name="ProductID" w:val="01 a"/>
        </w:smartTagPr>
        <w:r w:rsidRPr="0051246D">
          <w:rPr>
            <w:rFonts w:ascii="Calibri" w:hAnsi="Calibri"/>
            <w:color w:val="000000"/>
            <w:sz w:val="18"/>
            <w:szCs w:val="16"/>
          </w:rPr>
          <w:t>01 a</w:t>
        </w:r>
      </w:smartTag>
      <w:r w:rsidRPr="0051246D">
        <w:rPr>
          <w:rFonts w:ascii="Calibri" w:hAnsi="Calibri"/>
          <w:color w:val="000000"/>
          <w:sz w:val="18"/>
          <w:szCs w:val="16"/>
        </w:rPr>
        <w:t xml:space="preserve"> seguir, está demonstrado o movimento que resultou na Dotação Autorizada de R$ 121.421.955.849,00 (</w:t>
      </w:r>
      <w:r w:rsidR="006835E3">
        <w:rPr>
          <w:rFonts w:ascii="Calibri" w:hAnsi="Calibri"/>
          <w:color w:val="000000"/>
          <w:sz w:val="18"/>
          <w:szCs w:val="16"/>
        </w:rPr>
        <w:t>c</w:t>
      </w:r>
      <w:r w:rsidR="00567072" w:rsidRPr="00464FBA">
        <w:rPr>
          <w:rFonts w:ascii="Calibri" w:hAnsi="Calibri"/>
          <w:color w:val="000000"/>
          <w:sz w:val="18"/>
          <w:szCs w:val="16"/>
        </w:rPr>
        <w:t>ento e vinte e um bilhões, quatrocentos e vinte e um milhões, novecentos e cinquenta e cinco mil, oitocentos e quarenta e nove reais</w:t>
      </w:r>
      <w:r w:rsidRPr="0051246D">
        <w:rPr>
          <w:rFonts w:ascii="Calibri" w:hAnsi="Calibri"/>
          <w:color w:val="000000"/>
          <w:sz w:val="18"/>
          <w:szCs w:val="16"/>
        </w:rPr>
        <w:t>). Como consequência, o Orçamento de Investimento de 2020 passou a agregar dotações para a execução de obras e serviços em 222 projetos e 186 atividades.</w:t>
      </w:r>
    </w:p>
    <w:p w14:paraId="651ECA70" w14:textId="77777777" w:rsidR="00464FBA" w:rsidRPr="005F496A" w:rsidRDefault="0080716B">
      <w:pPr>
        <w:rPr>
          <w:lang w:val="pt-BR"/>
        </w:rPr>
      </w:pPr>
      <w:r w:rsidRPr="005F496A">
        <w:rPr>
          <w:lang w:val="pt-BR"/>
        </w:rPr>
        <w:br w:type="page"/>
      </w:r>
    </w:p>
    <w:tbl>
      <w:tblPr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4"/>
        <w:gridCol w:w="1299"/>
        <w:gridCol w:w="1213"/>
        <w:gridCol w:w="1608"/>
      </w:tblGrid>
      <w:tr w:rsidR="00293D14" w:rsidRPr="00604D79" w14:paraId="36D14092" w14:textId="77777777" w:rsidTr="00C30DFC">
        <w:trPr>
          <w:gridAfter w:val="2"/>
          <w:wAfter w:w="1531" w:type="pct"/>
          <w:trHeight w:val="120"/>
        </w:trPr>
        <w:tc>
          <w:tcPr>
            <w:tcW w:w="3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29B0" w14:textId="77777777" w:rsidR="00464FBA" w:rsidRPr="0051246D" w:rsidRDefault="0080716B" w:rsidP="00464FBA">
            <w:pPr>
              <w:keepNext/>
              <w:rPr>
                <w:rFonts w:ascii="Calibri" w:hAnsi="Calibri"/>
                <w:sz w:val="18"/>
                <w:szCs w:val="12"/>
                <w:lang w:val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pt-BR"/>
              </w:rPr>
              <w:lastRenderedPageBreak/>
              <w:t>TABELA 01 - Demonstrativo da evolução da dotação - até 2º bimestre</w:t>
            </w:r>
          </w:p>
        </w:tc>
      </w:tr>
      <w:tr w:rsidR="00293D14" w:rsidRPr="00604D79" w14:paraId="63442ECF" w14:textId="77777777" w:rsidTr="00C30DFC">
        <w:trPr>
          <w:gridAfter w:val="2"/>
          <w:wAfter w:w="1531" w:type="pct"/>
          <w:trHeight w:val="120"/>
        </w:trPr>
        <w:tc>
          <w:tcPr>
            <w:tcW w:w="3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EFA4" w14:textId="77777777" w:rsidR="00464FBA" w:rsidRPr="0051246D" w:rsidRDefault="00464FBA" w:rsidP="00464FBA">
            <w:pPr>
              <w:keepNext/>
              <w:rPr>
                <w:rFonts w:ascii="Calibri" w:hAnsi="Calibri"/>
                <w:sz w:val="18"/>
                <w:szCs w:val="12"/>
                <w:lang w:val="pt-BR"/>
              </w:rPr>
            </w:pPr>
          </w:p>
        </w:tc>
      </w:tr>
      <w:tr w:rsidR="00293D14" w14:paraId="60B4C10C" w14:textId="77777777" w:rsidTr="00C30DFC">
        <w:trPr>
          <w:trHeight w:val="120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98EF" w14:textId="77777777" w:rsidR="00464FBA" w:rsidRPr="0051246D" w:rsidRDefault="00464FBA" w:rsidP="00464FBA">
            <w:pPr>
              <w:keepNext/>
              <w:rPr>
                <w:rFonts w:ascii="Calibri" w:hAnsi="Calibri"/>
                <w:sz w:val="18"/>
                <w:szCs w:val="12"/>
                <w:lang w:val="pt-BR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EB95" w14:textId="77777777" w:rsidR="00464FBA" w:rsidRPr="0051246D" w:rsidRDefault="00464FBA" w:rsidP="00464FBA">
            <w:pPr>
              <w:keepNext/>
              <w:rPr>
                <w:rFonts w:ascii="Calibri" w:hAnsi="Calibri"/>
                <w:sz w:val="18"/>
                <w:szCs w:val="12"/>
                <w:lang w:val="pt-BR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9760B" w14:textId="77777777" w:rsidR="00464FBA" w:rsidRPr="0051246D" w:rsidRDefault="00464FBA" w:rsidP="00464FBA">
            <w:pPr>
              <w:keepNext/>
              <w:rPr>
                <w:rFonts w:ascii="Calibri" w:hAnsi="Calibri"/>
                <w:sz w:val="18"/>
                <w:szCs w:val="12"/>
                <w:lang w:val="pt-B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23F57" w14:textId="77777777" w:rsidR="00464FBA" w:rsidRPr="0051246D" w:rsidRDefault="0080716B" w:rsidP="00464FBA">
            <w:pPr>
              <w:keepNext/>
              <w:jc w:val="right"/>
              <w:rPr>
                <w:rFonts w:ascii="Calibri" w:hAnsi="Calibri"/>
                <w:sz w:val="18"/>
                <w:szCs w:val="12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</w:rPr>
              <w:t>Valores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</w:rPr>
              <w:t>em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</w:rPr>
              <w:t xml:space="preserve"> R$ 1,00</w:t>
            </w:r>
          </w:p>
        </w:tc>
      </w:tr>
      <w:tr w:rsidR="00293D14" w14:paraId="1D2C935B" w14:textId="77777777" w:rsidTr="00C30DFC">
        <w:trPr>
          <w:trHeight w:val="120"/>
        </w:trPr>
        <w:tc>
          <w:tcPr>
            <w:tcW w:w="2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EDE67" w14:textId="77777777" w:rsidR="00464FBA" w:rsidRPr="0051246D" w:rsidRDefault="0080716B" w:rsidP="00464FBA">
            <w:pPr>
              <w:jc w:val="center"/>
              <w:rPr>
                <w:rFonts w:ascii="Calibri" w:hAnsi="Calibri"/>
                <w:b/>
                <w:bCs/>
                <w:sz w:val="18"/>
                <w:szCs w:val="12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>Especificação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BE40" w14:textId="77777777" w:rsidR="00464FBA" w:rsidRPr="0051246D" w:rsidRDefault="0080716B" w:rsidP="00464FBA">
            <w:pPr>
              <w:jc w:val="center"/>
              <w:rPr>
                <w:rFonts w:ascii="Calibri" w:hAnsi="Calibri"/>
                <w:b/>
                <w:bCs/>
                <w:sz w:val="18"/>
                <w:szCs w:val="12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>Créditos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9D3A" w14:textId="77777777" w:rsidR="00464FBA" w:rsidRPr="0051246D" w:rsidRDefault="0080716B" w:rsidP="00464FBA">
            <w:pPr>
              <w:jc w:val="center"/>
              <w:rPr>
                <w:rFonts w:ascii="Calibri" w:hAnsi="Calibri"/>
                <w:b/>
                <w:bCs/>
                <w:sz w:val="18"/>
                <w:szCs w:val="12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>Créditos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9D34" w14:textId="77777777" w:rsidR="00464FBA" w:rsidRPr="0051246D" w:rsidRDefault="0080716B" w:rsidP="00464FBA">
            <w:pPr>
              <w:jc w:val="center"/>
              <w:rPr>
                <w:rFonts w:ascii="Calibri" w:hAnsi="Calibri"/>
                <w:b/>
                <w:bCs/>
                <w:sz w:val="18"/>
                <w:szCs w:val="12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>Movimento</w:t>
            </w:r>
            <w:proofErr w:type="spellEnd"/>
          </w:p>
        </w:tc>
      </w:tr>
      <w:tr w:rsidR="00293D14" w14:paraId="32CC200F" w14:textId="77777777" w:rsidTr="00C30DFC">
        <w:trPr>
          <w:trHeight w:val="120"/>
        </w:trPr>
        <w:tc>
          <w:tcPr>
            <w:tcW w:w="2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DDE21" w14:textId="77777777" w:rsidR="00464FBA" w:rsidRPr="0051246D" w:rsidRDefault="00464FBA" w:rsidP="00464FBA">
            <w:pPr>
              <w:rPr>
                <w:rFonts w:ascii="Calibri" w:hAnsi="Calibri"/>
                <w:b/>
                <w:bCs/>
                <w:sz w:val="18"/>
                <w:szCs w:val="12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6A2F" w14:textId="77777777" w:rsidR="00464FBA" w:rsidRPr="0051246D" w:rsidRDefault="0080716B" w:rsidP="00464FBA">
            <w:pPr>
              <w:jc w:val="center"/>
              <w:rPr>
                <w:rFonts w:ascii="Calibri" w:hAnsi="Calibri"/>
                <w:b/>
                <w:bCs/>
                <w:sz w:val="18"/>
                <w:szCs w:val="12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>Suplementação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70E1" w14:textId="77777777" w:rsidR="00464FBA" w:rsidRPr="0051246D" w:rsidRDefault="0080716B" w:rsidP="00464FBA">
            <w:pPr>
              <w:jc w:val="center"/>
              <w:rPr>
                <w:rFonts w:ascii="Calibri" w:hAnsi="Calibri"/>
                <w:b/>
                <w:bCs/>
                <w:sz w:val="18"/>
                <w:szCs w:val="12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>Cancelamento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3F7A" w14:textId="77777777" w:rsidR="00464FBA" w:rsidRPr="0051246D" w:rsidRDefault="0080716B" w:rsidP="00464FBA">
            <w:pPr>
              <w:jc w:val="center"/>
              <w:rPr>
                <w:rFonts w:ascii="Calibri" w:hAnsi="Calibri"/>
                <w:b/>
                <w:bCs/>
                <w:sz w:val="18"/>
                <w:szCs w:val="12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>Líquido</w:t>
            </w:r>
            <w:proofErr w:type="spellEnd"/>
          </w:p>
        </w:tc>
      </w:tr>
      <w:tr w:rsidR="00293D14" w14:paraId="6B23D683" w14:textId="77777777" w:rsidTr="00C30DFC">
        <w:trPr>
          <w:trHeight w:val="120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6B949" w14:textId="77777777" w:rsidR="00464FBA" w:rsidRPr="0051246D" w:rsidRDefault="0080716B" w:rsidP="00464FBA">
            <w:pPr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  <w:t>Dotação Inicial (Lei n</w:t>
            </w:r>
            <w:r w:rsidRPr="0051246D">
              <w:rPr>
                <w:rFonts w:ascii="Calibri" w:hAnsi="Calibri"/>
                <w:strike/>
                <w:sz w:val="18"/>
                <w:szCs w:val="12"/>
                <w:lang w:val="pt-BR"/>
              </w:rPr>
              <w:t>º</w:t>
            </w:r>
            <w:r w:rsidRPr="0051246D"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  <w:t xml:space="preserve"> 13.978, de 17 de janeiro de 2020)</w:t>
            </w:r>
          </w:p>
          <w:p w14:paraId="232F1D8F" w14:textId="77777777" w:rsidR="00464FBA" w:rsidRPr="0051246D" w:rsidRDefault="00464FBA" w:rsidP="00464FBA">
            <w:pPr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</w:pPr>
          </w:p>
        </w:tc>
        <w:tc>
          <w:tcPr>
            <w:tcW w:w="73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8DA9F9" w14:textId="77777777" w:rsidR="00464FBA" w:rsidRPr="0051246D" w:rsidRDefault="00464FBA" w:rsidP="00464FBA">
            <w:pPr>
              <w:jc w:val="center"/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</w:pPr>
          </w:p>
        </w:tc>
        <w:tc>
          <w:tcPr>
            <w:tcW w:w="731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AA0C" w14:textId="77777777" w:rsidR="00464FBA" w:rsidRPr="0051246D" w:rsidRDefault="00464FBA" w:rsidP="00464FBA">
            <w:pPr>
              <w:jc w:val="center"/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5A1D" w14:textId="77777777" w:rsidR="00464FBA" w:rsidRPr="0051246D" w:rsidRDefault="0080716B" w:rsidP="00464FBA">
            <w:pPr>
              <w:jc w:val="right"/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  <w:t>121.421.955.849,00</w:t>
            </w:r>
          </w:p>
        </w:tc>
      </w:tr>
      <w:tr w:rsidR="00293D14" w14:paraId="33F2D864" w14:textId="77777777" w:rsidTr="00C30DFC">
        <w:trPr>
          <w:trHeight w:val="120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94079" w14:textId="77777777" w:rsidR="00464FBA" w:rsidRPr="0051246D" w:rsidRDefault="00464FBA" w:rsidP="00464FBA">
            <w:pPr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368E" w14:textId="77777777" w:rsidR="00464FBA" w:rsidRPr="0051246D" w:rsidRDefault="00464FBA" w:rsidP="00464FBA">
            <w:pPr>
              <w:jc w:val="center"/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9BD5" w14:textId="77777777" w:rsidR="00464FBA" w:rsidRPr="0051246D" w:rsidRDefault="00464FBA" w:rsidP="00464FBA">
            <w:pPr>
              <w:jc w:val="center"/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27B2" w14:textId="77777777" w:rsidR="00464FBA" w:rsidRPr="0051246D" w:rsidRDefault="00464FBA" w:rsidP="00464FBA">
            <w:pPr>
              <w:jc w:val="right"/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</w:pPr>
          </w:p>
        </w:tc>
      </w:tr>
      <w:tr w:rsidR="004B7F82" w14:paraId="5D64AA06" w14:textId="77777777" w:rsidTr="00C30DFC">
        <w:trPr>
          <w:trHeight w:val="120"/>
        </w:trPr>
        <w:tc>
          <w:tcPr>
            <w:tcW w:w="27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4506B" w14:textId="77777777" w:rsidR="004B7F82" w:rsidRPr="0051246D" w:rsidRDefault="004B7F82" w:rsidP="00464FBA">
            <w:pPr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single" w:sz="2" w:space="0" w:color="DCDCD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D56A" w14:textId="77777777" w:rsidR="004B7F82" w:rsidRPr="0051246D" w:rsidRDefault="004B7F82" w:rsidP="00464FBA">
            <w:pPr>
              <w:jc w:val="center"/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single" w:sz="2" w:space="0" w:color="DCDCDC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145A" w14:textId="77777777" w:rsidR="004B7F82" w:rsidRPr="0051246D" w:rsidRDefault="004B7F82" w:rsidP="00464FBA">
            <w:pPr>
              <w:jc w:val="center"/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</w:pPr>
          </w:p>
        </w:tc>
        <w:tc>
          <w:tcPr>
            <w:tcW w:w="8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C086" w14:textId="77777777" w:rsidR="004B7F82" w:rsidRPr="0051246D" w:rsidRDefault="004B7F82" w:rsidP="00464FBA">
            <w:pPr>
              <w:jc w:val="right"/>
              <w:rPr>
                <w:rFonts w:ascii="Calibri" w:hAnsi="Calibri"/>
                <w:b/>
                <w:bCs/>
                <w:sz w:val="18"/>
                <w:szCs w:val="12"/>
                <w:lang w:val="pt-BR"/>
              </w:rPr>
            </w:pPr>
          </w:p>
        </w:tc>
      </w:tr>
      <w:tr w:rsidR="00293D14" w14:paraId="1D72CD83" w14:textId="77777777" w:rsidTr="00C30DFC">
        <w:trPr>
          <w:trHeight w:val="120"/>
        </w:trPr>
        <w:tc>
          <w:tcPr>
            <w:tcW w:w="2738" w:type="pct"/>
            <w:tcBorders>
              <w:top w:val="single" w:sz="2" w:space="0" w:color="DCDCDC"/>
              <w:left w:val="single" w:sz="4" w:space="0" w:color="auto"/>
              <w:bottom w:val="nil"/>
              <w:right w:val="single" w:sz="4" w:space="0" w:color="auto"/>
            </w:tcBorders>
            <w:shd w:val="solid" w:color="FFFFFF" w:fill="FFFFFF"/>
          </w:tcPr>
          <w:p w14:paraId="79DB7DBF" w14:textId="77777777" w:rsidR="00293D14" w:rsidRPr="005F496A" w:rsidRDefault="0080716B">
            <w:pPr>
              <w:rPr>
                <w:b/>
                <w:color w:val="333333"/>
                <w:sz w:val="12"/>
                <w:lang w:val="pt-BR"/>
              </w:rPr>
            </w:pPr>
            <w:r w:rsidRPr="005F496A">
              <w:rPr>
                <w:b/>
                <w:color w:val="333333"/>
                <w:sz w:val="12"/>
                <w:lang w:val="pt-BR"/>
              </w:rPr>
              <w:t>Portaria/Ato/Resolução P215 de 18.05.2020 (Transposição de dotações orçamentárias de uma Unidade Orçamentária para outra, no caso de reestruturação organizacional do Poder Executivo)</w:t>
            </w:r>
          </w:p>
        </w:tc>
        <w:tc>
          <w:tcPr>
            <w:tcW w:w="731" w:type="pct"/>
            <w:tcBorders>
              <w:top w:val="single" w:sz="2" w:space="0" w:color="DCDCDC"/>
              <w:left w:val="single" w:sz="4" w:space="0" w:color="auto"/>
              <w:bottom w:val="nil"/>
              <w:right w:val="single" w:sz="4" w:space="0" w:color="auto"/>
            </w:tcBorders>
            <w:shd w:val="solid" w:color="FFFFFF" w:fill="FFFFFF"/>
          </w:tcPr>
          <w:p w14:paraId="7473F2DB" w14:textId="77777777" w:rsidR="00293D14" w:rsidRDefault="0080716B">
            <w:pPr>
              <w:jc w:val="right"/>
              <w:rPr>
                <w:b/>
                <w:color w:val="333333"/>
                <w:sz w:val="12"/>
              </w:rPr>
            </w:pPr>
            <w:r>
              <w:rPr>
                <w:b/>
                <w:color w:val="333333"/>
                <w:sz w:val="12"/>
              </w:rPr>
              <w:t>255.175.919</w:t>
            </w:r>
          </w:p>
        </w:tc>
        <w:tc>
          <w:tcPr>
            <w:tcW w:w="731" w:type="pct"/>
            <w:tcBorders>
              <w:top w:val="single" w:sz="2" w:space="0" w:color="DCDCDC"/>
              <w:left w:val="single" w:sz="4" w:space="0" w:color="auto"/>
              <w:bottom w:val="nil"/>
              <w:right w:val="single" w:sz="4" w:space="0" w:color="auto"/>
            </w:tcBorders>
            <w:shd w:val="solid" w:color="FFFFFF" w:fill="FFFFFF"/>
          </w:tcPr>
          <w:p w14:paraId="1F38C01C" w14:textId="77777777" w:rsidR="00293D14" w:rsidRDefault="0080716B">
            <w:pPr>
              <w:jc w:val="right"/>
              <w:rPr>
                <w:b/>
                <w:color w:val="333333"/>
                <w:sz w:val="12"/>
              </w:rPr>
            </w:pPr>
            <w:r>
              <w:rPr>
                <w:b/>
                <w:color w:val="333333"/>
                <w:sz w:val="12"/>
              </w:rPr>
              <w:t>255.175.919</w:t>
            </w:r>
          </w:p>
        </w:tc>
        <w:tc>
          <w:tcPr>
            <w:tcW w:w="800" w:type="pct"/>
            <w:tcBorders>
              <w:top w:val="single" w:sz="2" w:space="0" w:color="DCDCDC"/>
              <w:left w:val="single" w:sz="4" w:space="0" w:color="auto"/>
              <w:bottom w:val="nil"/>
              <w:right w:val="single" w:sz="4" w:space="0" w:color="auto"/>
            </w:tcBorders>
            <w:shd w:val="solid" w:color="FFFFFF" w:fill="FFFFFF"/>
          </w:tcPr>
          <w:p w14:paraId="5F2EB216" w14:textId="77777777" w:rsidR="00293D14" w:rsidRDefault="0080716B">
            <w:pPr>
              <w:jc w:val="right"/>
              <w:rPr>
                <w:b/>
                <w:color w:val="333333"/>
                <w:sz w:val="12"/>
              </w:rPr>
            </w:pPr>
            <w:r>
              <w:rPr>
                <w:b/>
                <w:color w:val="333333"/>
                <w:sz w:val="12"/>
              </w:rPr>
              <w:t>0</w:t>
            </w:r>
          </w:p>
        </w:tc>
      </w:tr>
      <w:tr w:rsidR="00293D14" w14:paraId="04AAAF1A" w14:textId="77777777" w:rsidTr="00C30DFC">
        <w:trPr>
          <w:trHeight w:val="120"/>
        </w:trPr>
        <w:tc>
          <w:tcPr>
            <w:tcW w:w="2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FFFFFF"/>
          </w:tcPr>
          <w:p w14:paraId="5842D40F" w14:textId="77777777" w:rsidR="00293D14" w:rsidRPr="005F496A" w:rsidRDefault="0080716B">
            <w:pPr>
              <w:rPr>
                <w:color w:val="333333"/>
                <w:sz w:val="12"/>
                <w:lang w:val="pt-BR"/>
              </w:rPr>
            </w:pPr>
            <w:r w:rsidRPr="005F496A">
              <w:rPr>
                <w:color w:val="333333"/>
                <w:sz w:val="12"/>
                <w:lang w:val="pt-BR"/>
              </w:rPr>
              <w:t xml:space="preserve">    Companhia de Geração Térmica de Energia Elétrica - CGTEE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FFFFFF"/>
          </w:tcPr>
          <w:p w14:paraId="16CE2981" w14:textId="77777777" w:rsidR="00293D14" w:rsidRDefault="0080716B">
            <w:pPr>
              <w:jc w:val="right"/>
              <w:rPr>
                <w:color w:val="333333"/>
                <w:sz w:val="12"/>
              </w:rPr>
            </w:pPr>
            <w:r>
              <w:rPr>
                <w:color w:val="333333"/>
                <w:sz w:val="12"/>
              </w:rPr>
              <w:t>255.175.919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FFFFFF"/>
          </w:tcPr>
          <w:p w14:paraId="7E1AFC79" w14:textId="77777777" w:rsidR="00293D14" w:rsidRDefault="0080716B">
            <w:pPr>
              <w:jc w:val="right"/>
              <w:rPr>
                <w:color w:val="333333"/>
                <w:sz w:val="12"/>
              </w:rPr>
            </w:pPr>
            <w:r>
              <w:rPr>
                <w:color w:val="333333"/>
                <w:sz w:val="12"/>
              </w:rPr>
              <w:t>0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FFFFFF"/>
          </w:tcPr>
          <w:p w14:paraId="6C549A27" w14:textId="77777777" w:rsidR="00293D14" w:rsidRDefault="0080716B">
            <w:pPr>
              <w:jc w:val="right"/>
              <w:rPr>
                <w:color w:val="333333"/>
                <w:sz w:val="12"/>
              </w:rPr>
            </w:pPr>
            <w:r>
              <w:rPr>
                <w:color w:val="333333"/>
                <w:sz w:val="12"/>
              </w:rPr>
              <w:t>255.175.919</w:t>
            </w:r>
          </w:p>
        </w:tc>
      </w:tr>
      <w:tr w:rsidR="00293D14" w14:paraId="5CE2C861" w14:textId="77777777" w:rsidTr="00C30DFC">
        <w:trPr>
          <w:trHeight w:val="120"/>
        </w:trPr>
        <w:tc>
          <w:tcPr>
            <w:tcW w:w="2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FFFFFF"/>
          </w:tcPr>
          <w:p w14:paraId="230C1F56" w14:textId="77777777" w:rsidR="00293D14" w:rsidRPr="005F496A" w:rsidRDefault="0080716B">
            <w:pPr>
              <w:rPr>
                <w:color w:val="333333"/>
                <w:sz w:val="12"/>
                <w:lang w:val="pt-BR"/>
              </w:rPr>
            </w:pPr>
            <w:r w:rsidRPr="005F496A">
              <w:rPr>
                <w:color w:val="333333"/>
                <w:sz w:val="12"/>
                <w:lang w:val="pt-BR"/>
              </w:rPr>
              <w:t xml:space="preserve">    ELETROSUL Centrais Elétricas S.A.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FFFFFF"/>
          </w:tcPr>
          <w:p w14:paraId="231AE423" w14:textId="77777777" w:rsidR="00293D14" w:rsidRDefault="0080716B">
            <w:pPr>
              <w:jc w:val="right"/>
              <w:rPr>
                <w:color w:val="333333"/>
                <w:sz w:val="12"/>
              </w:rPr>
            </w:pPr>
            <w:r>
              <w:rPr>
                <w:color w:val="333333"/>
                <w:sz w:val="12"/>
              </w:rPr>
              <w:t>0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FFFFFF"/>
          </w:tcPr>
          <w:p w14:paraId="59AEC78A" w14:textId="77777777" w:rsidR="00293D14" w:rsidRDefault="0080716B">
            <w:pPr>
              <w:jc w:val="right"/>
              <w:rPr>
                <w:color w:val="333333"/>
                <w:sz w:val="12"/>
              </w:rPr>
            </w:pPr>
            <w:r>
              <w:rPr>
                <w:color w:val="333333"/>
                <w:sz w:val="12"/>
              </w:rPr>
              <w:t>255.175.919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FFFFFF" w:fill="FFFFFF"/>
          </w:tcPr>
          <w:p w14:paraId="2129D526" w14:textId="77777777" w:rsidR="00293D14" w:rsidRDefault="0080716B">
            <w:pPr>
              <w:jc w:val="right"/>
              <w:rPr>
                <w:color w:val="333333"/>
                <w:sz w:val="12"/>
              </w:rPr>
            </w:pPr>
            <w:r>
              <w:rPr>
                <w:color w:val="333333"/>
                <w:sz w:val="12"/>
              </w:rPr>
              <w:t>-255.175.919</w:t>
            </w:r>
          </w:p>
        </w:tc>
      </w:tr>
      <w:tr w:rsidR="00293D14" w14:paraId="607C2F7D" w14:textId="77777777" w:rsidTr="00C30DFC">
        <w:trPr>
          <w:trHeight w:val="120"/>
        </w:trPr>
        <w:tc>
          <w:tcPr>
            <w:tcW w:w="2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0636" w14:textId="77777777" w:rsidR="00464FBA" w:rsidRPr="0051246D" w:rsidRDefault="00464FBA" w:rsidP="00464FBA">
            <w:pPr>
              <w:rPr>
                <w:rFonts w:ascii="Calibri" w:hAnsi="Calibri"/>
                <w:color w:val="000000"/>
                <w:sz w:val="18"/>
                <w:szCs w:val="16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F859" w14:textId="77777777" w:rsidR="00464FBA" w:rsidRPr="0051246D" w:rsidRDefault="00464FBA" w:rsidP="00464FBA">
            <w:pPr>
              <w:rPr>
                <w:rFonts w:ascii="Calibri" w:hAnsi="Calibri"/>
                <w:color w:val="000000"/>
                <w:sz w:val="18"/>
                <w:szCs w:val="16"/>
              </w:rPr>
            </w:pPr>
          </w:p>
        </w:tc>
        <w:tc>
          <w:tcPr>
            <w:tcW w:w="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20AF" w14:textId="77777777" w:rsidR="00464FBA" w:rsidRPr="0051246D" w:rsidRDefault="00464FBA" w:rsidP="00464FBA">
            <w:pPr>
              <w:rPr>
                <w:rFonts w:ascii="Calibri" w:hAnsi="Calibri"/>
                <w:color w:val="000000"/>
                <w:sz w:val="18"/>
                <w:szCs w:val="16"/>
              </w:rPr>
            </w:pP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CCD1" w14:textId="77777777" w:rsidR="00464FBA" w:rsidRPr="0051246D" w:rsidRDefault="00464FBA" w:rsidP="00464FBA">
            <w:pPr>
              <w:jc w:val="right"/>
              <w:rPr>
                <w:rFonts w:ascii="Calibri" w:hAnsi="Calibri"/>
                <w:color w:val="000000"/>
                <w:sz w:val="18"/>
                <w:szCs w:val="16"/>
              </w:rPr>
            </w:pPr>
          </w:p>
        </w:tc>
      </w:tr>
      <w:tr w:rsidR="00293D14" w14:paraId="5EE9A7D8" w14:textId="77777777" w:rsidTr="00C30DFC">
        <w:trPr>
          <w:trHeight w:val="120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A5C8" w14:textId="77777777" w:rsidR="00464FBA" w:rsidRPr="0051246D" w:rsidRDefault="0080716B" w:rsidP="00464FBA">
            <w:pPr>
              <w:rPr>
                <w:rFonts w:ascii="Calibri" w:hAnsi="Calibri"/>
                <w:b/>
                <w:bCs/>
                <w:sz w:val="18"/>
                <w:szCs w:val="12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>Resumo</w:t>
            </w:r>
            <w:proofErr w:type="spellEnd"/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 xml:space="preserve"> dos </w:t>
            </w: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>Créditos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9531" w14:textId="77777777" w:rsidR="00464FBA" w:rsidRPr="0051246D" w:rsidRDefault="0080716B" w:rsidP="00464FBA">
            <w:pPr>
              <w:jc w:val="right"/>
              <w:rPr>
                <w:rFonts w:ascii="Calibri" w:hAnsi="Calibri"/>
                <w:b/>
                <w:bCs/>
                <w:sz w:val="18"/>
                <w:szCs w:val="12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>255.175.919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40BB" w14:textId="77777777" w:rsidR="00464FBA" w:rsidRPr="0051246D" w:rsidRDefault="0080716B" w:rsidP="00464FBA">
            <w:pPr>
              <w:jc w:val="right"/>
              <w:rPr>
                <w:rFonts w:ascii="Calibri" w:hAnsi="Calibri"/>
                <w:b/>
                <w:bCs/>
                <w:sz w:val="18"/>
                <w:szCs w:val="12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>255.175.919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2E29" w14:textId="77777777" w:rsidR="00464FBA" w:rsidRPr="0051246D" w:rsidRDefault="0080716B" w:rsidP="00464FBA">
            <w:pPr>
              <w:jc w:val="right"/>
              <w:rPr>
                <w:rFonts w:ascii="Calibri" w:hAnsi="Calibri"/>
                <w:b/>
                <w:bCs/>
                <w:sz w:val="18"/>
                <w:szCs w:val="12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>0</w:t>
            </w:r>
          </w:p>
        </w:tc>
      </w:tr>
      <w:tr w:rsidR="00293D14" w14:paraId="4B856325" w14:textId="77777777" w:rsidTr="00C30DFC">
        <w:trPr>
          <w:trHeight w:val="120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D8F836" w14:textId="77777777" w:rsidR="00464FBA" w:rsidRPr="0051246D" w:rsidRDefault="0080716B" w:rsidP="00464FBA">
            <w:pPr>
              <w:rPr>
                <w:rFonts w:ascii="Calibri" w:hAnsi="Calibri"/>
                <w:b/>
                <w:bCs/>
                <w:sz w:val="18"/>
                <w:szCs w:val="12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>Dotação</w:t>
            </w:r>
            <w:proofErr w:type="spellEnd"/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 xml:space="preserve"> Total </w:t>
            </w: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</w:rPr>
              <w:t>Autorizada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71B4A" w14:textId="77777777" w:rsidR="00464FBA" w:rsidRPr="0051246D" w:rsidRDefault="00464FBA" w:rsidP="00464FBA">
            <w:pPr>
              <w:jc w:val="right"/>
              <w:rPr>
                <w:rFonts w:ascii="Calibri" w:hAnsi="Calibri"/>
                <w:b/>
                <w:bCs/>
                <w:sz w:val="18"/>
                <w:szCs w:val="12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C065" w14:textId="77777777" w:rsidR="00464FBA" w:rsidRPr="0051246D" w:rsidRDefault="00464FBA" w:rsidP="00464FBA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CCB7" w14:textId="77777777" w:rsidR="00464FBA" w:rsidRPr="0051246D" w:rsidRDefault="0080716B" w:rsidP="00464FBA">
            <w:pPr>
              <w:jc w:val="right"/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51246D">
              <w:rPr>
                <w:rFonts w:ascii="Calibri" w:hAnsi="Calibri"/>
                <w:b/>
                <w:color w:val="000000"/>
                <w:sz w:val="18"/>
                <w:szCs w:val="16"/>
              </w:rPr>
              <w:t>121.421.955.849,00</w:t>
            </w:r>
          </w:p>
        </w:tc>
      </w:tr>
    </w:tbl>
    <w:p w14:paraId="5739540A" w14:textId="77777777" w:rsidR="00464FBA" w:rsidRPr="0051246D" w:rsidRDefault="00464FBA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</w:p>
    <w:p w14:paraId="4D59D60E" w14:textId="5D69E12C" w:rsidR="00464FBA" w:rsidRDefault="0080716B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  <w:r w:rsidRPr="002A5F7E">
        <w:rPr>
          <w:rFonts w:ascii="Calibri" w:hAnsi="Calibri"/>
          <w:color w:val="000000"/>
          <w:sz w:val="18"/>
          <w:szCs w:val="16"/>
        </w:rPr>
        <w:t>6. A Tabela 02 demonstra, em valores consolidados por setor/grupo, a evolução da dotação, comparativamente com a posição executada no bimestre e, ainda, coeficientes que permitem observar, em termos percentuais, a participação tanto do Setor Produtivo como do Setor Financeiro no somatório dos gastos das estatais com a constituição e manutenção de seus ativos operacionais, bem como o respectivo desempenho na execução de suas programações.</w:t>
      </w:r>
    </w:p>
    <w:p w14:paraId="41F0496C" w14:textId="77777777" w:rsidR="0080761A" w:rsidRDefault="0080761A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</w:p>
    <w:tbl>
      <w:tblPr>
        <w:tblpPr w:leftFromText="141" w:rightFromText="141" w:vertAnchor="text" w:tblpY="1"/>
        <w:tblOverlap w:val="never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7254A2" w:rsidRPr="00604D79" w14:paraId="5EF1D2B3" w14:textId="77777777" w:rsidTr="00D250B5">
        <w:trPr>
          <w:trHeight w:val="1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A970" w14:textId="77777777" w:rsidR="007254A2" w:rsidRPr="0051246D" w:rsidRDefault="007254A2" w:rsidP="007254A2">
            <w:pPr>
              <w:keepNext/>
              <w:rPr>
                <w:rFonts w:ascii="Calibri" w:hAnsi="Calibri"/>
                <w:sz w:val="18"/>
                <w:szCs w:val="12"/>
                <w:lang w:val="pt-BR"/>
              </w:rPr>
            </w:pPr>
            <w:r>
              <w:rPr>
                <w:rFonts w:ascii="Calibri" w:hAnsi="Calibri"/>
                <w:sz w:val="18"/>
                <w:szCs w:val="12"/>
                <w:lang w:val="pt-BR"/>
              </w:rPr>
              <w:t xml:space="preserve">TABELA 02 - Demonstrativo da despesa por </w:t>
            </w:r>
            <w:r w:rsidRPr="00B33BCE">
              <w:rPr>
                <w:rFonts w:ascii="Calibri" w:hAnsi="Calibri"/>
                <w:b/>
                <w:sz w:val="18"/>
                <w:szCs w:val="12"/>
                <w:lang w:val="pt-BR"/>
              </w:rPr>
              <w:t>Setor / Grupo</w:t>
            </w:r>
          </w:p>
        </w:tc>
      </w:tr>
    </w:tbl>
    <w:p w14:paraId="7E2D12E3" w14:textId="77777777" w:rsidR="00464FBA" w:rsidRPr="00D250B5" w:rsidRDefault="00464FBA" w:rsidP="00D250B5">
      <w:pPr>
        <w:keepNext/>
        <w:tabs>
          <w:tab w:val="left" w:pos="3976"/>
          <w:tab w:val="center" w:pos="5103"/>
        </w:tabs>
        <w:snapToGrid w:val="0"/>
        <w:jc w:val="center"/>
        <w:rPr>
          <w:rFonts w:ascii="Calibri" w:hAnsi="Calibri"/>
          <w:sz w:val="18"/>
          <w:szCs w:val="12"/>
          <w:lang w:val="es-ES" w:eastAsia="pt-BR"/>
        </w:rPr>
      </w:pPr>
    </w:p>
    <w:tbl>
      <w:tblPr>
        <w:tblpPr w:leftFromText="113" w:rightFromText="113" w:vertAnchor="text" w:tblpY="1"/>
        <w:tblOverlap w:val="never"/>
        <w:tblW w:w="6804" w:type="dxa"/>
        <w:tblBorders>
          <w:bottom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1249"/>
        <w:gridCol w:w="562"/>
        <w:gridCol w:w="1249"/>
        <w:gridCol w:w="1158"/>
        <w:gridCol w:w="733"/>
        <w:gridCol w:w="919"/>
      </w:tblGrid>
      <w:tr w:rsidR="00D250B5" w14:paraId="0FCD7458" w14:textId="77777777" w:rsidTr="0080761A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A83F4" w14:textId="77777777" w:rsidR="007254A2" w:rsidRPr="006110E1" w:rsidRDefault="007254A2" w:rsidP="007254A2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proofErr w:type="spellStart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Setor</w:t>
            </w:r>
            <w:proofErr w:type="spellEnd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 / Grupo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4FA4A" w14:textId="77777777" w:rsidR="007254A2" w:rsidRDefault="007254A2" w:rsidP="007254A2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proofErr w:type="spellStart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Dotação</w:t>
            </w:r>
            <w:proofErr w:type="spellEnd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 Inicial (a)</w:t>
            </w:r>
          </w:p>
          <w:p w14:paraId="2062A9C6" w14:textId="77777777" w:rsidR="007254A2" w:rsidRPr="007254A2" w:rsidRDefault="007254A2" w:rsidP="007254A2">
            <w:pPr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7CFF3" w14:textId="77777777" w:rsidR="007254A2" w:rsidRPr="006110E1" w:rsidRDefault="007254A2" w:rsidP="007254A2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Crédito Líquido (b)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14:paraId="2091478A" w14:textId="77777777" w:rsidR="007254A2" w:rsidRPr="006110E1" w:rsidRDefault="007254A2" w:rsidP="007254A2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proofErr w:type="spellStart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Dotação</w:t>
            </w:r>
            <w:proofErr w:type="spellEnd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 Final (c=</w:t>
            </w:r>
            <w:proofErr w:type="spellStart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a+b</w:t>
            </w:r>
            <w:proofErr w:type="spellEnd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)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23DB2" w14:textId="77777777" w:rsidR="007254A2" w:rsidRPr="006110E1" w:rsidRDefault="007254A2" w:rsidP="007254A2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Realizado até 2° Bimestre (d)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590DC" w14:textId="5AB886E6" w:rsidR="007254A2" w:rsidRPr="00CF3869" w:rsidRDefault="00CF3869" w:rsidP="007254A2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highlight w:val="yellow"/>
                <w:lang w:val="es-ES"/>
              </w:rPr>
            </w:pPr>
            <w:r w:rsidRPr="00910DA2">
              <w:rPr>
                <w:rFonts w:ascii="Calibri" w:hAnsi="Calibri"/>
                <w:b/>
                <w:sz w:val="18"/>
                <w:szCs w:val="12"/>
                <w:lang w:val="es-ES"/>
              </w:rPr>
              <w:t>%</w:t>
            </w:r>
            <w:r w:rsidR="007254A2" w:rsidRPr="00910DA2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 Realiza</w:t>
            </w:r>
            <w:r w:rsidRPr="00910DA2">
              <w:rPr>
                <w:rFonts w:ascii="Calibri" w:hAnsi="Calibri"/>
                <w:b/>
                <w:sz w:val="18"/>
                <w:szCs w:val="12"/>
                <w:lang w:val="es-ES"/>
              </w:rPr>
              <w:t>d</w:t>
            </w:r>
            <w:r w:rsidR="007254A2" w:rsidRPr="00910DA2">
              <w:rPr>
                <w:rFonts w:ascii="Calibri" w:hAnsi="Calibri"/>
                <w:b/>
                <w:sz w:val="18"/>
                <w:szCs w:val="12"/>
                <w:lang w:val="es-ES"/>
              </w:rPr>
              <w:t>o (d/c)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0E6F" w14:textId="77777777" w:rsidR="007254A2" w:rsidRPr="006110E1" w:rsidRDefault="007254A2" w:rsidP="007254A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proofErr w:type="spellStart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Composição</w:t>
            </w:r>
            <w:proofErr w:type="spellEnd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 (%) (d/</w:t>
            </w:r>
            <w:proofErr w:type="spellStart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dT</w:t>
            </w:r>
            <w:proofErr w:type="spellEnd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)</w:t>
            </w:r>
          </w:p>
        </w:tc>
      </w:tr>
      <w:tr w:rsidR="00D250B5" w14:paraId="65158C0A" w14:textId="77777777" w:rsidTr="0080761A">
        <w:tc>
          <w:tcPr>
            <w:tcW w:w="1565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57F51A66" w14:textId="77777777" w:rsidR="007254A2" w:rsidRPr="00972ABC" w:rsidRDefault="007254A2" w:rsidP="007254A2">
            <w:pPr>
              <w:snapToGrid w:val="0"/>
              <w:rPr>
                <w:rFonts w:ascii="Calibri" w:hAnsi="Calibri"/>
                <w:sz w:val="18"/>
                <w:szCs w:val="12"/>
                <w:lang w:val="es-ES"/>
              </w:rPr>
            </w:pPr>
            <w:proofErr w:type="spellStart"/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>Setor</w:t>
            </w:r>
            <w:proofErr w:type="spellEnd"/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>Produtivo</w:t>
            </w:r>
            <w:proofErr w:type="spellEnd"/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 xml:space="preserve"> Estatal</w:t>
            </w:r>
          </w:p>
        </w:tc>
        <w:tc>
          <w:tcPr>
            <w:tcW w:w="679" w:type="pct"/>
            <w:tcBorders>
              <w:top w:val="nil"/>
            </w:tcBorders>
            <w:shd w:val="clear" w:color="auto" w:fill="auto"/>
            <w:noWrap/>
          </w:tcPr>
          <w:p w14:paraId="7102B15D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116.048.595.137</w:t>
            </w:r>
          </w:p>
        </w:tc>
        <w:tc>
          <w:tcPr>
            <w:tcW w:w="524" w:type="pct"/>
            <w:tcBorders>
              <w:top w:val="nil"/>
            </w:tcBorders>
            <w:shd w:val="clear" w:color="auto" w:fill="auto"/>
            <w:noWrap/>
          </w:tcPr>
          <w:p w14:paraId="0F5B35B9" w14:textId="77777777" w:rsidR="007254A2" w:rsidRPr="00972ABC" w:rsidRDefault="007254A2" w:rsidP="007254A2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0</w:t>
            </w:r>
          </w:p>
        </w:tc>
        <w:tc>
          <w:tcPr>
            <w:tcW w:w="692" w:type="pct"/>
            <w:tcBorders>
              <w:top w:val="nil"/>
            </w:tcBorders>
            <w:noWrap/>
          </w:tcPr>
          <w:p w14:paraId="3928B447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bCs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bCs/>
                <w:sz w:val="18"/>
                <w:szCs w:val="12"/>
                <w:lang w:val="es-ES" w:eastAsia="pt-BR"/>
              </w:rPr>
              <w:t>116.048.595.137</w:t>
            </w:r>
          </w:p>
        </w:tc>
        <w:tc>
          <w:tcPr>
            <w:tcW w:w="693" w:type="pct"/>
            <w:tcBorders>
              <w:top w:val="nil"/>
            </w:tcBorders>
            <w:shd w:val="clear" w:color="auto" w:fill="auto"/>
            <w:noWrap/>
          </w:tcPr>
          <w:p w14:paraId="6998D8DD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bCs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bCs/>
                <w:sz w:val="18"/>
                <w:szCs w:val="12"/>
                <w:lang w:val="es-ES" w:eastAsia="pt-BR"/>
              </w:rPr>
              <w:t>21.195.707.415</w:t>
            </w:r>
          </w:p>
        </w:tc>
        <w:tc>
          <w:tcPr>
            <w:tcW w:w="463" w:type="pct"/>
            <w:tcBorders>
              <w:top w:val="nil"/>
            </w:tcBorders>
            <w:shd w:val="clear" w:color="auto" w:fill="auto"/>
            <w:noWrap/>
          </w:tcPr>
          <w:p w14:paraId="27C484A8" w14:textId="77777777" w:rsidR="007254A2" w:rsidRPr="00972ABC" w:rsidRDefault="007254A2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18,3</w:t>
            </w:r>
          </w:p>
        </w:tc>
        <w:tc>
          <w:tcPr>
            <w:tcW w:w="384" w:type="pct"/>
            <w:tcBorders>
              <w:top w:val="nil"/>
              <w:right w:val="single" w:sz="4" w:space="0" w:color="auto"/>
            </w:tcBorders>
            <w:noWrap/>
          </w:tcPr>
          <w:p w14:paraId="3921E9DD" w14:textId="77777777" w:rsidR="007254A2" w:rsidRPr="00972ABC" w:rsidRDefault="007254A2" w:rsidP="00910DA2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98,3</w:t>
            </w:r>
          </w:p>
        </w:tc>
      </w:tr>
      <w:tr w:rsidR="00D250B5" w14:paraId="0A98EBA6" w14:textId="77777777" w:rsidTr="0080761A">
        <w:tc>
          <w:tcPr>
            <w:tcW w:w="1565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06AA43C9" w14:textId="77777777" w:rsidR="007254A2" w:rsidRPr="00972ABC" w:rsidRDefault="007254A2" w:rsidP="007254A2">
            <w:pPr>
              <w:snapToGrid w:val="0"/>
              <w:rPr>
                <w:rFonts w:ascii="Calibri" w:hAnsi="Calibri"/>
                <w:sz w:val="18"/>
                <w:szCs w:val="12"/>
                <w:lang w:val="es-ES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>    Grupo Petrobras</w:t>
            </w:r>
          </w:p>
        </w:tc>
        <w:tc>
          <w:tcPr>
            <w:tcW w:w="679" w:type="pct"/>
            <w:tcBorders>
              <w:top w:val="nil"/>
            </w:tcBorders>
            <w:shd w:val="clear" w:color="auto" w:fill="auto"/>
            <w:noWrap/>
          </w:tcPr>
          <w:p w14:paraId="4CF73BED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107.783.747.406</w:t>
            </w:r>
          </w:p>
        </w:tc>
        <w:tc>
          <w:tcPr>
            <w:tcW w:w="524" w:type="pct"/>
            <w:tcBorders>
              <w:top w:val="nil"/>
            </w:tcBorders>
            <w:shd w:val="clear" w:color="auto" w:fill="auto"/>
            <w:noWrap/>
          </w:tcPr>
          <w:p w14:paraId="43C2DEFF" w14:textId="77777777" w:rsidR="007254A2" w:rsidRPr="00972ABC" w:rsidRDefault="007254A2" w:rsidP="007254A2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0</w:t>
            </w:r>
          </w:p>
        </w:tc>
        <w:tc>
          <w:tcPr>
            <w:tcW w:w="692" w:type="pct"/>
            <w:tcBorders>
              <w:top w:val="nil"/>
            </w:tcBorders>
            <w:noWrap/>
          </w:tcPr>
          <w:p w14:paraId="25F1A5B2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bCs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bCs/>
                <w:sz w:val="18"/>
                <w:szCs w:val="12"/>
                <w:lang w:val="es-ES" w:eastAsia="pt-BR"/>
              </w:rPr>
              <w:t>107.783.747.406</w:t>
            </w:r>
          </w:p>
        </w:tc>
        <w:tc>
          <w:tcPr>
            <w:tcW w:w="693" w:type="pct"/>
            <w:tcBorders>
              <w:top w:val="nil"/>
            </w:tcBorders>
            <w:shd w:val="clear" w:color="auto" w:fill="auto"/>
            <w:noWrap/>
          </w:tcPr>
          <w:p w14:paraId="426E54F6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bCs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bCs/>
                <w:sz w:val="18"/>
                <w:szCs w:val="12"/>
                <w:lang w:val="es-ES" w:eastAsia="pt-BR"/>
              </w:rPr>
              <w:t>20.609.068.767</w:t>
            </w:r>
          </w:p>
        </w:tc>
        <w:tc>
          <w:tcPr>
            <w:tcW w:w="463" w:type="pct"/>
            <w:tcBorders>
              <w:top w:val="nil"/>
            </w:tcBorders>
            <w:shd w:val="clear" w:color="auto" w:fill="auto"/>
            <w:noWrap/>
          </w:tcPr>
          <w:p w14:paraId="1DBE3D28" w14:textId="77777777" w:rsidR="007254A2" w:rsidRPr="00972ABC" w:rsidRDefault="007254A2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19,1</w:t>
            </w:r>
          </w:p>
        </w:tc>
        <w:tc>
          <w:tcPr>
            <w:tcW w:w="384" w:type="pct"/>
            <w:tcBorders>
              <w:top w:val="nil"/>
              <w:right w:val="single" w:sz="4" w:space="0" w:color="auto"/>
            </w:tcBorders>
            <w:noWrap/>
          </w:tcPr>
          <w:p w14:paraId="263CEE91" w14:textId="77777777" w:rsidR="007254A2" w:rsidRPr="00972ABC" w:rsidRDefault="007254A2" w:rsidP="00910DA2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95,6</w:t>
            </w:r>
          </w:p>
        </w:tc>
      </w:tr>
      <w:tr w:rsidR="00D250B5" w14:paraId="278BECBC" w14:textId="77777777" w:rsidTr="0080761A">
        <w:tc>
          <w:tcPr>
            <w:tcW w:w="1565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2794F0E9" w14:textId="77777777" w:rsidR="007254A2" w:rsidRPr="00972ABC" w:rsidRDefault="007254A2" w:rsidP="007254A2">
            <w:pPr>
              <w:snapToGrid w:val="0"/>
              <w:rPr>
                <w:rFonts w:ascii="Calibri" w:hAnsi="Calibri"/>
                <w:sz w:val="18"/>
                <w:szCs w:val="12"/>
                <w:lang w:val="es-ES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 xml:space="preserve">    Grupo </w:t>
            </w:r>
            <w:proofErr w:type="spellStart"/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>Eletrobras</w:t>
            </w:r>
            <w:proofErr w:type="spellEnd"/>
          </w:p>
        </w:tc>
        <w:tc>
          <w:tcPr>
            <w:tcW w:w="679" w:type="pct"/>
            <w:tcBorders>
              <w:top w:val="nil"/>
            </w:tcBorders>
            <w:shd w:val="clear" w:color="auto" w:fill="auto"/>
            <w:noWrap/>
          </w:tcPr>
          <w:p w14:paraId="17EAD790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4.614.437.373</w:t>
            </w:r>
          </w:p>
        </w:tc>
        <w:tc>
          <w:tcPr>
            <w:tcW w:w="524" w:type="pct"/>
            <w:tcBorders>
              <w:top w:val="nil"/>
            </w:tcBorders>
            <w:shd w:val="clear" w:color="auto" w:fill="auto"/>
            <w:noWrap/>
          </w:tcPr>
          <w:p w14:paraId="275C7CA4" w14:textId="77777777" w:rsidR="007254A2" w:rsidRPr="00972ABC" w:rsidRDefault="007254A2" w:rsidP="007254A2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0</w:t>
            </w:r>
          </w:p>
        </w:tc>
        <w:tc>
          <w:tcPr>
            <w:tcW w:w="692" w:type="pct"/>
            <w:tcBorders>
              <w:top w:val="nil"/>
            </w:tcBorders>
            <w:noWrap/>
          </w:tcPr>
          <w:p w14:paraId="22266470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bCs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bCs/>
                <w:sz w:val="18"/>
                <w:szCs w:val="12"/>
                <w:lang w:val="es-ES" w:eastAsia="pt-BR"/>
              </w:rPr>
              <w:t>4.614.437.373</w:t>
            </w:r>
          </w:p>
        </w:tc>
        <w:tc>
          <w:tcPr>
            <w:tcW w:w="693" w:type="pct"/>
            <w:tcBorders>
              <w:top w:val="nil"/>
            </w:tcBorders>
            <w:shd w:val="clear" w:color="auto" w:fill="auto"/>
            <w:noWrap/>
          </w:tcPr>
          <w:p w14:paraId="35E7F3C1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bCs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bCs/>
                <w:sz w:val="18"/>
                <w:szCs w:val="12"/>
                <w:lang w:val="es-ES" w:eastAsia="pt-BR"/>
              </w:rPr>
              <w:t>446.761.412</w:t>
            </w:r>
          </w:p>
        </w:tc>
        <w:tc>
          <w:tcPr>
            <w:tcW w:w="463" w:type="pct"/>
            <w:tcBorders>
              <w:top w:val="nil"/>
            </w:tcBorders>
            <w:shd w:val="clear" w:color="auto" w:fill="auto"/>
            <w:noWrap/>
          </w:tcPr>
          <w:p w14:paraId="1E7F0F81" w14:textId="77777777" w:rsidR="007254A2" w:rsidRPr="00972ABC" w:rsidRDefault="007254A2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9,7</w:t>
            </w:r>
          </w:p>
        </w:tc>
        <w:tc>
          <w:tcPr>
            <w:tcW w:w="384" w:type="pct"/>
            <w:tcBorders>
              <w:top w:val="nil"/>
              <w:right w:val="single" w:sz="4" w:space="0" w:color="auto"/>
            </w:tcBorders>
            <w:noWrap/>
          </w:tcPr>
          <w:p w14:paraId="0B8279EB" w14:textId="77777777" w:rsidR="007254A2" w:rsidRPr="00972ABC" w:rsidRDefault="007254A2" w:rsidP="00910DA2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2,1</w:t>
            </w:r>
          </w:p>
        </w:tc>
      </w:tr>
      <w:tr w:rsidR="00D250B5" w14:paraId="49BD0920" w14:textId="77777777" w:rsidTr="0080761A">
        <w:tc>
          <w:tcPr>
            <w:tcW w:w="1565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3E05C343" w14:textId="77777777" w:rsidR="007254A2" w:rsidRPr="00972ABC" w:rsidRDefault="007254A2" w:rsidP="007254A2">
            <w:pPr>
              <w:snapToGrid w:val="0"/>
              <w:rPr>
                <w:rFonts w:ascii="Calibri" w:hAnsi="Calibri"/>
                <w:sz w:val="18"/>
                <w:szCs w:val="12"/>
                <w:lang w:val="es-ES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>    </w:t>
            </w:r>
            <w:proofErr w:type="spellStart"/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>Demais</w:t>
            </w:r>
            <w:proofErr w:type="spellEnd"/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 xml:space="preserve"> Empresas do </w:t>
            </w:r>
            <w:proofErr w:type="spellStart"/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>Setor</w:t>
            </w:r>
            <w:proofErr w:type="spellEnd"/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>Produtivo</w:t>
            </w:r>
            <w:proofErr w:type="spellEnd"/>
          </w:p>
        </w:tc>
        <w:tc>
          <w:tcPr>
            <w:tcW w:w="679" w:type="pct"/>
            <w:tcBorders>
              <w:top w:val="nil"/>
            </w:tcBorders>
            <w:shd w:val="clear" w:color="auto" w:fill="auto"/>
            <w:noWrap/>
          </w:tcPr>
          <w:p w14:paraId="7E20A871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3.650.410.358</w:t>
            </w:r>
          </w:p>
        </w:tc>
        <w:tc>
          <w:tcPr>
            <w:tcW w:w="524" w:type="pct"/>
            <w:tcBorders>
              <w:top w:val="nil"/>
            </w:tcBorders>
            <w:shd w:val="clear" w:color="auto" w:fill="auto"/>
            <w:noWrap/>
          </w:tcPr>
          <w:p w14:paraId="45EB05B7" w14:textId="77777777" w:rsidR="007254A2" w:rsidRPr="00972ABC" w:rsidRDefault="007254A2" w:rsidP="007254A2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0</w:t>
            </w:r>
          </w:p>
        </w:tc>
        <w:tc>
          <w:tcPr>
            <w:tcW w:w="692" w:type="pct"/>
            <w:tcBorders>
              <w:top w:val="nil"/>
            </w:tcBorders>
            <w:noWrap/>
          </w:tcPr>
          <w:p w14:paraId="64471153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bCs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bCs/>
                <w:sz w:val="18"/>
                <w:szCs w:val="12"/>
                <w:lang w:val="es-ES" w:eastAsia="pt-BR"/>
              </w:rPr>
              <w:t>3.650.410.358</w:t>
            </w:r>
          </w:p>
        </w:tc>
        <w:tc>
          <w:tcPr>
            <w:tcW w:w="693" w:type="pct"/>
            <w:tcBorders>
              <w:top w:val="nil"/>
            </w:tcBorders>
            <w:shd w:val="clear" w:color="auto" w:fill="auto"/>
            <w:noWrap/>
          </w:tcPr>
          <w:p w14:paraId="157080CF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bCs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bCs/>
                <w:sz w:val="18"/>
                <w:szCs w:val="12"/>
                <w:lang w:val="es-ES" w:eastAsia="pt-BR"/>
              </w:rPr>
              <w:t>139.877.236</w:t>
            </w:r>
          </w:p>
        </w:tc>
        <w:tc>
          <w:tcPr>
            <w:tcW w:w="463" w:type="pct"/>
            <w:tcBorders>
              <w:top w:val="nil"/>
            </w:tcBorders>
            <w:shd w:val="clear" w:color="auto" w:fill="auto"/>
            <w:noWrap/>
          </w:tcPr>
          <w:p w14:paraId="180A4F02" w14:textId="77777777" w:rsidR="007254A2" w:rsidRPr="00972ABC" w:rsidRDefault="007254A2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3,8</w:t>
            </w:r>
          </w:p>
        </w:tc>
        <w:tc>
          <w:tcPr>
            <w:tcW w:w="384" w:type="pct"/>
            <w:tcBorders>
              <w:top w:val="nil"/>
              <w:right w:val="single" w:sz="4" w:space="0" w:color="auto"/>
            </w:tcBorders>
            <w:noWrap/>
          </w:tcPr>
          <w:p w14:paraId="5E85AFFB" w14:textId="77777777" w:rsidR="007254A2" w:rsidRPr="00972ABC" w:rsidRDefault="007254A2" w:rsidP="00910DA2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0,6</w:t>
            </w:r>
          </w:p>
        </w:tc>
      </w:tr>
      <w:tr w:rsidR="00D250B5" w14:paraId="28849F88" w14:textId="77777777" w:rsidTr="00604D79"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13DB67" w14:textId="77777777" w:rsidR="007254A2" w:rsidRPr="00972ABC" w:rsidRDefault="007254A2" w:rsidP="007254A2">
            <w:pPr>
              <w:snapToGrid w:val="0"/>
              <w:rPr>
                <w:rFonts w:ascii="Calibri" w:hAnsi="Calibri"/>
                <w:sz w:val="18"/>
                <w:szCs w:val="12"/>
                <w:lang w:val="es-ES"/>
              </w:rPr>
            </w:pPr>
            <w:proofErr w:type="spellStart"/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>Setor</w:t>
            </w:r>
            <w:proofErr w:type="spellEnd"/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972ABC">
              <w:rPr>
                <w:rFonts w:ascii="Calibri" w:hAnsi="Calibri"/>
                <w:sz w:val="18"/>
                <w:szCs w:val="12"/>
                <w:lang w:val="es-ES"/>
              </w:rPr>
              <w:t>Financeiro</w:t>
            </w:r>
            <w:proofErr w:type="spellEnd"/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8D4E2E6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5.373.360.712</w:t>
            </w:r>
          </w:p>
        </w:tc>
        <w:tc>
          <w:tcPr>
            <w:tcW w:w="52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A115B5C" w14:textId="77777777" w:rsidR="007254A2" w:rsidRPr="00972ABC" w:rsidRDefault="007254A2" w:rsidP="007254A2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0</w:t>
            </w: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  <w:noWrap/>
          </w:tcPr>
          <w:p w14:paraId="66EAAF09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bCs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bCs/>
                <w:sz w:val="18"/>
                <w:szCs w:val="12"/>
                <w:lang w:val="es-ES" w:eastAsia="pt-BR"/>
              </w:rPr>
              <w:t>5.373.360.712</w:t>
            </w:r>
          </w:p>
        </w:tc>
        <w:tc>
          <w:tcPr>
            <w:tcW w:w="69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449EB92" w14:textId="77777777" w:rsidR="007254A2" w:rsidRPr="00972ABC" w:rsidRDefault="007254A2" w:rsidP="00CF3869">
            <w:pPr>
              <w:snapToGrid w:val="0"/>
              <w:jc w:val="right"/>
              <w:rPr>
                <w:rFonts w:ascii="Calibri" w:hAnsi="Calibri"/>
                <w:bCs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bCs/>
                <w:sz w:val="18"/>
                <w:szCs w:val="12"/>
                <w:lang w:val="es-ES" w:eastAsia="pt-BR"/>
              </w:rPr>
              <w:t>372.674.264</w:t>
            </w:r>
          </w:p>
        </w:tc>
        <w:tc>
          <w:tcPr>
            <w:tcW w:w="46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2DF312F" w14:textId="77777777" w:rsidR="007254A2" w:rsidRPr="00972ABC" w:rsidRDefault="007254A2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6,9</w:t>
            </w:r>
          </w:p>
        </w:tc>
        <w:tc>
          <w:tcPr>
            <w:tcW w:w="384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376E9631" w14:textId="77777777" w:rsidR="007254A2" w:rsidRPr="00972ABC" w:rsidRDefault="007254A2" w:rsidP="00910DA2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972ABC">
              <w:rPr>
                <w:rFonts w:ascii="Calibri" w:hAnsi="Calibri"/>
                <w:sz w:val="18"/>
                <w:szCs w:val="12"/>
                <w:lang w:val="es-ES" w:eastAsia="pt-BR"/>
              </w:rPr>
              <w:t>1,7</w:t>
            </w:r>
          </w:p>
        </w:tc>
      </w:tr>
      <w:tr w:rsidR="00D250B5" w14:paraId="49DD3284" w14:textId="77777777" w:rsidTr="00604D79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2E8F40F" w14:textId="77777777" w:rsidR="007254A2" w:rsidRPr="00604D79" w:rsidRDefault="007254A2" w:rsidP="007254A2">
            <w:pPr>
              <w:snapToGrid w:val="0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604D79">
              <w:rPr>
                <w:rFonts w:ascii="Calibri" w:hAnsi="Calibri"/>
                <w:b/>
                <w:sz w:val="18"/>
                <w:szCs w:val="12"/>
                <w:lang w:val="es-ES"/>
              </w:rPr>
              <w:t>TOTAL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DE79A26" w14:textId="77777777" w:rsidR="007254A2" w:rsidRPr="00604D79" w:rsidRDefault="007254A2" w:rsidP="00CF3869">
            <w:pPr>
              <w:snapToGrid w:val="0"/>
              <w:jc w:val="right"/>
              <w:rPr>
                <w:rFonts w:ascii="Calibri" w:hAnsi="Calibri"/>
                <w:b/>
                <w:sz w:val="18"/>
                <w:szCs w:val="12"/>
                <w:lang w:val="es-ES" w:eastAsia="pt-BR"/>
              </w:rPr>
            </w:pPr>
            <w:r w:rsidRPr="00604D79">
              <w:rPr>
                <w:rFonts w:ascii="Calibri" w:hAnsi="Calibri"/>
                <w:b/>
                <w:sz w:val="18"/>
                <w:szCs w:val="12"/>
                <w:lang w:val="es-ES" w:eastAsia="pt-BR"/>
              </w:rPr>
              <w:t>121.421.955.849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116E35" w14:textId="77777777" w:rsidR="007254A2" w:rsidRPr="00604D79" w:rsidRDefault="007254A2" w:rsidP="007254A2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 w:eastAsia="pt-BR"/>
              </w:rPr>
            </w:pPr>
            <w:r w:rsidRPr="00604D79">
              <w:rPr>
                <w:rFonts w:ascii="Calibri" w:hAnsi="Calibri"/>
                <w:b/>
                <w:sz w:val="18"/>
                <w:szCs w:val="12"/>
                <w:lang w:val="es-ES" w:eastAsia="pt-BR"/>
              </w:rPr>
              <w:t>0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BDE642" w14:textId="77777777" w:rsidR="007254A2" w:rsidRPr="00604D79" w:rsidRDefault="007254A2" w:rsidP="00CF3869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604D79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121.421.955.849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374753" w14:textId="77777777" w:rsidR="007254A2" w:rsidRPr="00604D79" w:rsidRDefault="007254A2" w:rsidP="00CF3869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604D79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21.568.381.679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FB7EA5C" w14:textId="77777777" w:rsidR="007254A2" w:rsidRPr="00604D79" w:rsidRDefault="007254A2" w:rsidP="00910DA2">
            <w:pPr>
              <w:snapToGrid w:val="0"/>
              <w:jc w:val="right"/>
              <w:rPr>
                <w:rFonts w:ascii="Calibri" w:hAnsi="Calibri"/>
                <w:b/>
                <w:sz w:val="18"/>
                <w:szCs w:val="12"/>
                <w:lang w:val="es-ES" w:eastAsia="pt-BR"/>
              </w:rPr>
            </w:pPr>
            <w:r w:rsidRPr="00604D79">
              <w:rPr>
                <w:rFonts w:ascii="Calibri" w:hAnsi="Calibri"/>
                <w:b/>
                <w:sz w:val="18"/>
                <w:szCs w:val="12"/>
                <w:lang w:val="es-ES" w:eastAsia="pt-BR"/>
              </w:rPr>
              <w:t>17,8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68F89" w14:textId="77777777" w:rsidR="007254A2" w:rsidRPr="00604D79" w:rsidRDefault="007254A2" w:rsidP="00910DA2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sz w:val="18"/>
                <w:szCs w:val="12"/>
                <w:lang w:val="es-ES" w:eastAsia="pt-BR"/>
              </w:rPr>
            </w:pPr>
            <w:r w:rsidRPr="00604D79">
              <w:rPr>
                <w:rFonts w:ascii="Calibri" w:hAnsi="Calibri"/>
                <w:b/>
                <w:sz w:val="18"/>
                <w:szCs w:val="12"/>
                <w:lang w:val="es-ES" w:eastAsia="pt-BR"/>
              </w:rPr>
              <w:t>100,0</w:t>
            </w:r>
          </w:p>
        </w:tc>
      </w:tr>
    </w:tbl>
    <w:p w14:paraId="45E7D130" w14:textId="77777777" w:rsidR="00464FBA" w:rsidRPr="005F496A" w:rsidRDefault="00464FBA" w:rsidP="00464FBA">
      <w:pPr>
        <w:rPr>
          <w:vanish/>
          <w:lang w:val="pt-BR"/>
        </w:rPr>
      </w:pPr>
    </w:p>
    <w:p w14:paraId="6950F31B" w14:textId="77777777" w:rsidR="00464FBA" w:rsidRPr="0053637A" w:rsidRDefault="00464FBA" w:rsidP="00464FBA">
      <w:pPr>
        <w:rPr>
          <w:vanish/>
        </w:rPr>
      </w:pPr>
    </w:p>
    <w:p w14:paraId="618B3663" w14:textId="77777777" w:rsidR="00464FBA" w:rsidRDefault="00464FBA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</w:p>
    <w:p w14:paraId="34B25D2A" w14:textId="77777777" w:rsidR="00D250B5" w:rsidRDefault="00D250B5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</w:p>
    <w:p w14:paraId="39ACEEFF" w14:textId="77777777" w:rsidR="00D250B5" w:rsidRDefault="00D250B5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</w:p>
    <w:p w14:paraId="3A598534" w14:textId="77777777" w:rsidR="00D250B5" w:rsidRDefault="00D250B5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</w:p>
    <w:p w14:paraId="1757EA32" w14:textId="77777777" w:rsidR="00D250B5" w:rsidRDefault="00D250B5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</w:p>
    <w:p w14:paraId="22C02C86" w14:textId="63B4E490" w:rsidR="00D250B5" w:rsidRDefault="00D250B5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  <w:bookmarkStart w:id="0" w:name="_GoBack"/>
      <w:bookmarkEnd w:id="0"/>
    </w:p>
    <w:p w14:paraId="68517CD6" w14:textId="77777777" w:rsidR="0080761A" w:rsidRDefault="0080761A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</w:p>
    <w:p w14:paraId="5417E107" w14:textId="54F579E1" w:rsidR="00464FBA" w:rsidRDefault="0080716B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  <w:r>
        <w:rPr>
          <w:rFonts w:ascii="Calibri" w:hAnsi="Calibri"/>
          <w:color w:val="000000"/>
          <w:sz w:val="18"/>
          <w:szCs w:val="16"/>
        </w:rPr>
        <w:t xml:space="preserve">7. O Orçamento de </w:t>
      </w:r>
      <w:r w:rsidR="00C30DFC">
        <w:rPr>
          <w:rFonts w:ascii="Calibri" w:hAnsi="Calibri"/>
          <w:color w:val="000000"/>
          <w:sz w:val="18"/>
          <w:szCs w:val="16"/>
        </w:rPr>
        <w:t>Investimento aprovado para 2020</w:t>
      </w:r>
      <w:r>
        <w:rPr>
          <w:rFonts w:ascii="Calibri" w:hAnsi="Calibri"/>
          <w:color w:val="000000"/>
          <w:sz w:val="18"/>
          <w:szCs w:val="16"/>
        </w:rPr>
        <w:t xml:space="preserve"> teve uma redução de </w:t>
      </w:r>
      <w:r w:rsidR="0023529E">
        <w:rPr>
          <w:rFonts w:ascii="Calibri" w:hAnsi="Calibri"/>
          <w:color w:val="000000"/>
          <w:sz w:val="18"/>
          <w:szCs w:val="16"/>
        </w:rPr>
        <w:t xml:space="preserve">aproximadamente </w:t>
      </w:r>
      <w:r>
        <w:rPr>
          <w:rFonts w:ascii="Calibri" w:hAnsi="Calibri"/>
          <w:bCs/>
          <w:sz w:val="18"/>
          <w:szCs w:val="12"/>
          <w:lang w:val="es-ES"/>
        </w:rPr>
        <w:t xml:space="preserve">4,7% </w:t>
      </w:r>
      <w:r>
        <w:rPr>
          <w:rFonts w:ascii="Calibri" w:hAnsi="Calibri"/>
          <w:color w:val="000000"/>
          <w:sz w:val="18"/>
          <w:szCs w:val="16"/>
        </w:rPr>
        <w:t>sobre o valor da dotação final aprovada para os investimentos das empresas estatais em 201</w:t>
      </w:r>
      <w:r w:rsidR="0023529E">
        <w:rPr>
          <w:rFonts w:ascii="Calibri" w:hAnsi="Calibri"/>
          <w:color w:val="000000"/>
          <w:sz w:val="18"/>
          <w:szCs w:val="16"/>
        </w:rPr>
        <w:t>9</w:t>
      </w:r>
      <w:r>
        <w:rPr>
          <w:rFonts w:ascii="Calibri" w:hAnsi="Calibri"/>
          <w:color w:val="000000"/>
          <w:sz w:val="18"/>
          <w:szCs w:val="16"/>
        </w:rPr>
        <w:t xml:space="preserve">. </w:t>
      </w:r>
      <w:r w:rsidR="007C23DA">
        <w:rPr>
          <w:rFonts w:ascii="Calibri" w:hAnsi="Calibri"/>
          <w:color w:val="000000"/>
          <w:sz w:val="18"/>
          <w:szCs w:val="16"/>
        </w:rPr>
        <w:t>No entanto, c</w:t>
      </w:r>
      <w:r>
        <w:rPr>
          <w:rFonts w:ascii="Calibri" w:hAnsi="Calibri"/>
          <w:color w:val="000000"/>
          <w:sz w:val="18"/>
          <w:szCs w:val="16"/>
        </w:rPr>
        <w:t xml:space="preserve">omparando o volume executado no </w:t>
      </w:r>
      <w:r w:rsidR="001229D0">
        <w:rPr>
          <w:rFonts w:ascii="Calibri" w:hAnsi="Calibri"/>
          <w:color w:val="000000"/>
          <w:sz w:val="18"/>
          <w:szCs w:val="16"/>
        </w:rPr>
        <w:t>segundo</w:t>
      </w:r>
      <w:r>
        <w:rPr>
          <w:rFonts w:ascii="Calibri" w:hAnsi="Calibri"/>
          <w:color w:val="000000"/>
          <w:sz w:val="18"/>
          <w:szCs w:val="16"/>
        </w:rPr>
        <w:t xml:space="preserve"> bimestre com o do ano anterior, houve um </w:t>
      </w:r>
      <w:r w:rsidR="0023529E">
        <w:rPr>
          <w:rFonts w:ascii="Calibri" w:hAnsi="Calibri"/>
          <w:color w:val="000000"/>
          <w:sz w:val="18"/>
          <w:szCs w:val="16"/>
        </w:rPr>
        <w:t>acréscimo</w:t>
      </w:r>
      <w:r>
        <w:rPr>
          <w:rFonts w:ascii="Calibri" w:hAnsi="Calibri"/>
          <w:color w:val="000000"/>
          <w:sz w:val="18"/>
          <w:szCs w:val="16"/>
        </w:rPr>
        <w:t xml:space="preserve"> de 93,1%.</w:t>
      </w:r>
    </w:p>
    <w:p w14:paraId="33209A8B" w14:textId="77777777" w:rsidR="00464FBA" w:rsidRDefault="00464FBA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</w:p>
    <w:tbl>
      <w:tblPr>
        <w:tblW w:w="6804" w:type="dxa"/>
        <w:tblBorders>
          <w:top w:val="single" w:sz="4" w:space="0" w:color="000000"/>
          <w:bottom w:val="single" w:sz="4" w:space="0" w:color="000000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1261"/>
        <w:gridCol w:w="1170"/>
        <w:gridCol w:w="1261"/>
        <w:gridCol w:w="1170"/>
        <w:gridCol w:w="645"/>
        <w:gridCol w:w="745"/>
      </w:tblGrid>
      <w:tr w:rsidR="00293D14" w:rsidRPr="00604D79" w14:paraId="0EBD5FB9" w14:textId="77777777" w:rsidTr="00526867">
        <w:trPr>
          <w:gridAfter w:val="2"/>
          <w:wAfter w:w="760" w:type="pct"/>
          <w:trHeight w:val="120"/>
        </w:trPr>
        <w:tc>
          <w:tcPr>
            <w:tcW w:w="4240" w:type="pct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D5878A" w14:textId="77777777" w:rsidR="00464FBA" w:rsidRPr="00FD17B9" w:rsidRDefault="0080716B" w:rsidP="00464FBA">
            <w:pPr>
              <w:pStyle w:val="Corpodetexto"/>
              <w:tabs>
                <w:tab w:val="left" w:pos="284"/>
              </w:tabs>
              <w:spacing w:after="120"/>
              <w:rPr>
                <w:rFonts w:ascii="Calibri" w:hAnsi="Calibri"/>
                <w:color w:val="000000"/>
                <w:sz w:val="18"/>
                <w:szCs w:val="16"/>
              </w:rPr>
            </w:pPr>
            <w:r w:rsidRPr="00FD17B9">
              <w:rPr>
                <w:rFonts w:ascii="Calibri" w:hAnsi="Calibri"/>
                <w:color w:val="000000"/>
                <w:sz w:val="18"/>
                <w:szCs w:val="16"/>
              </w:rPr>
              <w:t xml:space="preserve">TABELA 03 - Demonstrativo da despesa por </w:t>
            </w:r>
            <w:r w:rsidRPr="00FD17B9">
              <w:rPr>
                <w:rFonts w:ascii="Calibri" w:hAnsi="Calibri"/>
                <w:b/>
                <w:color w:val="000000"/>
                <w:sz w:val="18"/>
                <w:szCs w:val="16"/>
              </w:rPr>
              <w:t>Setor / Grupo 2019/2020</w:t>
            </w:r>
          </w:p>
        </w:tc>
      </w:tr>
      <w:tr w:rsidR="00293D14" w14:paraId="3A0857C6" w14:textId="77777777" w:rsidTr="00526867">
        <w:tblPrEx>
          <w:tblCellMar>
            <w:left w:w="11" w:type="dxa"/>
            <w:right w:w="11" w:type="dxa"/>
          </w:tblCellMar>
          <w:tblLook w:val="0000" w:firstRow="0" w:lastRow="0" w:firstColumn="0" w:lastColumn="0" w:noHBand="0" w:noVBand="0"/>
        </w:tblPrEx>
        <w:trPr>
          <w:trHeight w:val="63"/>
        </w:trPr>
        <w:tc>
          <w:tcPr>
            <w:tcW w:w="1582" w:type="pct"/>
            <w:tcBorders>
              <w:top w:val="nil"/>
              <w:bottom w:val="single" w:sz="4" w:space="0" w:color="000000"/>
              <w:right w:val="nil"/>
            </w:tcBorders>
          </w:tcPr>
          <w:p w14:paraId="120E0497" w14:textId="77777777" w:rsidR="00464FBA" w:rsidRPr="00FD17B9" w:rsidRDefault="00464FBA" w:rsidP="00464FBA">
            <w:pPr>
              <w:keepNext/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3418" w:type="pct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3ED2DA2A" w14:textId="77777777" w:rsidR="00464FBA" w:rsidRPr="00FD17B9" w:rsidRDefault="0080716B" w:rsidP="00464FBA">
            <w:pPr>
              <w:keepNext/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FD17B9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Valores em R$ 1,00</w:t>
            </w:r>
          </w:p>
        </w:tc>
      </w:tr>
      <w:tr w:rsidR="00293D14" w14:paraId="31883D24" w14:textId="77777777" w:rsidTr="00526867">
        <w:tblPrEx>
          <w:tblCellMar>
            <w:left w:w="11" w:type="dxa"/>
            <w:right w:w="11" w:type="dxa"/>
          </w:tblCellMar>
          <w:tblLook w:val="0000" w:firstRow="0" w:lastRow="0" w:firstColumn="0" w:lastColumn="0" w:noHBand="0" w:noVBand="0"/>
        </w:tblPrEx>
        <w:tc>
          <w:tcPr>
            <w:tcW w:w="15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D1C0A96" w14:textId="77777777" w:rsidR="00464FBA" w:rsidRPr="006110E1" w:rsidRDefault="0080716B" w:rsidP="00464FBA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proofErr w:type="spellStart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Setor</w:t>
            </w:r>
            <w:proofErr w:type="spellEnd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 / Grupo</w:t>
            </w:r>
          </w:p>
        </w:tc>
        <w:tc>
          <w:tcPr>
            <w:tcW w:w="6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CF1D84" w14:textId="77777777" w:rsidR="00464FBA" w:rsidRPr="006110E1" w:rsidRDefault="0080716B" w:rsidP="00464FBA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proofErr w:type="spellStart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Dotação</w:t>
            </w:r>
            <w:proofErr w:type="spellEnd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 Final-2019 (a)</w:t>
            </w:r>
          </w:p>
        </w:tc>
        <w:tc>
          <w:tcPr>
            <w:tcW w:w="6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AC4911" w14:textId="77777777" w:rsidR="00464FBA" w:rsidRPr="006110E1" w:rsidRDefault="0080716B" w:rsidP="0023529E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Realizado </w:t>
            </w:r>
            <w:r w:rsidR="0023529E">
              <w:rPr>
                <w:rFonts w:ascii="Calibri" w:hAnsi="Calibri"/>
                <w:b/>
                <w:sz w:val="18"/>
                <w:szCs w:val="12"/>
                <w:lang w:val="es-ES"/>
              </w:rPr>
              <w:t>até o</w:t>
            </w:r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 2° Bimestre</w:t>
            </w:r>
            <w:r w:rsidR="0023529E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 2019</w:t>
            </w:r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 (b)</w:t>
            </w:r>
          </w:p>
        </w:tc>
        <w:tc>
          <w:tcPr>
            <w:tcW w:w="689" w:type="pct"/>
            <w:tcBorders>
              <w:top w:val="single" w:sz="4" w:space="0" w:color="000000"/>
              <w:bottom w:val="single" w:sz="4" w:space="0" w:color="000000"/>
            </w:tcBorders>
          </w:tcPr>
          <w:p w14:paraId="5F7BCB2B" w14:textId="77777777" w:rsidR="00464FBA" w:rsidRPr="006110E1" w:rsidRDefault="0080716B" w:rsidP="00464FBA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proofErr w:type="spellStart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Dotação</w:t>
            </w:r>
            <w:proofErr w:type="spellEnd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 Final-2020 (c)</w:t>
            </w:r>
          </w:p>
        </w:tc>
        <w:tc>
          <w:tcPr>
            <w:tcW w:w="64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2E2117" w14:textId="77777777" w:rsidR="00464FBA" w:rsidRPr="006110E1" w:rsidRDefault="0080716B" w:rsidP="00464FBA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Realizado até 2° Bimestre </w:t>
            </w:r>
            <w:r w:rsidR="0023529E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2020 </w:t>
            </w:r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(d)</w:t>
            </w:r>
          </w:p>
        </w:tc>
        <w:tc>
          <w:tcPr>
            <w:tcW w:w="35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B83B7C" w14:textId="77777777" w:rsidR="00464FBA" w:rsidRPr="006110E1" w:rsidRDefault="0080716B" w:rsidP="00464FBA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Var. % </w:t>
            </w:r>
            <w:proofErr w:type="spellStart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Dotação</w:t>
            </w:r>
            <w:proofErr w:type="spellEnd"/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 xml:space="preserve"> Final</w:t>
            </w:r>
          </w:p>
        </w:tc>
        <w:tc>
          <w:tcPr>
            <w:tcW w:w="407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ECC80" w14:textId="77777777" w:rsidR="00464FBA" w:rsidRPr="006110E1" w:rsidRDefault="0080716B" w:rsidP="00464FBA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6110E1">
              <w:rPr>
                <w:rFonts w:ascii="Calibri" w:hAnsi="Calibri"/>
                <w:b/>
                <w:sz w:val="18"/>
                <w:szCs w:val="12"/>
                <w:lang w:val="es-ES"/>
              </w:rPr>
              <w:t>Var. % Realizado</w:t>
            </w:r>
          </w:p>
        </w:tc>
      </w:tr>
      <w:tr w:rsidR="00293D14" w14:paraId="34CE8011" w14:textId="77777777" w:rsidTr="00526867">
        <w:tblPrEx>
          <w:tblCellMar>
            <w:left w:w="11" w:type="dxa"/>
            <w:right w:w="11" w:type="dxa"/>
          </w:tblCellMar>
          <w:tblLook w:val="0000" w:firstRow="0" w:lastRow="0" w:firstColumn="0" w:lastColumn="0" w:noHBand="0" w:noVBand="0"/>
        </w:tblPrEx>
        <w:tc>
          <w:tcPr>
            <w:tcW w:w="1582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529E649F" w14:textId="77777777" w:rsidR="00464FBA" w:rsidRPr="00305682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/>
              </w:rPr>
            </w:pPr>
            <w:proofErr w:type="spellStart"/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Setor</w:t>
            </w:r>
            <w:proofErr w:type="spellEnd"/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Produtivo</w:t>
            </w:r>
            <w:proofErr w:type="spellEnd"/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 xml:space="preserve"> Estatal</w:t>
            </w:r>
          </w:p>
        </w:tc>
        <w:tc>
          <w:tcPr>
            <w:tcW w:w="689" w:type="pct"/>
            <w:tcBorders>
              <w:top w:val="nil"/>
            </w:tcBorders>
            <w:shd w:val="clear" w:color="auto" w:fill="auto"/>
            <w:noWrap/>
          </w:tcPr>
          <w:p w14:paraId="2186F9BC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121.742.194.513</w:t>
            </w:r>
          </w:p>
        </w:tc>
        <w:tc>
          <w:tcPr>
            <w:tcW w:w="640" w:type="pct"/>
            <w:tcBorders>
              <w:top w:val="nil"/>
            </w:tcBorders>
            <w:shd w:val="clear" w:color="auto" w:fill="auto"/>
            <w:noWrap/>
          </w:tcPr>
          <w:p w14:paraId="52277032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10.440.188.698</w:t>
            </w:r>
          </w:p>
        </w:tc>
        <w:tc>
          <w:tcPr>
            <w:tcW w:w="689" w:type="pct"/>
            <w:tcBorders>
              <w:top w:val="nil"/>
            </w:tcBorders>
            <w:noWrap/>
          </w:tcPr>
          <w:p w14:paraId="4E081245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116.048.595.137</w:t>
            </w:r>
          </w:p>
        </w:tc>
        <w:tc>
          <w:tcPr>
            <w:tcW w:w="640" w:type="pct"/>
            <w:tcBorders>
              <w:top w:val="nil"/>
            </w:tcBorders>
            <w:shd w:val="clear" w:color="auto" w:fill="auto"/>
            <w:noWrap/>
          </w:tcPr>
          <w:p w14:paraId="26B1AE52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21.195.707.415</w:t>
            </w:r>
          </w:p>
        </w:tc>
        <w:tc>
          <w:tcPr>
            <w:tcW w:w="353" w:type="pct"/>
            <w:tcBorders>
              <w:top w:val="nil"/>
            </w:tcBorders>
            <w:shd w:val="clear" w:color="auto" w:fill="auto"/>
            <w:noWrap/>
          </w:tcPr>
          <w:p w14:paraId="09793DAF" w14:textId="77777777" w:rsidR="00464FBA" w:rsidRPr="00305682" w:rsidRDefault="0080716B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-4,7</w:t>
            </w:r>
          </w:p>
        </w:tc>
        <w:tc>
          <w:tcPr>
            <w:tcW w:w="407" w:type="pct"/>
            <w:tcBorders>
              <w:top w:val="nil"/>
              <w:right w:val="single" w:sz="4" w:space="0" w:color="auto"/>
            </w:tcBorders>
            <w:noWrap/>
          </w:tcPr>
          <w:p w14:paraId="0B401767" w14:textId="77777777" w:rsidR="00464FBA" w:rsidRPr="00305682" w:rsidRDefault="0080716B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103,0</w:t>
            </w:r>
          </w:p>
        </w:tc>
      </w:tr>
      <w:tr w:rsidR="00293D14" w14:paraId="3110B778" w14:textId="77777777" w:rsidTr="00526867">
        <w:tblPrEx>
          <w:tblCellMar>
            <w:left w:w="11" w:type="dxa"/>
            <w:right w:w="11" w:type="dxa"/>
          </w:tblCellMar>
          <w:tblLook w:val="0000" w:firstRow="0" w:lastRow="0" w:firstColumn="0" w:lastColumn="0" w:noHBand="0" w:noVBand="0"/>
        </w:tblPrEx>
        <w:tc>
          <w:tcPr>
            <w:tcW w:w="1582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7113E81C" w14:textId="77777777" w:rsidR="00464FBA" w:rsidRPr="00305682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    Grupo Petrobras</w:t>
            </w:r>
          </w:p>
        </w:tc>
        <w:tc>
          <w:tcPr>
            <w:tcW w:w="689" w:type="pct"/>
            <w:tcBorders>
              <w:top w:val="nil"/>
            </w:tcBorders>
            <w:shd w:val="clear" w:color="auto" w:fill="auto"/>
            <w:noWrap/>
          </w:tcPr>
          <w:p w14:paraId="23BC7582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109.770.059.032</w:t>
            </w:r>
          </w:p>
        </w:tc>
        <w:tc>
          <w:tcPr>
            <w:tcW w:w="640" w:type="pct"/>
            <w:tcBorders>
              <w:top w:val="nil"/>
            </w:tcBorders>
            <w:shd w:val="clear" w:color="auto" w:fill="auto"/>
            <w:noWrap/>
          </w:tcPr>
          <w:p w14:paraId="0FF4AF1B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9.477.086.285</w:t>
            </w:r>
          </w:p>
        </w:tc>
        <w:tc>
          <w:tcPr>
            <w:tcW w:w="689" w:type="pct"/>
            <w:tcBorders>
              <w:top w:val="nil"/>
            </w:tcBorders>
            <w:noWrap/>
          </w:tcPr>
          <w:p w14:paraId="38EE5F19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107.783.747.406</w:t>
            </w:r>
          </w:p>
        </w:tc>
        <w:tc>
          <w:tcPr>
            <w:tcW w:w="640" w:type="pct"/>
            <w:tcBorders>
              <w:top w:val="nil"/>
            </w:tcBorders>
            <w:shd w:val="clear" w:color="auto" w:fill="auto"/>
            <w:noWrap/>
          </w:tcPr>
          <w:p w14:paraId="2BC31614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20.609.068.767</w:t>
            </w:r>
          </w:p>
        </w:tc>
        <w:tc>
          <w:tcPr>
            <w:tcW w:w="353" w:type="pct"/>
            <w:tcBorders>
              <w:top w:val="nil"/>
            </w:tcBorders>
            <w:shd w:val="clear" w:color="auto" w:fill="auto"/>
            <w:noWrap/>
          </w:tcPr>
          <w:p w14:paraId="7632C87E" w14:textId="77777777" w:rsidR="00464FBA" w:rsidRPr="00305682" w:rsidRDefault="0080716B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-1,8</w:t>
            </w:r>
          </w:p>
        </w:tc>
        <w:tc>
          <w:tcPr>
            <w:tcW w:w="407" w:type="pct"/>
            <w:tcBorders>
              <w:top w:val="nil"/>
              <w:right w:val="single" w:sz="4" w:space="0" w:color="auto"/>
            </w:tcBorders>
            <w:noWrap/>
          </w:tcPr>
          <w:p w14:paraId="154271B4" w14:textId="77777777" w:rsidR="00464FBA" w:rsidRPr="00305682" w:rsidRDefault="0080716B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117,5</w:t>
            </w:r>
          </w:p>
        </w:tc>
      </w:tr>
      <w:tr w:rsidR="00293D14" w14:paraId="5AF43F82" w14:textId="77777777" w:rsidTr="00526867">
        <w:tblPrEx>
          <w:tblCellMar>
            <w:left w:w="11" w:type="dxa"/>
            <w:right w:w="11" w:type="dxa"/>
          </w:tblCellMar>
          <w:tblLook w:val="0000" w:firstRow="0" w:lastRow="0" w:firstColumn="0" w:lastColumn="0" w:noHBand="0" w:noVBand="0"/>
        </w:tblPrEx>
        <w:tc>
          <w:tcPr>
            <w:tcW w:w="1582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695B4F75" w14:textId="77777777" w:rsidR="00464FBA" w:rsidRPr="00305682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 xml:space="preserve">    Grupo </w:t>
            </w:r>
            <w:proofErr w:type="spellStart"/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Eletrobras</w:t>
            </w:r>
            <w:proofErr w:type="spellEnd"/>
          </w:p>
        </w:tc>
        <w:tc>
          <w:tcPr>
            <w:tcW w:w="689" w:type="pct"/>
            <w:tcBorders>
              <w:top w:val="nil"/>
            </w:tcBorders>
            <w:shd w:val="clear" w:color="auto" w:fill="auto"/>
            <w:noWrap/>
          </w:tcPr>
          <w:p w14:paraId="6F0425AD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5.977.526.802</w:t>
            </w:r>
          </w:p>
        </w:tc>
        <w:tc>
          <w:tcPr>
            <w:tcW w:w="640" w:type="pct"/>
            <w:tcBorders>
              <w:top w:val="nil"/>
            </w:tcBorders>
            <w:shd w:val="clear" w:color="auto" w:fill="auto"/>
            <w:noWrap/>
          </w:tcPr>
          <w:p w14:paraId="0D264673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616.792.367</w:t>
            </w:r>
          </w:p>
        </w:tc>
        <w:tc>
          <w:tcPr>
            <w:tcW w:w="689" w:type="pct"/>
            <w:tcBorders>
              <w:top w:val="nil"/>
            </w:tcBorders>
            <w:noWrap/>
          </w:tcPr>
          <w:p w14:paraId="10697323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4.614.437.373</w:t>
            </w:r>
          </w:p>
        </w:tc>
        <w:tc>
          <w:tcPr>
            <w:tcW w:w="640" w:type="pct"/>
            <w:tcBorders>
              <w:top w:val="nil"/>
            </w:tcBorders>
            <w:shd w:val="clear" w:color="auto" w:fill="auto"/>
            <w:noWrap/>
          </w:tcPr>
          <w:p w14:paraId="3872B286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446.761.412</w:t>
            </w:r>
          </w:p>
        </w:tc>
        <w:tc>
          <w:tcPr>
            <w:tcW w:w="353" w:type="pct"/>
            <w:tcBorders>
              <w:top w:val="nil"/>
            </w:tcBorders>
            <w:shd w:val="clear" w:color="auto" w:fill="auto"/>
            <w:noWrap/>
          </w:tcPr>
          <w:p w14:paraId="233789FC" w14:textId="77777777" w:rsidR="00464FBA" w:rsidRPr="00305682" w:rsidRDefault="0080716B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-22,8</w:t>
            </w:r>
          </w:p>
        </w:tc>
        <w:tc>
          <w:tcPr>
            <w:tcW w:w="407" w:type="pct"/>
            <w:tcBorders>
              <w:top w:val="nil"/>
              <w:right w:val="single" w:sz="4" w:space="0" w:color="auto"/>
            </w:tcBorders>
            <w:noWrap/>
          </w:tcPr>
          <w:p w14:paraId="24B55114" w14:textId="77777777" w:rsidR="00464FBA" w:rsidRPr="00305682" w:rsidRDefault="0080716B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-27,6</w:t>
            </w:r>
          </w:p>
        </w:tc>
      </w:tr>
      <w:tr w:rsidR="00293D14" w14:paraId="0145A533" w14:textId="77777777" w:rsidTr="00526867">
        <w:tblPrEx>
          <w:tblCellMar>
            <w:left w:w="11" w:type="dxa"/>
            <w:right w:w="11" w:type="dxa"/>
          </w:tblCellMar>
          <w:tblLook w:val="0000" w:firstRow="0" w:lastRow="0" w:firstColumn="0" w:lastColumn="0" w:noHBand="0" w:noVBand="0"/>
        </w:tblPrEx>
        <w:tc>
          <w:tcPr>
            <w:tcW w:w="1582" w:type="pct"/>
            <w:tcBorders>
              <w:top w:val="nil"/>
              <w:left w:val="single" w:sz="4" w:space="0" w:color="auto"/>
            </w:tcBorders>
            <w:shd w:val="clear" w:color="auto" w:fill="auto"/>
            <w:noWrap/>
          </w:tcPr>
          <w:p w14:paraId="673556DC" w14:textId="77777777" w:rsidR="00464FBA" w:rsidRPr="00305682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    </w:t>
            </w:r>
            <w:proofErr w:type="spellStart"/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Demais</w:t>
            </w:r>
            <w:proofErr w:type="spellEnd"/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 xml:space="preserve"> Empresas do </w:t>
            </w:r>
            <w:proofErr w:type="spellStart"/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Setor</w:t>
            </w:r>
            <w:proofErr w:type="spellEnd"/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Produtivo</w:t>
            </w:r>
            <w:proofErr w:type="spellEnd"/>
          </w:p>
        </w:tc>
        <w:tc>
          <w:tcPr>
            <w:tcW w:w="689" w:type="pct"/>
            <w:tcBorders>
              <w:top w:val="nil"/>
            </w:tcBorders>
            <w:shd w:val="clear" w:color="auto" w:fill="auto"/>
            <w:noWrap/>
          </w:tcPr>
          <w:p w14:paraId="045220B3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4.976.875.179</w:t>
            </w:r>
          </w:p>
        </w:tc>
        <w:tc>
          <w:tcPr>
            <w:tcW w:w="640" w:type="pct"/>
            <w:tcBorders>
              <w:top w:val="nil"/>
            </w:tcBorders>
            <w:shd w:val="clear" w:color="auto" w:fill="auto"/>
            <w:noWrap/>
          </w:tcPr>
          <w:p w14:paraId="5DBD2048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304.775.253</w:t>
            </w:r>
          </w:p>
        </w:tc>
        <w:tc>
          <w:tcPr>
            <w:tcW w:w="689" w:type="pct"/>
            <w:tcBorders>
              <w:top w:val="nil"/>
            </w:tcBorders>
            <w:noWrap/>
          </w:tcPr>
          <w:p w14:paraId="3B8C5F45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3.650.410.358</w:t>
            </w:r>
          </w:p>
        </w:tc>
        <w:tc>
          <w:tcPr>
            <w:tcW w:w="640" w:type="pct"/>
            <w:tcBorders>
              <w:top w:val="nil"/>
            </w:tcBorders>
            <w:shd w:val="clear" w:color="auto" w:fill="auto"/>
            <w:noWrap/>
          </w:tcPr>
          <w:p w14:paraId="132FB03D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139.877.236</w:t>
            </w:r>
          </w:p>
        </w:tc>
        <w:tc>
          <w:tcPr>
            <w:tcW w:w="353" w:type="pct"/>
            <w:tcBorders>
              <w:top w:val="nil"/>
            </w:tcBorders>
            <w:shd w:val="clear" w:color="auto" w:fill="auto"/>
            <w:noWrap/>
          </w:tcPr>
          <w:p w14:paraId="2788C34B" w14:textId="77777777" w:rsidR="00464FBA" w:rsidRPr="00305682" w:rsidRDefault="0080716B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-26,7</w:t>
            </w:r>
          </w:p>
        </w:tc>
        <w:tc>
          <w:tcPr>
            <w:tcW w:w="407" w:type="pct"/>
            <w:tcBorders>
              <w:top w:val="nil"/>
              <w:right w:val="single" w:sz="4" w:space="0" w:color="auto"/>
            </w:tcBorders>
            <w:noWrap/>
          </w:tcPr>
          <w:p w14:paraId="44B8D163" w14:textId="77777777" w:rsidR="00464FBA" w:rsidRPr="00305682" w:rsidRDefault="0080716B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-54,1</w:t>
            </w:r>
          </w:p>
        </w:tc>
      </w:tr>
      <w:tr w:rsidR="00293D14" w14:paraId="61218F63" w14:textId="77777777" w:rsidTr="00526867">
        <w:tblPrEx>
          <w:tblCellMar>
            <w:left w:w="11" w:type="dxa"/>
            <w:right w:w="11" w:type="dxa"/>
          </w:tblCellMar>
          <w:tblLook w:val="0000" w:firstRow="0" w:lastRow="0" w:firstColumn="0" w:lastColumn="0" w:noHBand="0" w:noVBand="0"/>
        </w:tblPrEx>
        <w:tc>
          <w:tcPr>
            <w:tcW w:w="158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DF4E05" w14:textId="77777777" w:rsidR="00464FBA" w:rsidRPr="00305682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/>
              </w:rPr>
            </w:pPr>
            <w:proofErr w:type="spellStart"/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Setor</w:t>
            </w:r>
            <w:proofErr w:type="spellEnd"/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Financeiro</w:t>
            </w:r>
            <w:proofErr w:type="spellEnd"/>
          </w:p>
        </w:tc>
        <w:tc>
          <w:tcPr>
            <w:tcW w:w="68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CC1145E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5.714.570.117</w:t>
            </w:r>
          </w:p>
        </w:tc>
        <w:tc>
          <w:tcPr>
            <w:tcW w:w="64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6375DCD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729.419.569</w:t>
            </w:r>
          </w:p>
        </w:tc>
        <w:tc>
          <w:tcPr>
            <w:tcW w:w="689" w:type="pct"/>
            <w:tcBorders>
              <w:top w:val="nil"/>
              <w:bottom w:val="single" w:sz="4" w:space="0" w:color="auto"/>
            </w:tcBorders>
            <w:noWrap/>
          </w:tcPr>
          <w:p w14:paraId="65163A7E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5.373.360.712</w:t>
            </w:r>
          </w:p>
        </w:tc>
        <w:tc>
          <w:tcPr>
            <w:tcW w:w="64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0CED662" w14:textId="77777777" w:rsidR="00464FBA" w:rsidRPr="00305682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372.674.264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A032294" w14:textId="77777777" w:rsidR="00464FBA" w:rsidRPr="00305682" w:rsidRDefault="0080716B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-6,0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14:paraId="25524B5A" w14:textId="77777777" w:rsidR="00464FBA" w:rsidRPr="00305682" w:rsidRDefault="0080716B" w:rsidP="00910DA2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CB7D53">
              <w:rPr>
                <w:rFonts w:ascii="Calibri" w:hAnsi="Calibri"/>
                <w:sz w:val="18"/>
                <w:szCs w:val="12"/>
                <w:lang w:val="es-ES"/>
              </w:rPr>
              <w:t>-48,9</w:t>
            </w:r>
          </w:p>
        </w:tc>
      </w:tr>
      <w:tr w:rsidR="00293D14" w:rsidRPr="00567072" w14:paraId="2034CC2A" w14:textId="77777777" w:rsidTr="00526867">
        <w:tblPrEx>
          <w:tblCellMar>
            <w:left w:w="11" w:type="dxa"/>
            <w:right w:w="11" w:type="dxa"/>
          </w:tblCellMar>
          <w:tblLook w:val="0000" w:firstRow="0" w:lastRow="0" w:firstColumn="0" w:lastColumn="0" w:noHBand="0" w:noVBand="0"/>
        </w:tblPrEx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5F86C50B" w14:textId="77777777" w:rsidR="00464FBA" w:rsidRPr="00567072" w:rsidRDefault="0080716B" w:rsidP="00464FBA">
            <w:pPr>
              <w:snapToGrid w:val="0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67072">
              <w:rPr>
                <w:rFonts w:ascii="Calibri" w:hAnsi="Calibri"/>
                <w:b/>
                <w:sz w:val="18"/>
                <w:szCs w:val="12"/>
                <w:lang w:val="es-ES"/>
              </w:rPr>
              <w:t>TOTAL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50422F68" w14:textId="77777777" w:rsidR="00464FBA" w:rsidRPr="00567072" w:rsidRDefault="0080716B" w:rsidP="00464FBA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67072">
              <w:rPr>
                <w:rFonts w:ascii="Calibri" w:hAnsi="Calibri"/>
                <w:b/>
                <w:sz w:val="18"/>
                <w:szCs w:val="12"/>
                <w:lang w:val="es-ES"/>
              </w:rPr>
              <w:t>127.456.764.630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16217EA7" w14:textId="77777777" w:rsidR="00464FBA" w:rsidRPr="00567072" w:rsidRDefault="0080716B" w:rsidP="00464FBA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67072">
              <w:rPr>
                <w:rFonts w:ascii="Calibri" w:hAnsi="Calibri"/>
                <w:b/>
                <w:sz w:val="18"/>
                <w:szCs w:val="12"/>
                <w:lang w:val="es-ES"/>
              </w:rPr>
              <w:t>11.169.608.267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000000"/>
            </w:tcBorders>
            <w:noWrap/>
          </w:tcPr>
          <w:p w14:paraId="1E04864A" w14:textId="77777777" w:rsidR="00464FBA" w:rsidRPr="00567072" w:rsidRDefault="0080716B" w:rsidP="00464FBA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67072">
              <w:rPr>
                <w:rFonts w:ascii="Calibri" w:hAnsi="Calibri"/>
                <w:b/>
                <w:sz w:val="18"/>
                <w:szCs w:val="12"/>
                <w:lang w:val="es-ES"/>
              </w:rPr>
              <w:t>121.421.955.849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2EA09283" w14:textId="77777777" w:rsidR="00464FBA" w:rsidRPr="00567072" w:rsidRDefault="0080716B" w:rsidP="00464FBA">
            <w:pPr>
              <w:snapToGrid w:val="0"/>
              <w:jc w:val="center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67072">
              <w:rPr>
                <w:rFonts w:ascii="Calibri" w:hAnsi="Calibri"/>
                <w:b/>
                <w:sz w:val="18"/>
                <w:szCs w:val="12"/>
                <w:lang w:val="es-ES"/>
              </w:rPr>
              <w:t>21.568.381.679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612165F5" w14:textId="77777777" w:rsidR="00464FBA" w:rsidRPr="00567072" w:rsidRDefault="0080716B" w:rsidP="00910DA2">
            <w:pPr>
              <w:snapToGrid w:val="0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67072">
              <w:rPr>
                <w:rFonts w:ascii="Calibri" w:hAnsi="Calibri"/>
                <w:b/>
                <w:sz w:val="18"/>
                <w:szCs w:val="12"/>
                <w:lang w:val="es-ES"/>
              </w:rPr>
              <w:t>-4,7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95154F3" w14:textId="77777777" w:rsidR="00464FBA" w:rsidRPr="00567072" w:rsidRDefault="0080716B" w:rsidP="00910DA2">
            <w:pPr>
              <w:snapToGrid w:val="0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67072">
              <w:rPr>
                <w:rFonts w:ascii="Calibri" w:hAnsi="Calibri"/>
                <w:b/>
                <w:sz w:val="18"/>
                <w:szCs w:val="12"/>
                <w:lang w:val="es-ES"/>
              </w:rPr>
              <w:t>93,1</w:t>
            </w:r>
          </w:p>
        </w:tc>
      </w:tr>
    </w:tbl>
    <w:p w14:paraId="24893197" w14:textId="77777777" w:rsidR="00464FBA" w:rsidRDefault="00464FBA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</w:p>
    <w:p w14:paraId="3E402886" w14:textId="77777777" w:rsidR="00464FBA" w:rsidRDefault="0080716B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  <w:r w:rsidRPr="00354026">
        <w:rPr>
          <w:rFonts w:ascii="Calibri" w:hAnsi="Calibri"/>
          <w:color w:val="000000"/>
          <w:sz w:val="18"/>
          <w:szCs w:val="16"/>
        </w:rPr>
        <w:t>8. O Orçamento de Investimento, conforme estabelecido na Lei de Diretrizes Orçamentárias - LDO para 2020 (Lei nº 13.898, de 11 de novembro de 2019), contempla os dispêndios de capital destinados à aquisição ou manutenção de bens do ativo imobilizado, excetuados os que envolvam arrendamento mercantil para uso próprio da empresa ou de terceiros e os valores do custo dos empréstimos contabilizados no ativo imobilizado, benfeitorias realizadas em bens da União por empresas estatais e benfeitorias necessárias à infraestrutura de serviços públicos concedidos pela União.</w:t>
      </w:r>
    </w:p>
    <w:p w14:paraId="3E5F7F23" w14:textId="77777777" w:rsidR="00464FBA" w:rsidRPr="00354026" w:rsidRDefault="00464FBA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</w:p>
    <w:p w14:paraId="709D2F1D" w14:textId="03725329" w:rsidR="00464FBA" w:rsidRDefault="0080716B" w:rsidP="00464FBA">
      <w:pPr>
        <w:pStyle w:val="Corpodetexto"/>
        <w:tabs>
          <w:tab w:val="left" w:pos="284"/>
        </w:tabs>
        <w:spacing w:after="120"/>
        <w:rPr>
          <w:rFonts w:ascii="Calibri" w:hAnsi="Calibri"/>
          <w:color w:val="000000"/>
          <w:sz w:val="18"/>
          <w:szCs w:val="16"/>
        </w:rPr>
      </w:pPr>
      <w:r w:rsidRPr="00354026">
        <w:rPr>
          <w:rFonts w:ascii="Calibri" w:hAnsi="Calibri"/>
          <w:color w:val="000000"/>
          <w:sz w:val="18"/>
          <w:szCs w:val="16"/>
        </w:rPr>
        <w:lastRenderedPageBreak/>
        <w:t>9. Até o segundo bimestre de 2020, as empresas estatais realizar</w:t>
      </w:r>
      <w:r w:rsidR="003D0AFE">
        <w:rPr>
          <w:rFonts w:ascii="Calibri" w:hAnsi="Calibri"/>
          <w:color w:val="000000"/>
          <w:sz w:val="18"/>
          <w:szCs w:val="16"/>
        </w:rPr>
        <w:t xml:space="preserve">am investimentos no valor de </w:t>
      </w:r>
      <w:r w:rsidRPr="007D7032">
        <w:rPr>
          <w:rFonts w:ascii="Calibri" w:hAnsi="Calibri"/>
          <w:color w:val="000000"/>
          <w:sz w:val="18"/>
          <w:szCs w:val="16"/>
        </w:rPr>
        <w:t xml:space="preserve">R$ 21.568.381.679,00 (vinte e </w:t>
      </w:r>
      <w:r w:rsidR="001229D0" w:rsidRPr="007D7032">
        <w:rPr>
          <w:rFonts w:ascii="Calibri" w:hAnsi="Calibri"/>
          <w:color w:val="000000"/>
          <w:sz w:val="18"/>
          <w:szCs w:val="16"/>
        </w:rPr>
        <w:t>um</w:t>
      </w:r>
      <w:r w:rsidRPr="007D7032">
        <w:rPr>
          <w:rFonts w:ascii="Calibri" w:hAnsi="Calibri"/>
          <w:color w:val="000000"/>
          <w:sz w:val="18"/>
          <w:szCs w:val="16"/>
        </w:rPr>
        <w:t xml:space="preserve"> bilhões, </w:t>
      </w:r>
      <w:r w:rsidR="001229D0" w:rsidRPr="007D7032">
        <w:rPr>
          <w:rFonts w:ascii="Calibri" w:hAnsi="Calibri"/>
          <w:color w:val="000000"/>
          <w:sz w:val="18"/>
          <w:szCs w:val="16"/>
        </w:rPr>
        <w:t xml:space="preserve">quinhentos e sessenta e oito milhões, trezentos e oitenta e um </w:t>
      </w:r>
      <w:r w:rsidRPr="007D7032">
        <w:rPr>
          <w:rFonts w:ascii="Calibri" w:hAnsi="Calibri"/>
          <w:color w:val="000000"/>
          <w:sz w:val="18"/>
          <w:szCs w:val="16"/>
        </w:rPr>
        <w:t xml:space="preserve">mil, </w:t>
      </w:r>
      <w:r w:rsidR="001229D0" w:rsidRPr="007D7032">
        <w:rPr>
          <w:rFonts w:ascii="Calibri" w:hAnsi="Calibri"/>
          <w:color w:val="000000"/>
          <w:sz w:val="18"/>
          <w:szCs w:val="16"/>
        </w:rPr>
        <w:t>seiscentos e setenta e nove</w:t>
      </w:r>
      <w:r w:rsidRPr="007D7032">
        <w:rPr>
          <w:rFonts w:ascii="Calibri" w:hAnsi="Calibri"/>
          <w:color w:val="000000"/>
          <w:sz w:val="18"/>
          <w:szCs w:val="16"/>
        </w:rPr>
        <w:t xml:space="preserve"> reais), equivalentes </w:t>
      </w:r>
      <w:r w:rsidR="007D7032">
        <w:rPr>
          <w:rFonts w:ascii="Calibri" w:hAnsi="Calibri"/>
          <w:color w:val="000000"/>
          <w:sz w:val="18"/>
          <w:szCs w:val="16"/>
        </w:rPr>
        <w:t xml:space="preserve">aproximadamente </w:t>
      </w:r>
      <w:r w:rsidRPr="007D7032">
        <w:rPr>
          <w:rFonts w:ascii="Calibri" w:hAnsi="Calibri"/>
          <w:color w:val="000000"/>
          <w:sz w:val="18"/>
          <w:szCs w:val="16"/>
        </w:rPr>
        <w:t>a 17,8% do valor global da dotação autorizada.</w:t>
      </w:r>
    </w:p>
    <w:p w14:paraId="59255DBA" w14:textId="77777777" w:rsidR="00464FBA" w:rsidRDefault="00464FBA" w:rsidP="00464FBA">
      <w:pPr>
        <w:pStyle w:val="Corpodetexto"/>
        <w:keepNext/>
        <w:spacing w:after="120"/>
        <w:rPr>
          <w:rFonts w:ascii="Calibri" w:hAnsi="Calibri"/>
          <w:b/>
          <w:color w:val="000000"/>
          <w:sz w:val="18"/>
          <w:szCs w:val="16"/>
        </w:rPr>
      </w:pPr>
    </w:p>
    <w:p w14:paraId="09897B85" w14:textId="77777777" w:rsidR="00464FBA" w:rsidRPr="0051246D" w:rsidRDefault="0080716B" w:rsidP="00464FBA">
      <w:pPr>
        <w:pStyle w:val="Corpodetexto"/>
        <w:keepNext/>
        <w:spacing w:after="120"/>
        <w:rPr>
          <w:rFonts w:ascii="Calibri" w:hAnsi="Calibri"/>
          <w:b/>
          <w:color w:val="000000"/>
          <w:sz w:val="18"/>
          <w:szCs w:val="16"/>
        </w:rPr>
      </w:pPr>
      <w:r w:rsidRPr="0051246D">
        <w:rPr>
          <w:rFonts w:ascii="Calibri" w:hAnsi="Calibri"/>
          <w:b/>
          <w:color w:val="000000"/>
          <w:sz w:val="18"/>
          <w:szCs w:val="16"/>
        </w:rPr>
        <w:t>Despesa por Órgão</w:t>
      </w:r>
    </w:p>
    <w:p w14:paraId="7A5453B6" w14:textId="77777777" w:rsidR="00464FBA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>10. A Tabela 04 apresenta o demonstrativo dos investimentos consolidados por Órgão, informando a dotação autorizada de cada ministério setorial para o exercício de 2020 e os valores já realizados no período de janeiro a abril deste ano.</w:t>
      </w:r>
    </w:p>
    <w:p w14:paraId="101C6861" w14:textId="77777777" w:rsidR="00464FBA" w:rsidRDefault="00464FBA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</w:p>
    <w:tbl>
      <w:tblPr>
        <w:tblW w:w="7753" w:type="dxa"/>
        <w:tblInd w:w="5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652"/>
        <w:gridCol w:w="1417"/>
        <w:gridCol w:w="1417"/>
        <w:gridCol w:w="1275"/>
        <w:gridCol w:w="992"/>
      </w:tblGrid>
      <w:tr w:rsidR="00293D14" w:rsidRPr="00604D79" w14:paraId="34E57F58" w14:textId="77777777" w:rsidTr="00464FBA">
        <w:tc>
          <w:tcPr>
            <w:tcW w:w="5000" w:type="pct"/>
            <w:gridSpan w:val="5"/>
            <w:shd w:val="clear" w:color="auto" w:fill="auto"/>
            <w:vAlign w:val="center"/>
          </w:tcPr>
          <w:p w14:paraId="2CDCFD13" w14:textId="77777777" w:rsidR="00464FBA" w:rsidRPr="005F496A" w:rsidRDefault="0080716B" w:rsidP="00464FBA">
            <w:pPr>
              <w:keepNext/>
              <w:snapToGrid w:val="0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5F496A">
              <w:rPr>
                <w:rFonts w:ascii="Calibri" w:hAnsi="Calibri" w:cs="Calibri"/>
                <w:sz w:val="18"/>
                <w:szCs w:val="18"/>
                <w:lang w:val="pt-BR"/>
              </w:rPr>
              <w:t xml:space="preserve">TABELA 04 – Execução OI – </w:t>
            </w:r>
            <w:r w:rsidRPr="00C30DFC">
              <w:rPr>
                <w:rFonts w:ascii="Calibri" w:hAnsi="Calibri" w:cs="Calibri"/>
                <w:sz w:val="18"/>
                <w:szCs w:val="18"/>
                <w:lang w:val="pt-BR"/>
              </w:rPr>
              <w:t>por</w:t>
            </w:r>
            <w:r w:rsidRPr="00C30DFC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 Órgão</w:t>
            </w:r>
          </w:p>
        </w:tc>
      </w:tr>
      <w:tr w:rsidR="00293D14" w:rsidRPr="00604D79" w14:paraId="089A567F" w14:textId="77777777" w:rsidTr="00464FBA">
        <w:tc>
          <w:tcPr>
            <w:tcW w:w="5000" w:type="pct"/>
            <w:gridSpan w:val="5"/>
            <w:shd w:val="clear" w:color="auto" w:fill="auto"/>
            <w:vAlign w:val="center"/>
          </w:tcPr>
          <w:p w14:paraId="63532AB5" w14:textId="77777777" w:rsidR="00464FBA" w:rsidRPr="0051246D" w:rsidRDefault="00464FBA" w:rsidP="00464FBA">
            <w:pPr>
              <w:keepNext/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</w:tr>
      <w:tr w:rsidR="00293D14" w14:paraId="08130DF8" w14:textId="77777777" w:rsidTr="00464FBA">
        <w:tc>
          <w:tcPr>
            <w:tcW w:w="5000" w:type="pct"/>
            <w:gridSpan w:val="5"/>
            <w:shd w:val="clear" w:color="auto" w:fill="auto"/>
            <w:vAlign w:val="center"/>
          </w:tcPr>
          <w:p w14:paraId="23F4F977" w14:textId="77777777" w:rsidR="00464FBA" w:rsidRPr="0051246D" w:rsidRDefault="0080716B" w:rsidP="00464FBA">
            <w:pPr>
              <w:keepNext/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Valores em R$ 1,00</w:t>
            </w:r>
          </w:p>
        </w:tc>
      </w:tr>
      <w:tr w:rsidR="00293D14" w14:paraId="31B72A55" w14:textId="77777777" w:rsidTr="0043555D">
        <w:tc>
          <w:tcPr>
            <w:tcW w:w="1710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0B9E5C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914" w:type="pct"/>
            <w:tcBorders>
              <w:top w:val="single" w:sz="1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7EC72342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Dotação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Atual</w:t>
            </w:r>
            <w:proofErr w:type="spellEnd"/>
          </w:p>
        </w:tc>
        <w:tc>
          <w:tcPr>
            <w:tcW w:w="914" w:type="pc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38A09423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Realizado no</w:t>
            </w:r>
          </w:p>
        </w:tc>
        <w:tc>
          <w:tcPr>
            <w:tcW w:w="822" w:type="pc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5FD19E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Realizado até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F95825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>
              <w:rPr>
                <w:rFonts w:ascii="Calibri" w:hAnsi="Calibri"/>
                <w:sz w:val="18"/>
                <w:szCs w:val="12"/>
                <w:lang w:val="es-ES" w:eastAsia="pt-BR"/>
              </w:rPr>
              <w:t>% Realizado</w:t>
            </w:r>
          </w:p>
        </w:tc>
      </w:tr>
      <w:tr w:rsidR="00293D14" w14:paraId="69CF3B65" w14:textId="77777777" w:rsidTr="0043555D">
        <w:tc>
          <w:tcPr>
            <w:tcW w:w="171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ADFBCC5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Descritores</w:t>
            </w:r>
            <w:proofErr w:type="spellEnd"/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459ACC1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F454421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2° Bimestre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535B8F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 xml:space="preserve"> 2° Bimestre  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C7847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</w:p>
        </w:tc>
      </w:tr>
      <w:tr w:rsidR="00293D14" w14:paraId="310A55D2" w14:textId="77777777" w:rsidTr="0043555D">
        <w:tc>
          <w:tcPr>
            <w:tcW w:w="1710" w:type="pct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26786B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914" w:type="pct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67BD6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(a)</w:t>
            </w:r>
          </w:p>
        </w:tc>
        <w:tc>
          <w:tcPr>
            <w:tcW w:w="91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2987DA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(b)</w:t>
            </w:r>
          </w:p>
        </w:tc>
        <w:tc>
          <w:tcPr>
            <w:tcW w:w="822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4D7823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(c)</w:t>
            </w:r>
          </w:p>
        </w:tc>
        <w:tc>
          <w:tcPr>
            <w:tcW w:w="640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68432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(c/a)</w:t>
            </w:r>
          </w:p>
        </w:tc>
      </w:tr>
      <w:tr w:rsidR="00293D14" w14:paraId="17B89894" w14:textId="77777777" w:rsidTr="0043555D">
        <w:tc>
          <w:tcPr>
            <w:tcW w:w="171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48B2317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Ministério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da Agricultura,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Pecuária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Abastecimento</w:t>
            </w:r>
            <w:proofErr w:type="spellEnd"/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18CE265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14.260.802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37A18A2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60.052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4B3EF7D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67.207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9B74AA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0,5</w:t>
            </w:r>
          </w:p>
        </w:tc>
      </w:tr>
      <w:tr w:rsidR="00293D14" w14:paraId="79338A1D" w14:textId="77777777" w:rsidTr="0043555D">
        <w:tc>
          <w:tcPr>
            <w:tcW w:w="171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FC2356B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Ministério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Ciência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,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Tecnologia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,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Inovações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Comunicações</w:t>
            </w:r>
            <w:proofErr w:type="spellEnd"/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7888009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868.081.922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148AAB7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11.052.235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26DFF62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24.803.997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8F20EE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2,9</w:t>
            </w:r>
          </w:p>
        </w:tc>
      </w:tr>
      <w:tr w:rsidR="00293D14" w14:paraId="6AC4828C" w14:textId="77777777" w:rsidTr="0043555D">
        <w:tc>
          <w:tcPr>
            <w:tcW w:w="171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94669A7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Ministério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Economia</w:t>
            </w:r>
            <w:proofErr w:type="spellEnd"/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2D5013E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5.879.107.185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7418051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215.419.257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588744F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382.027.967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86D0E2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6,5</w:t>
            </w:r>
          </w:p>
        </w:tc>
      </w:tr>
      <w:tr w:rsidR="00293D14" w14:paraId="531338A1" w14:textId="77777777" w:rsidTr="0043555D">
        <w:tc>
          <w:tcPr>
            <w:tcW w:w="171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FD11E49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Ministério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de Minas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</w:t>
            </w:r>
            <w:proofErr w:type="spellEnd"/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64839FD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112.400.931.579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2899278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6.114.456.421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168EF12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21.056.990.285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4C6A0C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18,7</w:t>
            </w:r>
          </w:p>
        </w:tc>
      </w:tr>
      <w:tr w:rsidR="00293D14" w14:paraId="618D7738" w14:textId="77777777" w:rsidTr="0043555D">
        <w:tc>
          <w:tcPr>
            <w:tcW w:w="171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3704AC3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Ministério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Saúde</w:t>
            </w:r>
            <w:proofErr w:type="spellEnd"/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25F0DF4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190.594.202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24B16DD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3.215.110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45D0D2C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6.268.049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732590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3,3</w:t>
            </w:r>
          </w:p>
        </w:tc>
      </w:tr>
      <w:tr w:rsidR="00293D14" w14:paraId="39580D3F" w14:textId="77777777" w:rsidTr="0043555D">
        <w:tc>
          <w:tcPr>
            <w:tcW w:w="171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B2382ED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Ministério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Infraestrutura</w:t>
            </w:r>
            <w:proofErr w:type="spellEnd"/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6C6280E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667.639.234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19F92B9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61.265.862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07090BF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87.192.903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11C64E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13,1</w:t>
            </w:r>
          </w:p>
        </w:tc>
      </w:tr>
      <w:tr w:rsidR="00293D14" w14:paraId="78274913" w14:textId="77777777" w:rsidTr="0043555D">
        <w:tc>
          <w:tcPr>
            <w:tcW w:w="171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200F21F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Ministério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da Defesa</w:t>
            </w:r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7955521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1.401.340.925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593B63D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11.002.220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56715ED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11.031.271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650E32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0,8</w:t>
            </w:r>
          </w:p>
        </w:tc>
      </w:tr>
      <w:tr w:rsidR="00293D14" w14:paraId="72F49A49" w14:textId="77777777" w:rsidTr="0043555D">
        <w:tc>
          <w:tcPr>
            <w:tcW w:w="171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62B4C0D" w14:textId="77777777" w:rsidR="00464FBA" w:rsidRPr="0051246D" w:rsidRDefault="00464FBA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161142CD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2F3C6F2A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3C817D0B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EA6E038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</w:tr>
      <w:tr w:rsidR="00293D14" w14:paraId="55B2518A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710" w:type="pct"/>
            <w:tcBorders>
              <w:top w:val="single" w:sz="1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CFC979" w14:textId="77777777" w:rsidR="00464FBA" w:rsidRPr="0051246D" w:rsidRDefault="0080716B" w:rsidP="00464FBA">
            <w:pPr>
              <w:keepNext/>
              <w:widowControl w:val="0"/>
              <w:numPr>
                <w:ilvl w:val="2"/>
                <w:numId w:val="1"/>
              </w:numPr>
              <w:suppressAutoHyphens/>
              <w:snapToGrid w:val="0"/>
              <w:outlineLvl w:val="2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 xml:space="preserve">Total  </w:t>
            </w:r>
          </w:p>
        </w:tc>
        <w:tc>
          <w:tcPr>
            <w:tcW w:w="914" w:type="pct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70F09D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sz w:val="18"/>
                <w:szCs w:val="12"/>
                <w:lang w:val="es-ES"/>
              </w:rPr>
              <w:t>121.421.955.849</w:t>
            </w:r>
          </w:p>
        </w:tc>
        <w:tc>
          <w:tcPr>
            <w:tcW w:w="9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CB7FB8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sz w:val="18"/>
                <w:szCs w:val="12"/>
                <w:lang w:val="es-ES"/>
              </w:rPr>
              <w:t>6.416.471.157</w:t>
            </w:r>
          </w:p>
        </w:tc>
        <w:tc>
          <w:tcPr>
            <w:tcW w:w="8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EF70AA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21.568.381.679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C1F3CA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17,8</w:t>
            </w:r>
          </w:p>
        </w:tc>
      </w:tr>
    </w:tbl>
    <w:p w14:paraId="34EF0E13" w14:textId="77777777" w:rsidR="00464FBA" w:rsidRPr="0051246D" w:rsidRDefault="00464FBA" w:rsidP="00464FBA">
      <w:pPr>
        <w:pStyle w:val="Corpodetexto"/>
        <w:spacing w:after="120"/>
        <w:rPr>
          <w:rFonts w:ascii="Calibri" w:hAnsi="Calibri"/>
          <w:b/>
          <w:color w:val="000000"/>
          <w:sz w:val="18"/>
          <w:szCs w:val="16"/>
        </w:rPr>
      </w:pPr>
    </w:p>
    <w:p w14:paraId="51FBBACE" w14:textId="77777777" w:rsidR="00464FBA" w:rsidRPr="0051246D" w:rsidRDefault="0080716B" w:rsidP="00464FBA">
      <w:pPr>
        <w:pStyle w:val="Corpodetexto"/>
        <w:keepNext/>
        <w:spacing w:after="120"/>
        <w:rPr>
          <w:rFonts w:ascii="Calibri" w:hAnsi="Calibri"/>
          <w:b/>
          <w:color w:val="000000"/>
          <w:sz w:val="18"/>
          <w:szCs w:val="16"/>
        </w:rPr>
      </w:pPr>
      <w:r w:rsidRPr="0051246D">
        <w:rPr>
          <w:rFonts w:ascii="Calibri" w:hAnsi="Calibri"/>
          <w:b/>
          <w:color w:val="000000"/>
          <w:sz w:val="18"/>
          <w:szCs w:val="16"/>
        </w:rPr>
        <w:t>Fontes de financiamento dos investimentos</w:t>
      </w:r>
    </w:p>
    <w:p w14:paraId="413A4AC0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>11. A Tabela 05 apresenta o demonstrativo das fontes de financiamento dos investimentos agregadas por natureza.</w:t>
      </w:r>
    </w:p>
    <w:tbl>
      <w:tblPr>
        <w:tblW w:w="7731" w:type="dxa"/>
        <w:tblInd w:w="7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78"/>
        <w:gridCol w:w="2126"/>
        <w:gridCol w:w="1416"/>
        <w:gridCol w:w="1416"/>
        <w:gridCol w:w="710"/>
        <w:gridCol w:w="1419"/>
        <w:gridCol w:w="566"/>
      </w:tblGrid>
      <w:tr w:rsidR="00293D14" w:rsidRPr="00604D79" w14:paraId="528B2955" w14:textId="77777777" w:rsidTr="00464FBA">
        <w:tc>
          <w:tcPr>
            <w:tcW w:w="5000" w:type="pct"/>
            <w:gridSpan w:val="7"/>
            <w:shd w:val="clear" w:color="auto" w:fill="auto"/>
            <w:vAlign w:val="center"/>
          </w:tcPr>
          <w:p w14:paraId="74528063" w14:textId="77777777" w:rsidR="00464FBA" w:rsidRPr="0051246D" w:rsidRDefault="00464FBA" w:rsidP="00464FBA">
            <w:pPr>
              <w:keepNext/>
              <w:snapToGrid w:val="0"/>
              <w:rPr>
                <w:rFonts w:ascii="Calibri" w:hAnsi="Calibri"/>
                <w:sz w:val="18"/>
                <w:szCs w:val="12"/>
                <w:lang w:val="pt-BR" w:eastAsia="pt-BR"/>
              </w:rPr>
            </w:pPr>
          </w:p>
          <w:p w14:paraId="1C145199" w14:textId="77777777" w:rsidR="00464FBA" w:rsidRPr="0051246D" w:rsidRDefault="0080716B" w:rsidP="00464FBA">
            <w:pPr>
              <w:keepNext/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TABELA 05 - </w:t>
            </w: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Fontes</w:t>
            </w:r>
            <w:proofErr w:type="spellEnd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 xml:space="preserve"> de </w:t>
            </w: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Financiamento</w:t>
            </w:r>
            <w:proofErr w:type="spellEnd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 xml:space="preserve"> dos Investimentos - OI</w:t>
            </w:r>
          </w:p>
        </w:tc>
      </w:tr>
      <w:tr w:rsidR="00293D14" w:rsidRPr="00604D79" w14:paraId="62B339DA" w14:textId="77777777" w:rsidTr="00464FBA">
        <w:tc>
          <w:tcPr>
            <w:tcW w:w="5000" w:type="pct"/>
            <w:gridSpan w:val="7"/>
            <w:shd w:val="clear" w:color="auto" w:fill="auto"/>
            <w:vAlign w:val="center"/>
          </w:tcPr>
          <w:p w14:paraId="3FBD780C" w14:textId="77777777" w:rsidR="00464FBA" w:rsidRPr="0051246D" w:rsidRDefault="00464FBA" w:rsidP="00464FBA">
            <w:pPr>
              <w:keepNext/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</w:tr>
      <w:tr w:rsidR="00293D14" w14:paraId="14950C43" w14:textId="77777777" w:rsidTr="00464FBA">
        <w:tc>
          <w:tcPr>
            <w:tcW w:w="5000" w:type="pct"/>
            <w:gridSpan w:val="7"/>
            <w:shd w:val="clear" w:color="auto" w:fill="auto"/>
            <w:vAlign w:val="center"/>
          </w:tcPr>
          <w:p w14:paraId="10BF43B4" w14:textId="77777777" w:rsidR="00464FBA" w:rsidRPr="0051246D" w:rsidRDefault="0080716B" w:rsidP="00464FBA">
            <w:pPr>
              <w:keepNext/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Valores em R$ 1,00</w:t>
            </w:r>
          </w:p>
        </w:tc>
      </w:tr>
      <w:tr w:rsidR="00293D14" w14:paraId="5A36A801" w14:textId="77777777" w:rsidTr="0043555D">
        <w:tc>
          <w:tcPr>
            <w:tcW w:w="1425" w:type="pct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5041ED6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916" w:type="pct"/>
            <w:tcBorders>
              <w:top w:val="single" w:sz="1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7A1FCFEE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Dotação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Atual</w:t>
            </w:r>
            <w:proofErr w:type="spellEnd"/>
          </w:p>
        </w:tc>
        <w:tc>
          <w:tcPr>
            <w:tcW w:w="916" w:type="pc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3178D5A6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Realizado no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03A90246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%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C8D70E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Realizado até</w:t>
            </w:r>
          </w:p>
        </w:tc>
        <w:tc>
          <w:tcPr>
            <w:tcW w:w="366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EEDA3A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%</w:t>
            </w:r>
          </w:p>
        </w:tc>
      </w:tr>
      <w:tr w:rsidR="00293D14" w14:paraId="2968AC95" w14:textId="77777777" w:rsidTr="0043555D">
        <w:tc>
          <w:tcPr>
            <w:tcW w:w="1425" w:type="pct"/>
            <w:gridSpan w:val="2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DD80C65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Descritores</w:t>
            </w:r>
            <w:proofErr w:type="spellEnd"/>
          </w:p>
        </w:tc>
        <w:tc>
          <w:tcPr>
            <w:tcW w:w="916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4607D51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916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4B48BBA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2° Bimestre</w:t>
            </w:r>
          </w:p>
        </w:tc>
        <w:tc>
          <w:tcPr>
            <w:tcW w:w="45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D614FB5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918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3BDD99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 xml:space="preserve"> 2° Bimestre  </w:t>
            </w:r>
          </w:p>
        </w:tc>
        <w:tc>
          <w:tcPr>
            <w:tcW w:w="366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10063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</w:tr>
      <w:tr w:rsidR="00293D14" w14:paraId="57251F9C" w14:textId="77777777" w:rsidTr="0043555D">
        <w:tc>
          <w:tcPr>
            <w:tcW w:w="1425" w:type="pct"/>
            <w:gridSpan w:val="2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B1A912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916" w:type="pct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AFE251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(a)</w:t>
            </w:r>
          </w:p>
        </w:tc>
        <w:tc>
          <w:tcPr>
            <w:tcW w:w="91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8A21E7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(b)</w:t>
            </w:r>
          </w:p>
        </w:tc>
        <w:tc>
          <w:tcPr>
            <w:tcW w:w="45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438B03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(b/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tb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)</w:t>
            </w:r>
          </w:p>
        </w:tc>
        <w:tc>
          <w:tcPr>
            <w:tcW w:w="91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38C1BD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(c)</w:t>
            </w:r>
          </w:p>
        </w:tc>
        <w:tc>
          <w:tcPr>
            <w:tcW w:w="366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6D4CB9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(c/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tc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)</w:t>
            </w:r>
          </w:p>
        </w:tc>
      </w:tr>
      <w:tr w:rsidR="00293D14" w14:paraId="04E4973C" w14:textId="77777777" w:rsidTr="0043555D">
        <w:tc>
          <w:tcPr>
            <w:tcW w:w="1425" w:type="pct"/>
            <w:gridSpan w:val="2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63A8BAC" w14:textId="77777777" w:rsidR="00464FBA" w:rsidRPr="0051246D" w:rsidRDefault="0080716B" w:rsidP="00464FBA">
            <w:pPr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Recursos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Próprios</w:t>
            </w:r>
            <w:proofErr w:type="spellEnd"/>
          </w:p>
        </w:tc>
        <w:tc>
          <w:tcPr>
            <w:tcW w:w="916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F0D23D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119.283.521.766</w:t>
            </w:r>
          </w:p>
        </w:tc>
        <w:tc>
          <w:tcPr>
            <w:tcW w:w="916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623FD1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6.320.822.785</w:t>
            </w:r>
          </w:p>
        </w:tc>
        <w:tc>
          <w:tcPr>
            <w:tcW w:w="45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DB03D7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98,5</w:t>
            </w:r>
          </w:p>
        </w:tc>
        <w:tc>
          <w:tcPr>
            <w:tcW w:w="918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337C6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21.418.325.424</w:t>
            </w:r>
          </w:p>
        </w:tc>
        <w:tc>
          <w:tcPr>
            <w:tcW w:w="366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37C09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99,3</w:t>
            </w:r>
          </w:p>
        </w:tc>
      </w:tr>
      <w:tr w:rsidR="00293D14" w14:paraId="29B1743F" w14:textId="77777777" w:rsidTr="0043555D">
        <w:tc>
          <w:tcPr>
            <w:tcW w:w="1425" w:type="pct"/>
            <w:gridSpan w:val="2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08A909E" w14:textId="77777777" w:rsidR="00464FBA" w:rsidRPr="0051246D" w:rsidRDefault="0080716B" w:rsidP="00464FBA">
            <w:pPr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Geração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Própria</w:t>
            </w:r>
            <w:proofErr w:type="spellEnd"/>
          </w:p>
        </w:tc>
        <w:tc>
          <w:tcPr>
            <w:tcW w:w="916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EDAE39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119.283.521.766</w:t>
            </w:r>
          </w:p>
        </w:tc>
        <w:tc>
          <w:tcPr>
            <w:tcW w:w="916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E5A5B7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6.320.822.785</w:t>
            </w:r>
          </w:p>
        </w:tc>
        <w:tc>
          <w:tcPr>
            <w:tcW w:w="45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B74D4C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98,5</w:t>
            </w:r>
          </w:p>
        </w:tc>
        <w:tc>
          <w:tcPr>
            <w:tcW w:w="918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14A91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21.418.325.424</w:t>
            </w:r>
          </w:p>
        </w:tc>
        <w:tc>
          <w:tcPr>
            <w:tcW w:w="366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8CC4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99,3</w:t>
            </w:r>
          </w:p>
        </w:tc>
      </w:tr>
      <w:tr w:rsidR="00293D14" w14:paraId="075CB512" w14:textId="77777777" w:rsidTr="0043555D">
        <w:tc>
          <w:tcPr>
            <w:tcW w:w="1425" w:type="pct"/>
            <w:gridSpan w:val="2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7C54E0F" w14:textId="77777777" w:rsidR="00464FBA" w:rsidRPr="0051246D" w:rsidRDefault="0080716B" w:rsidP="00464FBA">
            <w:pPr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Recursos Para Aumento Do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Patrimônio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Líquido</w:t>
            </w:r>
          </w:p>
        </w:tc>
        <w:tc>
          <w:tcPr>
            <w:tcW w:w="916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7505FA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1.938.042.973</w:t>
            </w:r>
          </w:p>
        </w:tc>
        <w:tc>
          <w:tcPr>
            <w:tcW w:w="916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171769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74.745.407</w:t>
            </w:r>
          </w:p>
        </w:tc>
        <w:tc>
          <w:tcPr>
            <w:tcW w:w="45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8DF1CD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1,2</w:t>
            </w:r>
          </w:p>
        </w:tc>
        <w:tc>
          <w:tcPr>
            <w:tcW w:w="918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61BDA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105.310.087</w:t>
            </w:r>
          </w:p>
        </w:tc>
        <w:tc>
          <w:tcPr>
            <w:tcW w:w="366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61BF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0,5</w:t>
            </w:r>
          </w:p>
        </w:tc>
      </w:tr>
      <w:tr w:rsidR="00293D14" w14:paraId="767B3615" w14:textId="77777777" w:rsidTr="0043555D">
        <w:tc>
          <w:tcPr>
            <w:tcW w:w="1425" w:type="pct"/>
            <w:gridSpan w:val="2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A9B2632" w14:textId="77777777" w:rsidR="00464FBA" w:rsidRPr="0051246D" w:rsidRDefault="0080716B" w:rsidP="00464FBA">
            <w:pPr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 Controladora</w:t>
            </w:r>
          </w:p>
        </w:tc>
        <w:tc>
          <w:tcPr>
            <w:tcW w:w="916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D14F78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94.800</w:t>
            </w:r>
          </w:p>
        </w:tc>
        <w:tc>
          <w:tcPr>
            <w:tcW w:w="916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869963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60.902</w:t>
            </w:r>
          </w:p>
        </w:tc>
        <w:tc>
          <w:tcPr>
            <w:tcW w:w="45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5B4AC9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  <w:tc>
          <w:tcPr>
            <w:tcW w:w="918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4E43A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1.939.875</w:t>
            </w:r>
          </w:p>
        </w:tc>
        <w:tc>
          <w:tcPr>
            <w:tcW w:w="366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5F7A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2D55ABB5" w14:textId="77777777" w:rsidTr="0043555D">
        <w:tc>
          <w:tcPr>
            <w:tcW w:w="1425" w:type="pct"/>
            <w:gridSpan w:val="2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FD6B119" w14:textId="77777777" w:rsidR="00464FBA" w:rsidRPr="0051246D" w:rsidRDefault="0080716B" w:rsidP="00464FBA">
            <w:pPr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Tesouro</w:t>
            </w:r>
            <w:proofErr w:type="spellEnd"/>
          </w:p>
        </w:tc>
        <w:tc>
          <w:tcPr>
            <w:tcW w:w="916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A54F47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1.937.948.173</w:t>
            </w:r>
          </w:p>
        </w:tc>
        <w:tc>
          <w:tcPr>
            <w:tcW w:w="916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833076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74.684.505</w:t>
            </w:r>
          </w:p>
        </w:tc>
        <w:tc>
          <w:tcPr>
            <w:tcW w:w="45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8AF6DD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1,2</w:t>
            </w:r>
          </w:p>
        </w:tc>
        <w:tc>
          <w:tcPr>
            <w:tcW w:w="918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154A7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103.370.212</w:t>
            </w:r>
          </w:p>
        </w:tc>
        <w:tc>
          <w:tcPr>
            <w:tcW w:w="366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57E2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0,5</w:t>
            </w:r>
          </w:p>
        </w:tc>
      </w:tr>
      <w:tr w:rsidR="00293D14" w14:paraId="153BB884" w14:textId="77777777" w:rsidTr="0043555D">
        <w:tc>
          <w:tcPr>
            <w:tcW w:w="1425" w:type="pct"/>
            <w:gridSpan w:val="2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AA91D2A" w14:textId="77777777" w:rsidR="00464FBA" w:rsidRPr="0051246D" w:rsidRDefault="0080716B" w:rsidP="00464FBA">
            <w:pPr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  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Direto</w:t>
            </w:r>
            <w:proofErr w:type="spellEnd"/>
          </w:p>
        </w:tc>
        <w:tc>
          <w:tcPr>
            <w:tcW w:w="916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4D0A90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139.595.423</w:t>
            </w:r>
          </w:p>
        </w:tc>
        <w:tc>
          <w:tcPr>
            <w:tcW w:w="916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3F04F8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45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52892F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  <w:tc>
          <w:tcPr>
            <w:tcW w:w="918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99DC4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1.000.000</w:t>
            </w:r>
          </w:p>
        </w:tc>
        <w:tc>
          <w:tcPr>
            <w:tcW w:w="366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54B0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5EFCD6F5" w14:textId="77777777" w:rsidTr="0043555D">
        <w:tc>
          <w:tcPr>
            <w:tcW w:w="1425" w:type="pct"/>
            <w:gridSpan w:val="2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F224E2F" w14:textId="77777777" w:rsidR="00464FBA" w:rsidRPr="0051246D" w:rsidRDefault="0080716B" w:rsidP="00464FBA">
            <w:pPr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   Saldos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Exercícios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Anteriores</w:t>
            </w:r>
          </w:p>
        </w:tc>
        <w:tc>
          <w:tcPr>
            <w:tcW w:w="916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21E3DA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1.798.352.750</w:t>
            </w:r>
          </w:p>
        </w:tc>
        <w:tc>
          <w:tcPr>
            <w:tcW w:w="916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D314FE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74.684.505</w:t>
            </w:r>
          </w:p>
        </w:tc>
        <w:tc>
          <w:tcPr>
            <w:tcW w:w="45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7D2DE8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1,2</w:t>
            </w:r>
          </w:p>
        </w:tc>
        <w:tc>
          <w:tcPr>
            <w:tcW w:w="918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B0C9D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102.370.212</w:t>
            </w:r>
          </w:p>
        </w:tc>
        <w:tc>
          <w:tcPr>
            <w:tcW w:w="366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B6E2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0,5</w:t>
            </w:r>
          </w:p>
        </w:tc>
      </w:tr>
      <w:tr w:rsidR="00293D14" w14:paraId="20076601" w14:textId="77777777" w:rsidTr="0043555D">
        <w:tc>
          <w:tcPr>
            <w:tcW w:w="1425" w:type="pct"/>
            <w:gridSpan w:val="2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4CF4F38" w14:textId="77777777" w:rsidR="00464FBA" w:rsidRPr="0051246D" w:rsidRDefault="0080716B" w:rsidP="00464FBA">
            <w:pPr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Operações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De Crédito De Longo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Prazo</w:t>
            </w:r>
            <w:proofErr w:type="spellEnd"/>
          </w:p>
        </w:tc>
        <w:tc>
          <w:tcPr>
            <w:tcW w:w="916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01EE57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50.391.110</w:t>
            </w:r>
          </w:p>
        </w:tc>
        <w:tc>
          <w:tcPr>
            <w:tcW w:w="916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C56FDE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20.902.965</w:t>
            </w:r>
          </w:p>
        </w:tc>
        <w:tc>
          <w:tcPr>
            <w:tcW w:w="45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05816D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0,3</w:t>
            </w:r>
          </w:p>
        </w:tc>
        <w:tc>
          <w:tcPr>
            <w:tcW w:w="918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70C9F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44.746.168</w:t>
            </w:r>
          </w:p>
        </w:tc>
        <w:tc>
          <w:tcPr>
            <w:tcW w:w="366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0C16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0,2</w:t>
            </w:r>
          </w:p>
        </w:tc>
      </w:tr>
      <w:tr w:rsidR="00293D14" w14:paraId="7FC4C9CE" w14:textId="77777777" w:rsidTr="0043555D">
        <w:tc>
          <w:tcPr>
            <w:tcW w:w="1425" w:type="pct"/>
            <w:gridSpan w:val="2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6E0FDF1" w14:textId="77777777" w:rsidR="00464FBA" w:rsidRPr="0051246D" w:rsidRDefault="0080716B" w:rsidP="00464FBA">
            <w:pPr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 Internas</w:t>
            </w:r>
          </w:p>
        </w:tc>
        <w:tc>
          <w:tcPr>
            <w:tcW w:w="916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07AEEA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50.391.110</w:t>
            </w:r>
          </w:p>
        </w:tc>
        <w:tc>
          <w:tcPr>
            <w:tcW w:w="916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721556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20.902.965</w:t>
            </w:r>
          </w:p>
        </w:tc>
        <w:tc>
          <w:tcPr>
            <w:tcW w:w="45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4D7269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0,3</w:t>
            </w:r>
          </w:p>
        </w:tc>
        <w:tc>
          <w:tcPr>
            <w:tcW w:w="918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F1441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44.746.168</w:t>
            </w:r>
          </w:p>
        </w:tc>
        <w:tc>
          <w:tcPr>
            <w:tcW w:w="366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D947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0,2</w:t>
            </w:r>
          </w:p>
        </w:tc>
      </w:tr>
      <w:tr w:rsidR="00293D14" w14:paraId="1BB88580" w14:textId="77777777" w:rsidTr="0043555D">
        <w:tc>
          <w:tcPr>
            <w:tcW w:w="1425" w:type="pct"/>
            <w:gridSpan w:val="2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B7ECF5C" w14:textId="77777777" w:rsidR="00464FBA" w:rsidRPr="0051246D" w:rsidRDefault="0080716B" w:rsidP="00464FBA">
            <w:pPr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Outros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Recursos De Longo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Prazo</w:t>
            </w:r>
            <w:proofErr w:type="spellEnd"/>
          </w:p>
        </w:tc>
        <w:tc>
          <w:tcPr>
            <w:tcW w:w="916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AE5C91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150.000.000</w:t>
            </w:r>
          </w:p>
        </w:tc>
        <w:tc>
          <w:tcPr>
            <w:tcW w:w="916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C5FB0C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45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E0D71B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  <w:tc>
          <w:tcPr>
            <w:tcW w:w="918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D09F3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0</w:t>
            </w:r>
          </w:p>
        </w:tc>
        <w:tc>
          <w:tcPr>
            <w:tcW w:w="366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91F7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45622182" w14:textId="77777777" w:rsidTr="0043555D">
        <w:tc>
          <w:tcPr>
            <w:tcW w:w="1425" w:type="pct"/>
            <w:gridSpan w:val="2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0E6499B" w14:textId="77777777" w:rsidR="00464FBA" w:rsidRPr="0051246D" w:rsidRDefault="0080716B" w:rsidP="00464FBA">
            <w:pPr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Debêntures</w:t>
            </w:r>
            <w:proofErr w:type="spellEnd"/>
          </w:p>
        </w:tc>
        <w:tc>
          <w:tcPr>
            <w:tcW w:w="916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DA28B6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150.000.000</w:t>
            </w:r>
          </w:p>
        </w:tc>
        <w:tc>
          <w:tcPr>
            <w:tcW w:w="916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FCC102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45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29427C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  <w:tc>
          <w:tcPr>
            <w:tcW w:w="918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C7741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0</w:t>
            </w:r>
          </w:p>
        </w:tc>
        <w:tc>
          <w:tcPr>
            <w:tcW w:w="366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BE161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2BCC31A6" w14:textId="77777777" w:rsidTr="0043555D">
        <w:tc>
          <w:tcPr>
            <w:tcW w:w="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AC580F" w14:textId="77777777" w:rsidR="00464FBA" w:rsidRPr="0051246D" w:rsidRDefault="00464FBA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1375" w:type="pct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EBB1D80" w14:textId="77777777" w:rsidR="00464FBA" w:rsidRPr="0051246D" w:rsidRDefault="00464FBA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916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B67A079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916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1842E27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45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6EB7318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918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AB5343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366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A5E843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</w:tr>
      <w:tr w:rsidR="00293D14" w14:paraId="4FCA4E91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425" w:type="pct"/>
            <w:gridSpan w:val="2"/>
            <w:tcBorders>
              <w:top w:val="single" w:sz="1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9988F1" w14:textId="77777777" w:rsidR="00464FBA" w:rsidRPr="0051246D" w:rsidRDefault="0080716B" w:rsidP="00464FBA">
            <w:pPr>
              <w:keepNext/>
              <w:widowControl w:val="0"/>
              <w:numPr>
                <w:ilvl w:val="2"/>
                <w:numId w:val="1"/>
              </w:numPr>
              <w:suppressAutoHyphens/>
              <w:snapToGrid w:val="0"/>
              <w:outlineLvl w:val="2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 xml:space="preserve">Total  </w:t>
            </w:r>
          </w:p>
        </w:tc>
        <w:tc>
          <w:tcPr>
            <w:tcW w:w="916" w:type="pct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276502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sz w:val="18"/>
                <w:szCs w:val="12"/>
                <w:lang w:val="es-ES"/>
              </w:rPr>
              <w:t>121.421.955.849</w:t>
            </w:r>
          </w:p>
        </w:tc>
        <w:tc>
          <w:tcPr>
            <w:tcW w:w="9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5AE74D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sz w:val="18"/>
                <w:szCs w:val="12"/>
                <w:lang w:val="es-ES"/>
              </w:rPr>
              <w:t>6.416.471.157</w:t>
            </w:r>
          </w:p>
        </w:tc>
        <w:tc>
          <w:tcPr>
            <w:tcW w:w="45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684C30" w14:textId="77777777" w:rsidR="00464FBA" w:rsidRPr="0051246D" w:rsidRDefault="0080716B" w:rsidP="00464FBA">
            <w:pPr>
              <w:keepNext/>
              <w:widowControl w:val="0"/>
              <w:numPr>
                <w:ilvl w:val="2"/>
                <w:numId w:val="1"/>
              </w:numPr>
              <w:suppressAutoHyphens/>
              <w:snapToGrid w:val="0"/>
              <w:jc w:val="right"/>
              <w:outlineLvl w:val="2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100,0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43FB7C3" w14:textId="77777777" w:rsidR="00464FBA" w:rsidRPr="0051246D" w:rsidRDefault="0080716B" w:rsidP="00464FBA">
            <w:pPr>
              <w:keepNext/>
              <w:widowControl w:val="0"/>
              <w:numPr>
                <w:ilvl w:val="2"/>
                <w:numId w:val="1"/>
              </w:numPr>
              <w:suppressAutoHyphens/>
              <w:snapToGrid w:val="0"/>
              <w:jc w:val="right"/>
              <w:outlineLvl w:val="2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21.568.381.679</w:t>
            </w:r>
          </w:p>
        </w:tc>
        <w:tc>
          <w:tcPr>
            <w:tcW w:w="366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B798404" w14:textId="77777777" w:rsidR="00464FBA" w:rsidRPr="0051246D" w:rsidRDefault="0080716B" w:rsidP="00464FBA">
            <w:pPr>
              <w:keepNext/>
              <w:widowControl w:val="0"/>
              <w:numPr>
                <w:ilvl w:val="2"/>
                <w:numId w:val="1"/>
              </w:numPr>
              <w:suppressAutoHyphens/>
              <w:snapToGrid w:val="0"/>
              <w:jc w:val="right"/>
              <w:outlineLvl w:val="2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100,0</w:t>
            </w:r>
          </w:p>
        </w:tc>
      </w:tr>
    </w:tbl>
    <w:p w14:paraId="1F34E499" w14:textId="77777777" w:rsidR="00464FBA" w:rsidRPr="0051246D" w:rsidRDefault="00464FBA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</w:p>
    <w:p w14:paraId="4B3285D7" w14:textId="77777777" w:rsidR="00464FBA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354026">
        <w:rPr>
          <w:rFonts w:ascii="Calibri" w:hAnsi="Calibri"/>
          <w:color w:val="000000"/>
          <w:sz w:val="18"/>
          <w:szCs w:val="16"/>
        </w:rPr>
        <w:t xml:space="preserve">12. Dos </w:t>
      </w:r>
      <w:r w:rsidR="009357C3" w:rsidRPr="00354026">
        <w:rPr>
          <w:rFonts w:ascii="Calibri" w:hAnsi="Calibri"/>
          <w:color w:val="000000"/>
          <w:sz w:val="18"/>
          <w:szCs w:val="16"/>
        </w:rPr>
        <w:t xml:space="preserve">gastos realizados com investimentos no segundo bimestre de 2020, a significativa parcela, equivalente a 99,3% do total, foi financiada com recursos de geração própria. A parcela restante foi </w:t>
      </w:r>
      <w:r w:rsidR="009357C3">
        <w:rPr>
          <w:rFonts w:ascii="Calibri" w:hAnsi="Calibri"/>
          <w:color w:val="000000"/>
          <w:sz w:val="18"/>
          <w:szCs w:val="16"/>
        </w:rPr>
        <w:t xml:space="preserve">paga, em parte, com recursos de </w:t>
      </w:r>
      <w:r w:rsidR="009357C3" w:rsidRPr="00354026">
        <w:rPr>
          <w:rFonts w:ascii="Calibri" w:hAnsi="Calibri"/>
          <w:color w:val="000000"/>
          <w:sz w:val="18"/>
          <w:szCs w:val="16"/>
        </w:rPr>
        <w:t xml:space="preserve">Saldos de Exercícios Anteriores (0,5%), e também através de operações de crédito de longo prazo, </w:t>
      </w:r>
      <w:proofErr w:type="gramStart"/>
      <w:r w:rsidR="009357C3" w:rsidRPr="00354026">
        <w:rPr>
          <w:rFonts w:ascii="Calibri" w:hAnsi="Calibri"/>
          <w:color w:val="000000"/>
          <w:sz w:val="18"/>
          <w:szCs w:val="16"/>
        </w:rPr>
        <w:t>Internas</w:t>
      </w:r>
      <w:proofErr w:type="gramEnd"/>
      <w:r w:rsidR="009357C3" w:rsidRPr="00354026">
        <w:rPr>
          <w:rFonts w:ascii="Calibri" w:hAnsi="Calibri"/>
          <w:color w:val="000000"/>
          <w:sz w:val="18"/>
          <w:szCs w:val="16"/>
        </w:rPr>
        <w:t>, com 0,2%. Em relação à dotação atual total, os recursos de geração própria previstos equivalem a 98,</w:t>
      </w:r>
      <w:r w:rsidR="009357C3">
        <w:rPr>
          <w:rFonts w:ascii="Calibri" w:hAnsi="Calibri"/>
          <w:color w:val="000000"/>
          <w:sz w:val="18"/>
          <w:szCs w:val="16"/>
        </w:rPr>
        <w:t>5</w:t>
      </w:r>
      <w:r w:rsidR="009357C3" w:rsidRPr="00354026">
        <w:rPr>
          <w:rFonts w:ascii="Calibri" w:hAnsi="Calibri"/>
          <w:color w:val="000000"/>
          <w:sz w:val="18"/>
          <w:szCs w:val="16"/>
        </w:rPr>
        <w:t>%, em seguida vêm os grupamentos: Tesouro (</w:t>
      </w:r>
      <w:r w:rsidR="009357C3">
        <w:rPr>
          <w:rFonts w:ascii="Calibri" w:hAnsi="Calibri"/>
          <w:color w:val="000000"/>
          <w:sz w:val="18"/>
          <w:szCs w:val="16"/>
        </w:rPr>
        <w:t>1</w:t>
      </w:r>
      <w:r w:rsidR="009357C3" w:rsidRPr="00354026">
        <w:rPr>
          <w:rFonts w:ascii="Calibri" w:hAnsi="Calibri"/>
          <w:color w:val="000000"/>
          <w:sz w:val="18"/>
          <w:szCs w:val="16"/>
        </w:rPr>
        <w:t>,</w:t>
      </w:r>
      <w:r w:rsidR="009357C3">
        <w:rPr>
          <w:rFonts w:ascii="Calibri" w:hAnsi="Calibri"/>
          <w:color w:val="000000"/>
          <w:sz w:val="18"/>
          <w:szCs w:val="16"/>
        </w:rPr>
        <w:t>2</w:t>
      </w:r>
      <w:r w:rsidR="009357C3" w:rsidRPr="00354026">
        <w:rPr>
          <w:rFonts w:ascii="Calibri" w:hAnsi="Calibri"/>
          <w:color w:val="000000"/>
          <w:sz w:val="18"/>
          <w:szCs w:val="16"/>
        </w:rPr>
        <w:t>%), Operações de Crédito de Longo Prazo (</w:t>
      </w:r>
      <w:r w:rsidR="009357C3">
        <w:rPr>
          <w:rFonts w:ascii="Calibri" w:hAnsi="Calibri"/>
          <w:color w:val="000000"/>
          <w:sz w:val="18"/>
          <w:szCs w:val="16"/>
        </w:rPr>
        <w:t>0,3</w:t>
      </w:r>
      <w:r w:rsidR="009357C3" w:rsidRPr="00354026">
        <w:rPr>
          <w:rFonts w:ascii="Calibri" w:hAnsi="Calibri"/>
          <w:color w:val="000000"/>
          <w:sz w:val="18"/>
          <w:szCs w:val="16"/>
        </w:rPr>
        <w:t>%). Destaca-se a capacidade das empresas estatais em financiarem as despesas de investimentos com recursos próprios.</w:t>
      </w:r>
      <w:r w:rsidRPr="00354026">
        <w:rPr>
          <w:rFonts w:ascii="Calibri" w:hAnsi="Calibri"/>
          <w:color w:val="000000"/>
          <w:sz w:val="18"/>
          <w:szCs w:val="16"/>
        </w:rPr>
        <w:t xml:space="preserve"> </w:t>
      </w:r>
    </w:p>
    <w:p w14:paraId="6C457526" w14:textId="77777777" w:rsidR="00464FBA" w:rsidRPr="0051246D" w:rsidRDefault="0080716B" w:rsidP="00464FBA">
      <w:pPr>
        <w:pStyle w:val="Corpodetexto"/>
        <w:keepNext/>
        <w:spacing w:after="120"/>
        <w:rPr>
          <w:rFonts w:ascii="Calibri" w:hAnsi="Calibri"/>
          <w:b/>
          <w:color w:val="000000"/>
          <w:sz w:val="18"/>
          <w:szCs w:val="16"/>
        </w:rPr>
      </w:pPr>
      <w:r w:rsidRPr="0051246D">
        <w:rPr>
          <w:rFonts w:ascii="Calibri" w:hAnsi="Calibri"/>
          <w:b/>
          <w:color w:val="000000"/>
          <w:sz w:val="18"/>
          <w:szCs w:val="16"/>
        </w:rPr>
        <w:lastRenderedPageBreak/>
        <w:t xml:space="preserve">Despesa por Funções e </w:t>
      </w:r>
      <w:proofErr w:type="spellStart"/>
      <w:r w:rsidRPr="0051246D">
        <w:rPr>
          <w:rFonts w:ascii="Calibri" w:hAnsi="Calibri"/>
          <w:b/>
          <w:color w:val="000000"/>
          <w:sz w:val="18"/>
          <w:szCs w:val="16"/>
        </w:rPr>
        <w:t>Subfunções</w:t>
      </w:r>
      <w:proofErr w:type="spellEnd"/>
    </w:p>
    <w:p w14:paraId="3FAC3029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 xml:space="preserve">13. Para efeito de programação orçamentária, bem como para o controle da execução, as ações diretas ou indiretas do Governo são agrupadas por Função e </w:t>
      </w:r>
      <w:proofErr w:type="spellStart"/>
      <w:r w:rsidRPr="0051246D">
        <w:rPr>
          <w:rFonts w:ascii="Calibri" w:hAnsi="Calibri"/>
          <w:color w:val="000000"/>
          <w:sz w:val="18"/>
          <w:szCs w:val="16"/>
        </w:rPr>
        <w:t>Subfunção</w:t>
      </w:r>
      <w:proofErr w:type="spellEnd"/>
      <w:r w:rsidRPr="0051246D">
        <w:rPr>
          <w:rFonts w:ascii="Calibri" w:hAnsi="Calibri"/>
          <w:color w:val="000000"/>
          <w:sz w:val="18"/>
          <w:szCs w:val="16"/>
        </w:rPr>
        <w:t xml:space="preserve">. As funções representam o maior nível de agregação das despesas que competem ao setor público e guardam relação com a estrutura organizacional do Governo Federal. A </w:t>
      </w:r>
      <w:proofErr w:type="spellStart"/>
      <w:r w:rsidRPr="0051246D">
        <w:rPr>
          <w:rFonts w:ascii="Calibri" w:hAnsi="Calibri"/>
          <w:color w:val="000000"/>
          <w:sz w:val="18"/>
          <w:szCs w:val="16"/>
        </w:rPr>
        <w:t>subfunção</w:t>
      </w:r>
      <w:proofErr w:type="spellEnd"/>
      <w:r w:rsidRPr="0051246D">
        <w:rPr>
          <w:rFonts w:ascii="Calibri" w:hAnsi="Calibri"/>
          <w:color w:val="000000"/>
          <w:sz w:val="18"/>
          <w:szCs w:val="16"/>
        </w:rPr>
        <w:t xml:space="preserve"> constitui parte da função em que se agrega determinado subconjunto de despesas do setor público, de forma a identificar a natureza básica das ações que se aglutinam nas funções. As </w:t>
      </w:r>
      <w:proofErr w:type="spellStart"/>
      <w:r w:rsidRPr="0051246D">
        <w:rPr>
          <w:rFonts w:ascii="Calibri" w:hAnsi="Calibri"/>
          <w:color w:val="000000"/>
          <w:sz w:val="18"/>
          <w:szCs w:val="16"/>
        </w:rPr>
        <w:t>subfunções</w:t>
      </w:r>
      <w:proofErr w:type="spellEnd"/>
      <w:r w:rsidRPr="0051246D">
        <w:rPr>
          <w:rFonts w:ascii="Calibri" w:hAnsi="Calibri"/>
          <w:color w:val="000000"/>
          <w:sz w:val="18"/>
          <w:szCs w:val="16"/>
        </w:rPr>
        <w:t xml:space="preserve"> podem ser combinadas com diferentes funções.</w:t>
      </w:r>
    </w:p>
    <w:p w14:paraId="4BC06A63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 xml:space="preserve">14. As tabelas 06 e 07 demonstram os valores realizados do Orçamento de Investimento no segundo bimestre de 2020 e no acumulado do exercício, agrupados, respectivamente, por funções e </w:t>
      </w:r>
      <w:proofErr w:type="spellStart"/>
      <w:r w:rsidRPr="0051246D">
        <w:rPr>
          <w:rFonts w:ascii="Calibri" w:hAnsi="Calibri"/>
          <w:color w:val="000000"/>
          <w:sz w:val="18"/>
          <w:szCs w:val="16"/>
        </w:rPr>
        <w:t>subfunções</w:t>
      </w:r>
      <w:proofErr w:type="spellEnd"/>
      <w:r w:rsidRPr="0051246D">
        <w:rPr>
          <w:rFonts w:ascii="Calibri" w:hAnsi="Calibri"/>
          <w:color w:val="000000"/>
          <w:sz w:val="18"/>
          <w:szCs w:val="16"/>
        </w:rPr>
        <w:t>.</w:t>
      </w:r>
    </w:p>
    <w:tbl>
      <w:tblPr>
        <w:tblW w:w="7753" w:type="dxa"/>
        <w:tblInd w:w="5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650"/>
        <w:gridCol w:w="1417"/>
        <w:gridCol w:w="1417"/>
        <w:gridCol w:w="1275"/>
        <w:gridCol w:w="994"/>
      </w:tblGrid>
      <w:tr w:rsidR="00293D14" w:rsidRPr="00604D79" w14:paraId="7D1C1982" w14:textId="77777777" w:rsidTr="00464FBA">
        <w:tc>
          <w:tcPr>
            <w:tcW w:w="5000" w:type="pct"/>
            <w:gridSpan w:val="5"/>
            <w:shd w:val="clear" w:color="auto" w:fill="auto"/>
          </w:tcPr>
          <w:p w14:paraId="2FBE3B79" w14:textId="77777777" w:rsidR="00464FBA" w:rsidRPr="0051246D" w:rsidRDefault="00464FBA" w:rsidP="00464FBA">
            <w:pPr>
              <w:keepNext/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  <w:p w14:paraId="2FFC4CD3" w14:textId="77777777" w:rsidR="00464FBA" w:rsidRPr="0051246D" w:rsidRDefault="0080716B" w:rsidP="00464FBA">
            <w:pPr>
              <w:keepNext/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TABELA 06 –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Execução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OI – por </w:t>
            </w: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Função</w:t>
            </w:r>
            <w:proofErr w:type="spellEnd"/>
          </w:p>
        </w:tc>
      </w:tr>
      <w:tr w:rsidR="00293D14" w:rsidRPr="00604D79" w14:paraId="6871608D" w14:textId="77777777" w:rsidTr="00464FBA">
        <w:tc>
          <w:tcPr>
            <w:tcW w:w="5000" w:type="pct"/>
            <w:gridSpan w:val="5"/>
            <w:shd w:val="clear" w:color="auto" w:fill="auto"/>
          </w:tcPr>
          <w:p w14:paraId="3A0B8EC8" w14:textId="77777777" w:rsidR="00464FBA" w:rsidRPr="0051246D" w:rsidRDefault="00464FBA" w:rsidP="00464FBA">
            <w:pPr>
              <w:keepNext/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</w:tr>
      <w:tr w:rsidR="00293D14" w14:paraId="599E832D" w14:textId="77777777" w:rsidTr="00464FBA">
        <w:tc>
          <w:tcPr>
            <w:tcW w:w="5000" w:type="pct"/>
            <w:gridSpan w:val="5"/>
            <w:shd w:val="clear" w:color="auto" w:fill="auto"/>
          </w:tcPr>
          <w:p w14:paraId="6091EF84" w14:textId="77777777" w:rsidR="00464FBA" w:rsidRPr="0051246D" w:rsidRDefault="0080716B" w:rsidP="00464FBA">
            <w:pPr>
              <w:keepNext/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Valores em R$ 1,00</w:t>
            </w:r>
          </w:p>
        </w:tc>
      </w:tr>
      <w:tr w:rsidR="00293D14" w14:paraId="6C387DB9" w14:textId="77777777" w:rsidTr="0043555D">
        <w:tc>
          <w:tcPr>
            <w:tcW w:w="1709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11B4897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914" w:type="pct"/>
            <w:tcBorders>
              <w:top w:val="single" w:sz="1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7EBC8A44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Dotação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Atual</w:t>
            </w:r>
            <w:proofErr w:type="spellEnd"/>
          </w:p>
        </w:tc>
        <w:tc>
          <w:tcPr>
            <w:tcW w:w="914" w:type="pc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22114280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Realizado no</w:t>
            </w:r>
          </w:p>
        </w:tc>
        <w:tc>
          <w:tcPr>
            <w:tcW w:w="822" w:type="pc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30DC47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Realizado até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F56F9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>
              <w:rPr>
                <w:rFonts w:ascii="Calibri" w:hAnsi="Calibri"/>
                <w:sz w:val="18"/>
                <w:szCs w:val="12"/>
                <w:lang w:val="es-ES" w:eastAsia="pt-BR"/>
              </w:rPr>
              <w:t>% Realizado</w:t>
            </w:r>
          </w:p>
        </w:tc>
      </w:tr>
      <w:tr w:rsidR="00293D14" w14:paraId="21C4BE1F" w14:textId="77777777" w:rsidTr="0043555D">
        <w:tc>
          <w:tcPr>
            <w:tcW w:w="1709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E3C185E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Descritores</w:t>
            </w:r>
            <w:proofErr w:type="spellEnd"/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27FB938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8F188D7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2° Bimestre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1B5E5F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 xml:space="preserve"> 2° Bimestre  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03A2E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</w:p>
        </w:tc>
      </w:tr>
      <w:tr w:rsidR="00293D14" w14:paraId="50CE5005" w14:textId="77777777" w:rsidTr="0043555D">
        <w:tc>
          <w:tcPr>
            <w:tcW w:w="1709" w:type="pct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BE62B6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914" w:type="pct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DDA37B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(a)</w:t>
            </w:r>
          </w:p>
        </w:tc>
        <w:tc>
          <w:tcPr>
            <w:tcW w:w="91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D5647A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(b)</w:t>
            </w:r>
          </w:p>
        </w:tc>
        <w:tc>
          <w:tcPr>
            <w:tcW w:w="822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7C580B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(c)</w:t>
            </w:r>
          </w:p>
        </w:tc>
        <w:tc>
          <w:tcPr>
            <w:tcW w:w="641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A488F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(c/a)</w:t>
            </w:r>
          </w:p>
        </w:tc>
      </w:tr>
      <w:tr w:rsidR="00293D14" w14:paraId="7C63D1A1" w14:textId="77777777" w:rsidTr="0043555D">
        <w:tc>
          <w:tcPr>
            <w:tcW w:w="1709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5E0A0E4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Agricultura</w:t>
            </w:r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658912D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14.260.802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56A4649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60.052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7BB3242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67.207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27EFAA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0,5</w:t>
            </w:r>
          </w:p>
        </w:tc>
      </w:tr>
      <w:tr w:rsidR="00293D14" w14:paraId="43EAF56E" w14:textId="77777777" w:rsidTr="0043555D">
        <w:tc>
          <w:tcPr>
            <w:tcW w:w="1709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C6E0753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Indústria</w:t>
            </w:r>
            <w:proofErr w:type="spellEnd"/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441BBC1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121.515.211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770C90E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588.406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381EFA9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745.370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780D15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0,6</w:t>
            </w:r>
          </w:p>
        </w:tc>
      </w:tr>
      <w:tr w:rsidR="00293D14" w14:paraId="3482FFE7" w14:textId="77777777" w:rsidTr="0043555D">
        <w:tc>
          <w:tcPr>
            <w:tcW w:w="1709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7D6511B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Defesa Nacional</w:t>
            </w:r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63F251F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1.401.340.925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623F9D2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11.002.220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3D7C463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11.031.271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39DB70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0,8</w:t>
            </w:r>
          </w:p>
        </w:tc>
      </w:tr>
      <w:tr w:rsidR="00293D14" w14:paraId="3B3CA1DE" w14:textId="77777777" w:rsidTr="0043555D">
        <w:tc>
          <w:tcPr>
            <w:tcW w:w="1709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0A00687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Comunicações</w:t>
            </w:r>
            <w:proofErr w:type="spellEnd"/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3627391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833.217.388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19C51AB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9.255.078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399EBAA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19.254.093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96B0F7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2,3</w:t>
            </w:r>
          </w:p>
        </w:tc>
      </w:tr>
      <w:tr w:rsidR="00293D14" w14:paraId="0C23B3BB" w14:textId="77777777" w:rsidTr="0043555D">
        <w:tc>
          <w:tcPr>
            <w:tcW w:w="1709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01A9B7D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Previdência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Social</w:t>
            </w:r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37CBDC1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150.000.000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22C6EB0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1.553.431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4432ED0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4.230.146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0BC8AB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2,8</w:t>
            </w:r>
          </w:p>
        </w:tc>
      </w:tr>
      <w:tr w:rsidR="00293D14" w14:paraId="5D22B31F" w14:textId="77777777" w:rsidTr="0043555D">
        <w:tc>
          <w:tcPr>
            <w:tcW w:w="1709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0B2C79A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Saúde</w:t>
            </w:r>
            <w:proofErr w:type="spellEnd"/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75A0416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190.594.202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1FF9D9D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3.215.110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4F26193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6.268.049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3A146B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3,3</w:t>
            </w:r>
          </w:p>
        </w:tc>
      </w:tr>
      <w:tr w:rsidR="00293D14" w14:paraId="4C0741C8" w14:textId="77777777" w:rsidTr="0043555D">
        <w:tc>
          <w:tcPr>
            <w:tcW w:w="1709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73E8188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Comércio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Serviços</w:t>
            </w:r>
            <w:proofErr w:type="spellEnd"/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53FC0D0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5.642.456.508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078BCDF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215.074.577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19690DB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382.602.355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E40EE6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6,8</w:t>
            </w:r>
          </w:p>
        </w:tc>
      </w:tr>
      <w:tr w:rsidR="00293D14" w14:paraId="58C525A9" w14:textId="77777777" w:rsidTr="0043555D">
        <w:tc>
          <w:tcPr>
            <w:tcW w:w="1709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D737770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Transporte</w:t>
            </w:r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61B9DF1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667.639.234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32B0B30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61.265.862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3FCFD69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87.192.903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3679B7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13,1</w:t>
            </w:r>
          </w:p>
        </w:tc>
      </w:tr>
      <w:tr w:rsidR="00293D14" w14:paraId="0DCB033B" w14:textId="77777777" w:rsidTr="0043555D">
        <w:tc>
          <w:tcPr>
            <w:tcW w:w="1709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E42AC06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</w:t>
            </w:r>
            <w:proofErr w:type="spellEnd"/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7ECE1DA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112.400.931.579</w:t>
            </w: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445531D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6.114.456.421</w:t>
            </w: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1366D82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21.056.990.285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B7F4D7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18,7</w:t>
            </w:r>
          </w:p>
        </w:tc>
      </w:tr>
      <w:tr w:rsidR="00293D14" w14:paraId="34B2011B" w14:textId="77777777" w:rsidTr="0043555D">
        <w:tc>
          <w:tcPr>
            <w:tcW w:w="1709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047A8CE" w14:textId="77777777" w:rsidR="00464FBA" w:rsidRPr="0051246D" w:rsidRDefault="00464FBA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914" w:type="pct"/>
            <w:tcBorders>
              <w:left w:val="single" w:sz="2" w:space="0" w:color="000000"/>
            </w:tcBorders>
            <w:shd w:val="clear" w:color="auto" w:fill="auto"/>
          </w:tcPr>
          <w:p w14:paraId="1823AD6C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914" w:type="pct"/>
            <w:tcBorders>
              <w:left w:val="single" w:sz="1" w:space="0" w:color="000000"/>
            </w:tcBorders>
            <w:shd w:val="clear" w:color="auto" w:fill="auto"/>
          </w:tcPr>
          <w:p w14:paraId="2BC0BFC2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822" w:type="pc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1C893FCF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861A2DE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</w:tr>
      <w:tr w:rsidR="00293D14" w14:paraId="58A3981B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709" w:type="pct"/>
            <w:tcBorders>
              <w:top w:val="single" w:sz="1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E13636" w14:textId="77777777" w:rsidR="00464FBA" w:rsidRPr="0051246D" w:rsidRDefault="0080716B" w:rsidP="00464FBA">
            <w:pPr>
              <w:keepNext/>
              <w:widowControl w:val="0"/>
              <w:numPr>
                <w:ilvl w:val="2"/>
                <w:numId w:val="1"/>
              </w:numPr>
              <w:suppressAutoHyphens/>
              <w:snapToGrid w:val="0"/>
              <w:outlineLvl w:val="2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 xml:space="preserve">Total  </w:t>
            </w:r>
          </w:p>
        </w:tc>
        <w:tc>
          <w:tcPr>
            <w:tcW w:w="914" w:type="pct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E98171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sz w:val="18"/>
                <w:szCs w:val="12"/>
                <w:lang w:val="es-ES"/>
              </w:rPr>
              <w:t>121.421.955.849</w:t>
            </w:r>
          </w:p>
        </w:tc>
        <w:tc>
          <w:tcPr>
            <w:tcW w:w="9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17C55D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sz w:val="18"/>
                <w:szCs w:val="12"/>
                <w:lang w:val="es-ES"/>
              </w:rPr>
              <w:t>6.416.471.157</w:t>
            </w:r>
          </w:p>
        </w:tc>
        <w:tc>
          <w:tcPr>
            <w:tcW w:w="8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FB3742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21.568.381.679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083BAD8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17,8</w:t>
            </w:r>
          </w:p>
        </w:tc>
      </w:tr>
    </w:tbl>
    <w:p w14:paraId="170F2106" w14:textId="77777777" w:rsidR="00464FBA" w:rsidRPr="0051246D" w:rsidRDefault="00464FBA" w:rsidP="00464FBA">
      <w:pPr>
        <w:widowControl w:val="0"/>
        <w:rPr>
          <w:rFonts w:ascii="Calibri" w:hAnsi="Calibri"/>
          <w:sz w:val="18"/>
          <w:szCs w:val="16"/>
          <w:lang w:val="pt-BR" w:eastAsia="pt-BR"/>
        </w:rPr>
      </w:pPr>
    </w:p>
    <w:p w14:paraId="3A72A09F" w14:textId="77777777" w:rsidR="00464FBA" w:rsidRPr="0051246D" w:rsidRDefault="00464FBA" w:rsidP="00464FBA">
      <w:pPr>
        <w:widowControl w:val="0"/>
        <w:rPr>
          <w:rFonts w:ascii="Calibri" w:hAnsi="Calibri"/>
          <w:sz w:val="18"/>
          <w:szCs w:val="16"/>
          <w:lang w:val="pt-BR" w:eastAsia="pt-BR"/>
        </w:rPr>
      </w:pPr>
    </w:p>
    <w:tbl>
      <w:tblPr>
        <w:tblW w:w="7764" w:type="dxa"/>
        <w:tblInd w:w="44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662"/>
        <w:gridCol w:w="1416"/>
        <w:gridCol w:w="1419"/>
        <w:gridCol w:w="1273"/>
        <w:gridCol w:w="994"/>
      </w:tblGrid>
      <w:tr w:rsidR="00293D14" w:rsidRPr="00604D79" w14:paraId="4CF3E23D" w14:textId="77777777" w:rsidTr="00464FBA">
        <w:tc>
          <w:tcPr>
            <w:tcW w:w="5000" w:type="pct"/>
            <w:gridSpan w:val="5"/>
            <w:shd w:val="clear" w:color="auto" w:fill="auto"/>
          </w:tcPr>
          <w:p w14:paraId="5A88CB80" w14:textId="77777777" w:rsidR="00464FBA" w:rsidRPr="0051246D" w:rsidRDefault="0080716B" w:rsidP="00464FBA">
            <w:pPr>
              <w:keepNext/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TABELA 07 -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Execução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OI – por </w:t>
            </w: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SubFunção</w:t>
            </w:r>
            <w:proofErr w:type="spellEnd"/>
          </w:p>
        </w:tc>
      </w:tr>
      <w:tr w:rsidR="00293D14" w:rsidRPr="00604D79" w14:paraId="4D0EC9EE" w14:textId="77777777" w:rsidTr="00464FBA">
        <w:tc>
          <w:tcPr>
            <w:tcW w:w="5000" w:type="pct"/>
            <w:gridSpan w:val="5"/>
            <w:shd w:val="clear" w:color="auto" w:fill="auto"/>
          </w:tcPr>
          <w:p w14:paraId="433B17D9" w14:textId="77777777" w:rsidR="00464FBA" w:rsidRPr="0051246D" w:rsidRDefault="00464FBA" w:rsidP="00464FBA">
            <w:pPr>
              <w:keepNext/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</w:tr>
      <w:tr w:rsidR="00293D14" w14:paraId="127C1333" w14:textId="77777777" w:rsidTr="0043555D">
        <w:tc>
          <w:tcPr>
            <w:tcW w:w="5000" w:type="pct"/>
            <w:gridSpan w:val="5"/>
            <w:tcBorders>
              <w:bottom w:val="single" w:sz="2" w:space="0" w:color="000000"/>
            </w:tcBorders>
            <w:shd w:val="clear" w:color="auto" w:fill="auto"/>
          </w:tcPr>
          <w:p w14:paraId="4B659118" w14:textId="77777777" w:rsidR="00464FBA" w:rsidRPr="0051246D" w:rsidRDefault="0080716B" w:rsidP="00464FBA">
            <w:pPr>
              <w:keepNext/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Valores em R$ 1,00</w:t>
            </w:r>
          </w:p>
        </w:tc>
      </w:tr>
      <w:tr w:rsidR="00293D14" w14:paraId="588173B9" w14:textId="77777777" w:rsidTr="0043555D">
        <w:tc>
          <w:tcPr>
            <w:tcW w:w="1714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CF937F6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912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E4A731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Dotação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Atual</w:t>
            </w:r>
            <w:proofErr w:type="spellEnd"/>
          </w:p>
        </w:tc>
        <w:tc>
          <w:tcPr>
            <w:tcW w:w="91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EEDFF0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Realizado no</w:t>
            </w:r>
          </w:p>
        </w:tc>
        <w:tc>
          <w:tcPr>
            <w:tcW w:w="820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11CB90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Realizado até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B10D4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>
              <w:rPr>
                <w:rFonts w:ascii="Calibri" w:hAnsi="Calibri"/>
                <w:sz w:val="18"/>
                <w:szCs w:val="12"/>
                <w:lang w:val="es-ES" w:eastAsia="pt-BR"/>
              </w:rPr>
              <w:t>% Realizado</w:t>
            </w:r>
          </w:p>
        </w:tc>
      </w:tr>
      <w:tr w:rsidR="00293D14" w14:paraId="5D2D3627" w14:textId="77777777" w:rsidTr="0043555D">
        <w:tc>
          <w:tcPr>
            <w:tcW w:w="1714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94170D2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Descritores</w:t>
            </w:r>
            <w:proofErr w:type="spellEnd"/>
          </w:p>
        </w:tc>
        <w:tc>
          <w:tcPr>
            <w:tcW w:w="91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9228B7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91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0DB35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2° Bimestre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565B37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 xml:space="preserve"> 2° Bimestre  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F63A74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</w:p>
        </w:tc>
      </w:tr>
      <w:tr w:rsidR="00293D14" w14:paraId="383EC496" w14:textId="77777777" w:rsidTr="0043555D">
        <w:tc>
          <w:tcPr>
            <w:tcW w:w="1714" w:type="pct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8350FC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912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C68CB9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(a)</w:t>
            </w:r>
          </w:p>
        </w:tc>
        <w:tc>
          <w:tcPr>
            <w:tcW w:w="914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113905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(b)</w:t>
            </w:r>
          </w:p>
        </w:tc>
        <w:tc>
          <w:tcPr>
            <w:tcW w:w="820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C56E46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(c)</w:t>
            </w:r>
          </w:p>
        </w:tc>
        <w:tc>
          <w:tcPr>
            <w:tcW w:w="640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45E34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(c/a)</w:t>
            </w:r>
          </w:p>
        </w:tc>
      </w:tr>
      <w:tr w:rsidR="00293D14" w14:paraId="75BB0BC5" w14:textId="77777777" w:rsidTr="0043555D">
        <w:tc>
          <w:tcPr>
            <w:tcW w:w="1714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B088435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Administração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Geral</w:t>
            </w:r>
            <w:proofErr w:type="spellEnd"/>
          </w:p>
        </w:tc>
        <w:tc>
          <w:tcPr>
            <w:tcW w:w="91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C4DDA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3.257.024.738</w:t>
            </w:r>
          </w:p>
        </w:tc>
        <w:tc>
          <w:tcPr>
            <w:tcW w:w="91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7898A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97.743.799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C84124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170.113.817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1BD498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5,2</w:t>
            </w:r>
          </w:p>
        </w:tc>
      </w:tr>
      <w:tr w:rsidR="00293D14" w14:paraId="2AF728B3" w14:textId="77777777" w:rsidTr="0043555D">
        <w:tc>
          <w:tcPr>
            <w:tcW w:w="1714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3BF8033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Tecnologia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da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Informação</w:t>
            </w:r>
            <w:proofErr w:type="spellEnd"/>
          </w:p>
        </w:tc>
        <w:tc>
          <w:tcPr>
            <w:tcW w:w="91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A5F34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3.963.762.326</w:t>
            </w:r>
          </w:p>
        </w:tc>
        <w:tc>
          <w:tcPr>
            <w:tcW w:w="91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72C0F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97.679.952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6172D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166.373.820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380458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4,2</w:t>
            </w:r>
          </w:p>
        </w:tc>
      </w:tr>
      <w:tr w:rsidR="00293D14" w14:paraId="305C117B" w14:textId="77777777" w:rsidTr="0043555D">
        <w:tc>
          <w:tcPr>
            <w:tcW w:w="1714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6E135C3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Suporte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Profilático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Terapêutico</w:t>
            </w:r>
            <w:proofErr w:type="spellEnd"/>
          </w:p>
        </w:tc>
        <w:tc>
          <w:tcPr>
            <w:tcW w:w="91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8D878C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187.329.870</w:t>
            </w:r>
          </w:p>
        </w:tc>
        <w:tc>
          <w:tcPr>
            <w:tcW w:w="91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39DEBD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3.159.874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C6E765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6.211.384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4BFE25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3,3</w:t>
            </w:r>
          </w:p>
        </w:tc>
      </w:tr>
      <w:tr w:rsidR="00293D14" w14:paraId="0D79A167" w14:textId="77777777" w:rsidTr="0043555D">
        <w:tc>
          <w:tcPr>
            <w:tcW w:w="1714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71773A6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Produção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Industrial</w:t>
            </w:r>
          </w:p>
        </w:tc>
        <w:tc>
          <w:tcPr>
            <w:tcW w:w="91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BC8A9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82.290.309</w:t>
            </w:r>
          </w:p>
        </w:tc>
        <w:tc>
          <w:tcPr>
            <w:tcW w:w="91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11D69D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541.984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071622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651.532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8CF22E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0,8</w:t>
            </w:r>
          </w:p>
        </w:tc>
      </w:tr>
      <w:tr w:rsidR="00293D14" w14:paraId="65C830C9" w14:textId="77777777" w:rsidTr="0043555D">
        <w:tc>
          <w:tcPr>
            <w:tcW w:w="1714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E319E79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Serviços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Financeiros</w:t>
            </w:r>
            <w:proofErr w:type="spellEnd"/>
          </w:p>
        </w:tc>
        <w:tc>
          <w:tcPr>
            <w:tcW w:w="91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099485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2.366.529.853</w:t>
            </w:r>
          </w:p>
        </w:tc>
        <w:tc>
          <w:tcPr>
            <w:tcW w:w="91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3784CC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106.150.607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9254F3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196.783.032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75CFFA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8,3</w:t>
            </w:r>
          </w:p>
        </w:tc>
      </w:tr>
      <w:tr w:rsidR="00293D14" w14:paraId="284ED56C" w14:textId="77777777" w:rsidTr="0043555D">
        <w:tc>
          <w:tcPr>
            <w:tcW w:w="1714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C0472AC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Comunicações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Postais</w:t>
            </w:r>
            <w:proofErr w:type="spellEnd"/>
          </w:p>
        </w:tc>
        <w:tc>
          <w:tcPr>
            <w:tcW w:w="91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B020A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360.857.777</w:t>
            </w:r>
          </w:p>
        </w:tc>
        <w:tc>
          <w:tcPr>
            <w:tcW w:w="91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E17D4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5.928.487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90327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9.916.361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3ECA3A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2,7</w:t>
            </w:r>
          </w:p>
        </w:tc>
      </w:tr>
      <w:tr w:rsidR="00293D14" w14:paraId="22FE3BEA" w14:textId="77777777" w:rsidTr="0043555D">
        <w:tc>
          <w:tcPr>
            <w:tcW w:w="1714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35E59F6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Energia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Elétrica</w:t>
            </w:r>
            <w:proofErr w:type="spellEnd"/>
          </w:p>
        </w:tc>
        <w:tc>
          <w:tcPr>
            <w:tcW w:w="91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5AE286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4.694.103.177</w:t>
            </w:r>
          </w:p>
        </w:tc>
        <w:tc>
          <w:tcPr>
            <w:tcW w:w="91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54FEE6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306.605.479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78AA3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469.416.953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E2816C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10,0</w:t>
            </w:r>
          </w:p>
        </w:tc>
      </w:tr>
      <w:tr w:rsidR="00293D14" w14:paraId="405B225C" w14:textId="77777777" w:rsidTr="0043555D">
        <w:tc>
          <w:tcPr>
            <w:tcW w:w="1714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E4D4A44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Combustíveis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Minerais</w:t>
            </w:r>
            <w:proofErr w:type="spellEnd"/>
          </w:p>
        </w:tc>
        <w:tc>
          <w:tcPr>
            <w:tcW w:w="91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626C66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104.026.778.406</w:t>
            </w:r>
          </w:p>
        </w:tc>
        <w:tc>
          <w:tcPr>
            <w:tcW w:w="91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89643F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5.629.413.444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BB5AA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20.226.863.539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991FB1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19,4</w:t>
            </w:r>
          </w:p>
        </w:tc>
      </w:tr>
      <w:tr w:rsidR="00293D14" w14:paraId="32034528" w14:textId="77777777" w:rsidTr="0043555D">
        <w:tc>
          <w:tcPr>
            <w:tcW w:w="1714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341FE50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Transporte Aéreo</w:t>
            </w:r>
          </w:p>
        </w:tc>
        <w:tc>
          <w:tcPr>
            <w:tcW w:w="91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5C6033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186.818.307</w:t>
            </w:r>
          </w:p>
        </w:tc>
        <w:tc>
          <w:tcPr>
            <w:tcW w:w="91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875A7F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60.176.189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B8FFC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81.490.667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83846D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43,6</w:t>
            </w:r>
          </w:p>
        </w:tc>
      </w:tr>
      <w:tr w:rsidR="00293D14" w14:paraId="541A9D47" w14:textId="77777777" w:rsidTr="0043555D">
        <w:tc>
          <w:tcPr>
            <w:tcW w:w="1714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280E433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Transporte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Rodoviário</w:t>
            </w:r>
            <w:proofErr w:type="spellEnd"/>
          </w:p>
        </w:tc>
        <w:tc>
          <w:tcPr>
            <w:tcW w:w="91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5BF5C1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100.000</w:t>
            </w:r>
          </w:p>
        </w:tc>
        <w:tc>
          <w:tcPr>
            <w:tcW w:w="91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3D610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2BF647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0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37E01D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0,0</w:t>
            </w:r>
          </w:p>
        </w:tc>
      </w:tr>
      <w:tr w:rsidR="00293D14" w14:paraId="003E2D1E" w14:textId="77777777" w:rsidTr="0043555D">
        <w:tc>
          <w:tcPr>
            <w:tcW w:w="1714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C10A1C2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Transporte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Hidroviário</w:t>
            </w:r>
            <w:proofErr w:type="spellEnd"/>
          </w:p>
        </w:tc>
        <w:tc>
          <w:tcPr>
            <w:tcW w:w="91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51A57B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585.099.086</w:t>
            </w:r>
          </w:p>
        </w:tc>
        <w:tc>
          <w:tcPr>
            <w:tcW w:w="91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EA3987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1.390.084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51DD62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19.580.159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4ADF28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3,3</w:t>
            </w:r>
          </w:p>
        </w:tc>
      </w:tr>
      <w:tr w:rsidR="00293D14" w14:paraId="32A1D28C" w14:textId="77777777" w:rsidTr="0043555D">
        <w:tc>
          <w:tcPr>
            <w:tcW w:w="1714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C5585FA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Transportes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Especiais</w:t>
            </w:r>
            <w:proofErr w:type="spellEnd"/>
          </w:p>
        </w:tc>
        <w:tc>
          <w:tcPr>
            <w:tcW w:w="91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01BCD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1.711.262.000</w:t>
            </w:r>
          </w:p>
        </w:tc>
        <w:tc>
          <w:tcPr>
            <w:tcW w:w="91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5B7218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107.681.258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8D4D0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220.980.415</w:t>
            </w: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0D1908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12,9</w:t>
            </w:r>
          </w:p>
        </w:tc>
      </w:tr>
      <w:tr w:rsidR="00293D14" w14:paraId="288F1A7A" w14:textId="77777777" w:rsidTr="0043555D">
        <w:tc>
          <w:tcPr>
            <w:tcW w:w="1714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5172080" w14:textId="77777777" w:rsidR="00464FBA" w:rsidRPr="0051246D" w:rsidRDefault="00464FBA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91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3468798" w14:textId="77777777" w:rsidR="00464FBA" w:rsidRPr="0051246D" w:rsidRDefault="00464FBA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91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3CCBBCB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04D31F8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640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C8294B1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</w:tr>
      <w:tr w:rsidR="00293D14" w14:paraId="1B6573B6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714" w:type="pct"/>
            <w:tcBorders>
              <w:top w:val="single" w:sz="1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F789D2" w14:textId="77777777" w:rsidR="00464FBA" w:rsidRPr="0051246D" w:rsidRDefault="0080716B" w:rsidP="00464FBA">
            <w:pPr>
              <w:keepNext/>
              <w:widowControl w:val="0"/>
              <w:numPr>
                <w:ilvl w:val="2"/>
                <w:numId w:val="1"/>
              </w:numPr>
              <w:suppressAutoHyphens/>
              <w:snapToGrid w:val="0"/>
              <w:outlineLvl w:val="2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 xml:space="preserve">Total  </w:t>
            </w:r>
          </w:p>
        </w:tc>
        <w:tc>
          <w:tcPr>
            <w:tcW w:w="912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6F0C69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sz w:val="18"/>
                <w:szCs w:val="12"/>
                <w:lang w:val="es-ES"/>
              </w:rPr>
              <w:t>121.421.955.849</w:t>
            </w:r>
          </w:p>
        </w:tc>
        <w:tc>
          <w:tcPr>
            <w:tcW w:w="914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3C1127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sz w:val="18"/>
                <w:szCs w:val="12"/>
                <w:lang w:val="es-ES"/>
              </w:rPr>
              <w:t>6.416.471.157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6AEC7E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21.568.381.679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9FF8A32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17,8</w:t>
            </w:r>
          </w:p>
        </w:tc>
      </w:tr>
    </w:tbl>
    <w:p w14:paraId="1E14D4E7" w14:textId="77777777" w:rsidR="00464FBA" w:rsidRPr="0051246D" w:rsidRDefault="00464FBA" w:rsidP="00464FBA">
      <w:pPr>
        <w:pStyle w:val="Corpodetexto"/>
        <w:spacing w:after="120"/>
        <w:rPr>
          <w:rFonts w:ascii="Calibri" w:hAnsi="Calibri"/>
          <w:b/>
          <w:color w:val="000000"/>
          <w:sz w:val="18"/>
          <w:szCs w:val="16"/>
        </w:rPr>
      </w:pPr>
    </w:p>
    <w:p w14:paraId="203855D8" w14:textId="77777777" w:rsidR="00464FBA" w:rsidRPr="0051246D" w:rsidRDefault="00464FBA" w:rsidP="00464FBA">
      <w:pPr>
        <w:pStyle w:val="Corpodetexto"/>
        <w:spacing w:after="120"/>
        <w:rPr>
          <w:rFonts w:ascii="Calibri" w:hAnsi="Calibri"/>
          <w:b/>
          <w:color w:val="000000"/>
          <w:sz w:val="18"/>
          <w:szCs w:val="16"/>
        </w:rPr>
      </w:pPr>
    </w:p>
    <w:p w14:paraId="2C421497" w14:textId="77777777" w:rsidR="00464FBA" w:rsidRPr="0051246D" w:rsidRDefault="0080716B" w:rsidP="00464FBA">
      <w:pPr>
        <w:pStyle w:val="Corpodetexto"/>
        <w:keepNext/>
        <w:spacing w:after="120"/>
        <w:rPr>
          <w:rFonts w:ascii="Calibri" w:hAnsi="Calibri"/>
          <w:b/>
          <w:color w:val="000000"/>
          <w:sz w:val="18"/>
          <w:szCs w:val="16"/>
        </w:rPr>
      </w:pPr>
      <w:r w:rsidRPr="0051246D">
        <w:rPr>
          <w:rFonts w:ascii="Calibri" w:hAnsi="Calibri"/>
          <w:b/>
          <w:color w:val="000000"/>
          <w:sz w:val="18"/>
          <w:szCs w:val="16"/>
        </w:rPr>
        <w:t>Despesa por Programa</w:t>
      </w:r>
    </w:p>
    <w:p w14:paraId="7E1CA584" w14:textId="692EE8FE" w:rsidR="00464FBA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>15. Os programas constituem-se instrumentos de organização da ação governamental, voltados para a concretização dos objetivos pretendidos. O objetivo de cada programa é atingido por meio da execução, pelas unidades orçamentárias, dos projetos e atividades constantes das ações que o compõem.</w:t>
      </w:r>
    </w:p>
    <w:p w14:paraId="47AD50AF" w14:textId="77777777" w:rsidR="0066284C" w:rsidRPr="0051246D" w:rsidRDefault="0066284C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</w:p>
    <w:tbl>
      <w:tblPr>
        <w:tblW w:w="7753" w:type="dxa"/>
        <w:tblInd w:w="5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933"/>
        <w:gridCol w:w="1275"/>
        <w:gridCol w:w="1276"/>
        <w:gridCol w:w="1275"/>
        <w:gridCol w:w="994"/>
      </w:tblGrid>
      <w:tr w:rsidR="00293D14" w:rsidRPr="00604D79" w14:paraId="724A80B0" w14:textId="77777777" w:rsidTr="00464FBA">
        <w:tc>
          <w:tcPr>
            <w:tcW w:w="5000" w:type="pct"/>
            <w:gridSpan w:val="5"/>
            <w:shd w:val="clear" w:color="auto" w:fill="auto"/>
          </w:tcPr>
          <w:p w14:paraId="2C06AFCA" w14:textId="77777777" w:rsidR="00464FBA" w:rsidRPr="0051246D" w:rsidRDefault="00464FBA" w:rsidP="00464FBA">
            <w:pPr>
              <w:keepNext/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  <w:p w14:paraId="1792B585" w14:textId="77777777" w:rsidR="00464FBA" w:rsidRPr="0051246D" w:rsidRDefault="0080716B" w:rsidP="00464FBA">
            <w:pPr>
              <w:keepNext/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TABELA 08 -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Execução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OI – por </w:t>
            </w: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Programa</w:t>
            </w:r>
          </w:p>
        </w:tc>
      </w:tr>
      <w:tr w:rsidR="00293D14" w:rsidRPr="00604D79" w14:paraId="096007B7" w14:textId="77777777" w:rsidTr="00464FBA">
        <w:tc>
          <w:tcPr>
            <w:tcW w:w="5000" w:type="pct"/>
            <w:gridSpan w:val="5"/>
            <w:shd w:val="clear" w:color="auto" w:fill="auto"/>
          </w:tcPr>
          <w:p w14:paraId="2F37C3D1" w14:textId="77777777" w:rsidR="00464FBA" w:rsidRPr="0051246D" w:rsidRDefault="00464FBA" w:rsidP="00464FBA">
            <w:pPr>
              <w:keepNext/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</w:tr>
      <w:tr w:rsidR="00293D14" w14:paraId="66A4B98C" w14:textId="77777777" w:rsidTr="0043555D">
        <w:tc>
          <w:tcPr>
            <w:tcW w:w="5000" w:type="pct"/>
            <w:gridSpan w:val="5"/>
            <w:tcBorders>
              <w:bottom w:val="single" w:sz="2" w:space="0" w:color="000000"/>
            </w:tcBorders>
            <w:shd w:val="clear" w:color="auto" w:fill="auto"/>
          </w:tcPr>
          <w:p w14:paraId="4414A257" w14:textId="77777777" w:rsidR="00464FBA" w:rsidRPr="0051246D" w:rsidRDefault="0080716B" w:rsidP="00464FBA">
            <w:pPr>
              <w:keepNext/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Valores em R$ 1,00</w:t>
            </w:r>
          </w:p>
        </w:tc>
      </w:tr>
      <w:tr w:rsidR="00293D14" w14:paraId="4FD9207F" w14:textId="77777777" w:rsidTr="0043555D">
        <w:tc>
          <w:tcPr>
            <w:tcW w:w="1892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86F16CF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822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CAF311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Dotação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Atual</w:t>
            </w:r>
            <w:proofErr w:type="spellEnd"/>
          </w:p>
        </w:tc>
        <w:tc>
          <w:tcPr>
            <w:tcW w:w="823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BB448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Realizado no</w:t>
            </w:r>
          </w:p>
        </w:tc>
        <w:tc>
          <w:tcPr>
            <w:tcW w:w="822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A01794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Realizado até</w:t>
            </w:r>
          </w:p>
        </w:tc>
        <w:tc>
          <w:tcPr>
            <w:tcW w:w="641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7868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>
              <w:rPr>
                <w:rFonts w:ascii="Calibri" w:hAnsi="Calibri"/>
                <w:sz w:val="18"/>
                <w:szCs w:val="12"/>
                <w:lang w:val="es-ES" w:eastAsia="pt-BR"/>
              </w:rPr>
              <w:t>% Realizado</w:t>
            </w:r>
          </w:p>
        </w:tc>
      </w:tr>
      <w:tr w:rsidR="00293D14" w14:paraId="16BD09ED" w14:textId="77777777" w:rsidTr="0043555D">
        <w:tc>
          <w:tcPr>
            <w:tcW w:w="1892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7C0857F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Descritores</w:t>
            </w:r>
            <w:proofErr w:type="spellEnd"/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CE3F6B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823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639D05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2° Bimestre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8BCF03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 xml:space="preserve"> 2° Bimestre  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18C38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</w:tr>
      <w:tr w:rsidR="00293D14" w14:paraId="4364F0EF" w14:textId="77777777" w:rsidTr="0043555D">
        <w:tc>
          <w:tcPr>
            <w:tcW w:w="1892" w:type="pct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328ACF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822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040C81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(a)</w:t>
            </w:r>
          </w:p>
        </w:tc>
        <w:tc>
          <w:tcPr>
            <w:tcW w:w="823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607A86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(b)</w:t>
            </w:r>
          </w:p>
        </w:tc>
        <w:tc>
          <w:tcPr>
            <w:tcW w:w="822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4908FF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(c)</w:t>
            </w:r>
          </w:p>
        </w:tc>
        <w:tc>
          <w:tcPr>
            <w:tcW w:w="641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AFFD2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(c/a)</w:t>
            </w:r>
          </w:p>
        </w:tc>
      </w:tr>
      <w:tr w:rsidR="00293D14" w14:paraId="0174BFD3" w14:textId="77777777" w:rsidTr="0043555D">
        <w:tc>
          <w:tcPr>
            <w:tcW w:w="1892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27BCBE8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Programa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Gestão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Manutenção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das Empresas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Estatais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Federais</w:t>
            </w:r>
            <w:proofErr w:type="spellEnd"/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24A36E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8.847.387.317</w:t>
            </w:r>
          </w:p>
        </w:tc>
        <w:tc>
          <w:tcPr>
            <w:tcW w:w="823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42941E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316.421.868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DD198F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558.952.966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CE67DC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6,3</w:t>
            </w:r>
          </w:p>
        </w:tc>
      </w:tr>
      <w:tr w:rsidR="00293D14" w14:paraId="6DD927D8" w14:textId="77777777" w:rsidTr="0043555D">
        <w:tc>
          <w:tcPr>
            <w:tcW w:w="1892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6EFA46B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Conecta Brasil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83818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47.386.781</w:t>
            </w:r>
          </w:p>
        </w:tc>
        <w:tc>
          <w:tcPr>
            <w:tcW w:w="823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0BEEC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D43BF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2.571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70DF76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7EB1F93D" w14:textId="77777777" w:rsidTr="0043555D">
        <w:tc>
          <w:tcPr>
            <w:tcW w:w="1892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EDA8C5E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Elétrica</w:t>
            </w:r>
            <w:proofErr w:type="spellEnd"/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47D89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4.537.362.488</w:t>
            </w:r>
          </w:p>
        </w:tc>
        <w:tc>
          <w:tcPr>
            <w:tcW w:w="823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C4C64D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287.234.020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C5FD2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443.305.558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B8D819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9,8</w:t>
            </w:r>
          </w:p>
        </w:tc>
      </w:tr>
      <w:tr w:rsidR="00293D14" w14:paraId="6BA89FE9" w14:textId="77777777" w:rsidTr="0043555D">
        <w:tc>
          <w:tcPr>
            <w:tcW w:w="1892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CB38296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Petróleo,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Gás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, Derivados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Biocombustíveis</w:t>
            </w:r>
            <w:proofErr w:type="spellEnd"/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DA57DD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105.796.863.000</w:t>
            </w:r>
          </w:p>
        </w:tc>
        <w:tc>
          <w:tcPr>
            <w:tcW w:w="823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0D9C10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5.737.873.503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CCE0EA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20.463.055.177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8157EA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19,3</w:t>
            </w:r>
          </w:p>
        </w:tc>
      </w:tr>
      <w:tr w:rsidR="00293D14" w14:paraId="5003F7A0" w14:textId="77777777" w:rsidTr="0043555D">
        <w:tc>
          <w:tcPr>
            <w:tcW w:w="1892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F0BA65B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Aviação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Civil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F9BC8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186.818.307</w:t>
            </w:r>
          </w:p>
        </w:tc>
        <w:tc>
          <w:tcPr>
            <w:tcW w:w="823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3C1C40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60.176.189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8B3E7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81.490.667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7E7BB2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43,6</w:t>
            </w:r>
          </w:p>
        </w:tc>
      </w:tr>
      <w:tr w:rsidR="00293D14" w14:paraId="76BFF3DC" w14:textId="77777777" w:rsidTr="0043555D">
        <w:tc>
          <w:tcPr>
            <w:tcW w:w="1892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33F85E6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Transporte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Aquaviário</w:t>
            </w:r>
            <w:proofErr w:type="spellEnd"/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009B0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418.708.086</w:t>
            </w:r>
          </w:p>
        </w:tc>
        <w:tc>
          <w:tcPr>
            <w:tcW w:w="823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491B0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611.283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9F15E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4.368.936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A179BC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1,0</w:t>
            </w:r>
          </w:p>
        </w:tc>
      </w:tr>
      <w:tr w:rsidR="00293D14" w14:paraId="45D8BCC4" w14:textId="77777777" w:rsidTr="0043555D">
        <w:tc>
          <w:tcPr>
            <w:tcW w:w="1892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CFB45B8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Transporte Terrestre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Trânsito</w:t>
            </w:r>
            <w:proofErr w:type="spellEnd"/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EAE74F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100.000</w:t>
            </w:r>
          </w:p>
        </w:tc>
        <w:tc>
          <w:tcPr>
            <w:tcW w:w="823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5CB033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84872F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0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E6F107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79259FE6" w14:textId="77777777" w:rsidTr="0043555D">
        <w:tc>
          <w:tcPr>
            <w:tcW w:w="1892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6CE82DF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Gestão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Organização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 SUS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7F6C6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187.329.870</w:t>
            </w:r>
          </w:p>
        </w:tc>
        <w:tc>
          <w:tcPr>
            <w:tcW w:w="823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26F22A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3.159.874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9256E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6.211.384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51DF3F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3,3</w:t>
            </w:r>
          </w:p>
        </w:tc>
      </w:tr>
      <w:tr w:rsidR="00293D14" w14:paraId="656FB8BD" w14:textId="77777777" w:rsidTr="0043555D">
        <w:tc>
          <w:tcPr>
            <w:tcW w:w="1892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37431D7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Defesa Nacional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A8E58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1.400.000.000</w:t>
            </w:r>
          </w:p>
        </w:tc>
        <w:tc>
          <w:tcPr>
            <w:tcW w:w="823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97AB03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10.994.420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C6A94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10.994.420</w:t>
            </w: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A58382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0,8</w:t>
            </w:r>
          </w:p>
        </w:tc>
      </w:tr>
      <w:tr w:rsidR="00293D14" w14:paraId="47DFEA95" w14:textId="77777777" w:rsidTr="0043555D">
        <w:tc>
          <w:tcPr>
            <w:tcW w:w="1892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A0F12D0" w14:textId="77777777" w:rsidR="00464FBA" w:rsidRPr="0051246D" w:rsidRDefault="00464FBA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517B78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823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3FA967D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F6C28D3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641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3672AC1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</w:tr>
      <w:tr w:rsidR="00293D14" w14:paraId="57E69B06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892" w:type="pct"/>
            <w:tcBorders>
              <w:top w:val="single" w:sz="1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372001" w14:textId="77777777" w:rsidR="00464FBA" w:rsidRPr="0051246D" w:rsidRDefault="0080716B" w:rsidP="00464FBA">
            <w:pPr>
              <w:keepNext/>
              <w:widowControl w:val="0"/>
              <w:numPr>
                <w:ilvl w:val="2"/>
                <w:numId w:val="1"/>
              </w:numPr>
              <w:suppressAutoHyphens/>
              <w:snapToGrid w:val="0"/>
              <w:outlineLvl w:val="2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 xml:space="preserve">Total  </w:t>
            </w:r>
          </w:p>
        </w:tc>
        <w:tc>
          <w:tcPr>
            <w:tcW w:w="822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D3CA51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sz w:val="18"/>
                <w:szCs w:val="12"/>
                <w:lang w:val="es-ES"/>
              </w:rPr>
              <w:t>121.421.955.849</w:t>
            </w:r>
          </w:p>
        </w:tc>
        <w:tc>
          <w:tcPr>
            <w:tcW w:w="823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0533F5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sz w:val="18"/>
                <w:szCs w:val="12"/>
                <w:lang w:val="es-ES"/>
              </w:rPr>
              <w:t>6.416.471.157</w:t>
            </w:r>
          </w:p>
        </w:tc>
        <w:tc>
          <w:tcPr>
            <w:tcW w:w="822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A71021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21.568.381.679</w:t>
            </w:r>
          </w:p>
        </w:tc>
        <w:tc>
          <w:tcPr>
            <w:tcW w:w="641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B228F76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17,8</w:t>
            </w:r>
          </w:p>
        </w:tc>
      </w:tr>
    </w:tbl>
    <w:p w14:paraId="44D62A5E" w14:textId="77777777" w:rsidR="00464FBA" w:rsidRPr="0051246D" w:rsidRDefault="00464FBA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</w:p>
    <w:p w14:paraId="67243548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>16. Alguns programas, principalmente no âmbito do setor de Petróleo, Gás, Derivados e Biocombustíveis, destacam-se em comparação aos demais, não apenas pelo vulto dos recursos que lhes são destinados como, também, pelo empenho das empresas. São apresentados em seguida os programas com os 5 maiores valores realizados e a participação de cada um no total realizado pelas empresas estatais nos 9 programas:</w:t>
      </w:r>
    </w:p>
    <w:p w14:paraId="731D02E4" w14:textId="77777777" w:rsidR="00464FBA" w:rsidRPr="0051246D" w:rsidRDefault="0080716B" w:rsidP="00464FBA">
      <w:pPr>
        <w:pStyle w:val="Corpodetexto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 xml:space="preserve">  - Petróleo, Gás, Derivados e Biocombustíveis, 94,9%;</w:t>
      </w:r>
    </w:p>
    <w:p w14:paraId="3B04C8B5" w14:textId="77777777" w:rsidR="00464FBA" w:rsidRPr="0051246D" w:rsidRDefault="0080716B" w:rsidP="00464FBA">
      <w:pPr>
        <w:pStyle w:val="Corpodetexto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 xml:space="preserve">  - Programa de Gestão e Manutenção das Empresas Estatais Federais, 2,6%; </w:t>
      </w:r>
    </w:p>
    <w:p w14:paraId="4194A68A" w14:textId="77777777" w:rsidR="00464FBA" w:rsidRPr="0051246D" w:rsidRDefault="0080716B" w:rsidP="00464FBA">
      <w:pPr>
        <w:pStyle w:val="Corpodetexto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 xml:space="preserve">  - Energia Elétrica, 2,1%;</w:t>
      </w:r>
    </w:p>
    <w:p w14:paraId="7EC5CD5A" w14:textId="77777777" w:rsidR="00464FBA" w:rsidRPr="0051246D" w:rsidRDefault="0080716B" w:rsidP="00464FBA">
      <w:pPr>
        <w:pStyle w:val="Corpodetexto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 xml:space="preserve">  - Aviação Civil, 0,4%; e</w:t>
      </w:r>
    </w:p>
    <w:p w14:paraId="0563F201" w14:textId="77777777" w:rsidR="00464FBA" w:rsidRPr="0051246D" w:rsidRDefault="0080716B" w:rsidP="00464FBA">
      <w:pPr>
        <w:pStyle w:val="Corpodetexto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 xml:space="preserve">  - Defesa Nacional, 0,1%.</w:t>
      </w:r>
    </w:p>
    <w:p w14:paraId="6647D106" w14:textId="77777777" w:rsidR="00464FBA" w:rsidRPr="0051246D" w:rsidRDefault="00464FBA" w:rsidP="00464FBA">
      <w:pPr>
        <w:pStyle w:val="Corpodetexto"/>
        <w:rPr>
          <w:rFonts w:ascii="Calibri" w:hAnsi="Calibri"/>
          <w:color w:val="000000"/>
          <w:sz w:val="18"/>
          <w:szCs w:val="16"/>
        </w:rPr>
      </w:pPr>
    </w:p>
    <w:p w14:paraId="6C2ACA03" w14:textId="77777777" w:rsidR="00464FBA" w:rsidRPr="0051246D" w:rsidRDefault="00464FBA" w:rsidP="00464FBA">
      <w:pPr>
        <w:pStyle w:val="Corpodetexto"/>
        <w:rPr>
          <w:rFonts w:ascii="Calibri" w:hAnsi="Calibri"/>
          <w:color w:val="000000"/>
          <w:sz w:val="18"/>
          <w:szCs w:val="16"/>
        </w:rPr>
      </w:pPr>
    </w:p>
    <w:p w14:paraId="4094D870" w14:textId="77777777" w:rsidR="00464FBA" w:rsidRPr="0051246D" w:rsidRDefault="0080716B" w:rsidP="00464FBA">
      <w:pPr>
        <w:pStyle w:val="Corpodetexto"/>
        <w:keepNext/>
        <w:spacing w:after="120"/>
        <w:rPr>
          <w:rFonts w:ascii="Calibri" w:hAnsi="Calibri"/>
          <w:b/>
          <w:color w:val="000000"/>
          <w:sz w:val="18"/>
          <w:szCs w:val="16"/>
        </w:rPr>
      </w:pPr>
      <w:r w:rsidRPr="0051246D">
        <w:rPr>
          <w:rFonts w:ascii="Calibri" w:hAnsi="Calibri"/>
          <w:b/>
          <w:color w:val="000000"/>
          <w:sz w:val="18"/>
          <w:szCs w:val="16"/>
        </w:rPr>
        <w:t>Despesa por Órgão/Unidade</w:t>
      </w:r>
    </w:p>
    <w:p w14:paraId="29402A90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b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>17. A Tabela 09 apresenta o demonstrativo dos investimentos consolidados para cada Órgão e Unidade, discriminado os valores da respectiva dotação autorizada para 2020, do realizado no 2º bimestre, e o acumulado no exercício, bem como o coeficiente de desempenho observado no período.</w:t>
      </w:r>
    </w:p>
    <w:tbl>
      <w:tblPr>
        <w:tblW w:w="7775" w:type="dxa"/>
        <w:tblInd w:w="3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954"/>
        <w:gridCol w:w="1277"/>
        <w:gridCol w:w="1275"/>
        <w:gridCol w:w="1277"/>
        <w:gridCol w:w="992"/>
      </w:tblGrid>
      <w:tr w:rsidR="00293D14" w:rsidRPr="00604D79" w14:paraId="2C3743A1" w14:textId="77777777" w:rsidTr="00464FBA">
        <w:tc>
          <w:tcPr>
            <w:tcW w:w="5000" w:type="pct"/>
            <w:gridSpan w:val="5"/>
            <w:shd w:val="clear" w:color="auto" w:fill="auto"/>
          </w:tcPr>
          <w:p w14:paraId="1DADA30B" w14:textId="77777777" w:rsidR="00464FBA" w:rsidRPr="0051246D" w:rsidRDefault="00464FBA" w:rsidP="00464FBA">
            <w:pPr>
              <w:keepNext/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  <w:p w14:paraId="29549079" w14:textId="77777777" w:rsidR="00464FBA" w:rsidRPr="0051246D" w:rsidRDefault="0080716B" w:rsidP="00464FBA">
            <w:pPr>
              <w:keepNext/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TABELA 09 -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Execução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OI – por </w:t>
            </w: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Órgão</w:t>
            </w:r>
            <w:proofErr w:type="spellEnd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/</w:t>
            </w: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Unidade</w:t>
            </w:r>
            <w:proofErr w:type="spellEnd"/>
          </w:p>
        </w:tc>
      </w:tr>
      <w:tr w:rsidR="00293D14" w:rsidRPr="00604D79" w14:paraId="756D95F6" w14:textId="77777777" w:rsidTr="00464FBA">
        <w:tc>
          <w:tcPr>
            <w:tcW w:w="5000" w:type="pct"/>
            <w:gridSpan w:val="5"/>
            <w:shd w:val="clear" w:color="auto" w:fill="auto"/>
          </w:tcPr>
          <w:p w14:paraId="5F2A50E0" w14:textId="77777777" w:rsidR="00464FBA" w:rsidRPr="0051246D" w:rsidRDefault="00464FBA" w:rsidP="00464FBA">
            <w:pPr>
              <w:keepNext/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</w:tr>
      <w:tr w:rsidR="00293D14" w14:paraId="25FC911A" w14:textId="77777777" w:rsidTr="0043555D">
        <w:tc>
          <w:tcPr>
            <w:tcW w:w="5000" w:type="pct"/>
            <w:gridSpan w:val="5"/>
            <w:tcBorders>
              <w:bottom w:val="single" w:sz="2" w:space="0" w:color="000000"/>
            </w:tcBorders>
            <w:shd w:val="clear" w:color="auto" w:fill="auto"/>
          </w:tcPr>
          <w:p w14:paraId="081EF07D" w14:textId="77777777" w:rsidR="00464FBA" w:rsidRPr="0051246D" w:rsidRDefault="0080716B" w:rsidP="00464FBA">
            <w:pPr>
              <w:keepNext/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Valores em R$ 1,00</w:t>
            </w:r>
          </w:p>
        </w:tc>
      </w:tr>
      <w:tr w:rsidR="00293D14" w14:paraId="1B9BDFFF" w14:textId="77777777" w:rsidTr="0043555D">
        <w:tc>
          <w:tcPr>
            <w:tcW w:w="1900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5753EE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821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3BC838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Dotação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Atual</w:t>
            </w:r>
            <w:proofErr w:type="spellEnd"/>
          </w:p>
        </w:tc>
        <w:tc>
          <w:tcPr>
            <w:tcW w:w="820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7D08BA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Realizado no</w:t>
            </w:r>
          </w:p>
        </w:tc>
        <w:tc>
          <w:tcPr>
            <w:tcW w:w="821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C48F21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Realizado até</w:t>
            </w:r>
          </w:p>
        </w:tc>
        <w:tc>
          <w:tcPr>
            <w:tcW w:w="638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B3AA60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>
              <w:rPr>
                <w:rFonts w:ascii="Calibri" w:hAnsi="Calibri"/>
                <w:sz w:val="18"/>
                <w:szCs w:val="12"/>
                <w:lang w:val="es-ES" w:eastAsia="pt-BR"/>
              </w:rPr>
              <w:t>% Realizado</w:t>
            </w:r>
          </w:p>
        </w:tc>
      </w:tr>
      <w:tr w:rsidR="00293D14" w14:paraId="26DDB8A9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5ECF92D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Descritores</w:t>
            </w:r>
            <w:proofErr w:type="spellEnd"/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200E63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D4BA09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2° Bimestre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F1F5D0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 xml:space="preserve"> 2° Bimestre  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000DC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</w:p>
        </w:tc>
      </w:tr>
      <w:tr w:rsidR="00293D14" w14:paraId="0012808D" w14:textId="77777777" w:rsidTr="0043555D">
        <w:tc>
          <w:tcPr>
            <w:tcW w:w="1900" w:type="pct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0202D7" w14:textId="77777777" w:rsidR="00464FBA" w:rsidRPr="0051246D" w:rsidRDefault="00464FBA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821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33A49C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(a)</w:t>
            </w:r>
          </w:p>
        </w:tc>
        <w:tc>
          <w:tcPr>
            <w:tcW w:w="820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3EB87C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(b)</w:t>
            </w:r>
          </w:p>
        </w:tc>
        <w:tc>
          <w:tcPr>
            <w:tcW w:w="821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382F48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(c)</w:t>
            </w:r>
          </w:p>
        </w:tc>
        <w:tc>
          <w:tcPr>
            <w:tcW w:w="638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7ACCE1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(c/a)</w:t>
            </w:r>
          </w:p>
        </w:tc>
      </w:tr>
      <w:tr w:rsidR="00293D14" w14:paraId="5D1C23C6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0DA4629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MINISTÉRIO DA AGRICULTURA, PECUÁRIA E ABASTECIMENTO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0C281C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14.260.802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0FA034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60.052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25C1C3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67.207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2B38C5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0,5</w:t>
            </w:r>
          </w:p>
        </w:tc>
      </w:tr>
      <w:tr w:rsidR="00293D14" w14:paraId="357D8558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B9553ED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Centrais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Abastecimento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de Minas Gerais S.A. - CEASAMINAS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C15B4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1.750.000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6D784C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20.160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50D221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20.160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3E223A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1,2</w:t>
            </w:r>
          </w:p>
        </w:tc>
      </w:tr>
      <w:tr w:rsidR="00293D14" w14:paraId="5D3CFEC8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B71611A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Ceagesp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–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Companhia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Entrepostos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Armazéns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Gerais de São Paulo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A6FE0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12.510.802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C6B6B3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39.892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FFD0AA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47.047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98F65B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0,4</w:t>
            </w:r>
          </w:p>
        </w:tc>
      </w:tr>
      <w:tr w:rsidR="00293D14" w14:paraId="318F0EEC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8072370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MINISTÉRIO DA CIÊNCIA, TECNOLOGIA, INOVAÇÕES E COMUNICAÇÕES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E73EE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868.081.922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665EFA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11.052.235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A6ABB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24.803.997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8153B4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2,9</w:t>
            </w:r>
          </w:p>
        </w:tc>
      </w:tr>
      <w:tr w:rsidR="00293D14" w14:paraId="5675BB1A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83C3333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Financiadora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Estudos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Projetos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- FINEP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884FF9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34.864.534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14E62C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1.797.157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30501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5.549.904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37DA6D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15,9</w:t>
            </w:r>
          </w:p>
        </w:tc>
      </w:tr>
      <w:tr w:rsidR="00293D14" w14:paraId="450A0347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D97B519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Empresa Brasileira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Correios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Telégrafos - ECT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00B8C6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833.217.388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16ED5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9.255.078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9B0D5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19.254.093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F5BEFC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2,3</w:t>
            </w:r>
          </w:p>
        </w:tc>
      </w:tr>
      <w:tr w:rsidR="00293D14" w14:paraId="58D812FD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C2C82CD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MINISTÉRIO DA ECONOMIA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2A2BB4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5.879.107.185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F8681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215.419.257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BE228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382.027.967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C3E9B4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6,5</w:t>
            </w:r>
          </w:p>
        </w:tc>
      </w:tr>
      <w:tr w:rsidR="00293D14" w14:paraId="0C70751B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45D5B15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Banco da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Amazônia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7C396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46.886.492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B2F92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10.315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0D847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10.315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E9EC82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0C2896C4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1493B7D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Serviço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Federal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Processamento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de Dados - SERPRO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17C0A7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210.000.000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EAA723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2.893.784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BEB780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8.954.446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3695D2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4,3</w:t>
            </w:r>
          </w:p>
        </w:tc>
      </w:tr>
      <w:tr w:rsidR="00293D14" w14:paraId="2BA0345F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C2C83A5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Banco do Nordeste do Brasil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C30B6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112.316.400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98A28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7.207.305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9F7BB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8.738.452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A5A0C8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7,8</w:t>
            </w:r>
          </w:p>
        </w:tc>
      </w:tr>
      <w:tr w:rsidR="00293D14" w14:paraId="1601014C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C05EE5D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Casa da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Moeda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 Brasil - CMB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96350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121.515.211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7E610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588.406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E5D4EE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745.370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CA94D2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0,6</w:t>
            </w:r>
          </w:p>
        </w:tc>
      </w:tr>
      <w:tr w:rsidR="00293D14" w14:paraId="2265FD57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F9B8252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lastRenderedPageBreak/>
              <w:t xml:space="preserve">Caixa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Econômica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Federal - CAIXA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E3691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2.374.476.724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43875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104.082.527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AD368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170.479.115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312C6E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7,2</w:t>
            </w:r>
          </w:p>
        </w:tc>
      </w:tr>
      <w:tr w:rsidR="00293D14" w14:paraId="012C10A9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DB4AF86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Bb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Tecnologia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Serviços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7BE750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51.935.535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09B929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739.057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B535B8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952.016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7EC595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1,8</w:t>
            </w:r>
          </w:p>
        </w:tc>
      </w:tr>
      <w:tr w:rsidR="00293D14" w14:paraId="53E97897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287E3C3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Banco do Brasil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239647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2.759.038.754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CF15A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97.529.702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97EC4F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186.501.385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F57BC8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6,8</w:t>
            </w:r>
          </w:p>
        </w:tc>
      </w:tr>
      <w:tr w:rsidR="00293D14" w14:paraId="62AE9733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EC40D00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Bbtur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Viagens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Turismo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Ltda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em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Liquidação</w:t>
            </w:r>
            <w:proofErr w:type="spellEnd"/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233922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1.009.000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7B34F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AAD9A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3.482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96D56F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0,3</w:t>
            </w:r>
          </w:p>
        </w:tc>
      </w:tr>
      <w:tr w:rsidR="00293D14" w14:paraId="3BD2D85C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EEB6C52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Empresa Gestora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Ativos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- EMGEA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A77C1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2.528.983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C50C40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7CADB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6.990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721EEC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0,3</w:t>
            </w:r>
          </w:p>
        </w:tc>
      </w:tr>
      <w:tr w:rsidR="00293D14" w14:paraId="57DF755B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2C30981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Ativos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 - SECURITIZADORA DE CRÉDITOS FINANCEIROS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5069A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2.000.000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AF2636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DBDBD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08E22F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72A26505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2A5FCED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Agência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Brasileira Gestora de Fundos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Garantidores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Garantias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4E4D3E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1.622.278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A253E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11.157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378CE7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11.157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C9531C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0,7</w:t>
            </w:r>
          </w:p>
        </w:tc>
      </w:tr>
      <w:tr w:rsidR="00293D14" w14:paraId="0BCE5AC4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B0A5B97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Empresa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Tecnologia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Informações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Previdência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Social - DATAPREV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68838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150.000.000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F8B8DF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1.553.431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7D1289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4.230.146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E0F4B7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2,8</w:t>
            </w:r>
          </w:p>
        </w:tc>
      </w:tr>
      <w:tr w:rsidR="00293D14" w14:paraId="1F04EBFF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67CB878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Banco Nacional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Desenvolvimento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Econômico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Social - BNDES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BD8DF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45.777.808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FC034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803.573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A17F21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1.395.093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3AF816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3,0</w:t>
            </w:r>
          </w:p>
        </w:tc>
      </w:tr>
      <w:tr w:rsidR="00293D14" w14:paraId="55833C4D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ADE4E5C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MINISTÉRIO DE MINAS E ENERGIA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D70E62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112.400.931.579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F3A51F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6.114.456.421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683F5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21.056.990.285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9538E3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18,7</w:t>
            </w:r>
          </w:p>
        </w:tc>
      </w:tr>
      <w:tr w:rsidR="00293D14" w14:paraId="453677C0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6AD46E4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Eletrobras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Termonuclear S.A. - ELETRONUCLEAR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085686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671.365.423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030D8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38.884.025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52A291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72.674.524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D78252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10,8</w:t>
            </w:r>
          </w:p>
        </w:tc>
      </w:tr>
      <w:tr w:rsidR="00293D14" w14:paraId="658B7A68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59CE321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Centrais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Elétricas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Brasileiras S.A. - ELETROBRAS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EC255C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41.455.000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061CFF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742FB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B584CE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1F4BF557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2E3D9F9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Centrais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Elétricas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 Norte do Brasil S.A. - ELETRONORTE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2DF86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377.390.482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09F642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22.023.622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DD30D9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25.453.658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4BDC56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6,7</w:t>
            </w:r>
          </w:p>
        </w:tc>
      </w:tr>
      <w:tr w:rsidR="00293D14" w14:paraId="6FFDC03A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00FBF0E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Companhia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Hidro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Elétrica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 São Francisco - CHESF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215B9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1.867.972.360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5C4ACF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79.136.141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52B6CA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132.096.846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DF3E0A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7,1</w:t>
            </w:r>
          </w:p>
        </w:tc>
      </w:tr>
      <w:tr w:rsidR="00293D14" w14:paraId="4163EB74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4C46A4D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Furnas - CENTRAIS ELÉTRICAS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E2F084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1.194.334.506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D5D72D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83.773.872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50AB2C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114.100.193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678BFD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9,6</w:t>
            </w:r>
          </w:p>
        </w:tc>
      </w:tr>
      <w:tr w:rsidR="00293D14" w14:paraId="09A3B874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14C86E6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Petróleo Brasileiro S.A. - PETROBRAS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FE0038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98.544.810.000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F3B04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5.607.980.306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2BD642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20.042.991.607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6B85BB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20,3</w:t>
            </w:r>
          </w:p>
        </w:tc>
      </w:tr>
      <w:tr w:rsidR="00293D14" w14:paraId="11F009AE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8E7F15C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Eletrobras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Participações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 - ELETROPAR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523519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115.000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6FE727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A79F9D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471EF2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2B002735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0B00445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Transportadora Brasileira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Gasoduto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Bolívia-brasil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 - TBG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BA09D6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116.102.000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BC3B6E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8.522.190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4BF1F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16.186.934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28E5FD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13,9</w:t>
            </w:r>
          </w:p>
        </w:tc>
      </w:tr>
      <w:tr w:rsidR="00293D14" w14:paraId="20E9118E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FECDD25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Petrobras Transporte S.A. - TRANSPETRO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CECAA7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760.247.000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E54386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40.233.587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005730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80.678.080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C1BC88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10,6</w:t>
            </w:r>
          </w:p>
        </w:tc>
      </w:tr>
      <w:tr w:rsidR="00293D14" w14:paraId="7F0748D9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85329A3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Companhia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Geração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Transmissão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Elétrica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 Sul do Brasil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9711CC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329.525.919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369812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25.272.433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18C182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45.064.829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6881E8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13,7</w:t>
            </w:r>
          </w:p>
        </w:tc>
      </w:tr>
      <w:tr w:rsidR="00293D14" w14:paraId="33866811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582B50D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Petrobras Logística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Exploração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Produção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 - PB-LOG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268964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200.000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1590FF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0C6FE4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D14D6E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68AC3F7B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6531477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Petrobras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Netherlands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B.v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. - PNBV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C44ED3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7.272.335.000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B4D954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137.685.621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656C8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384.208.929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0019B3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5,3</w:t>
            </w:r>
          </w:p>
        </w:tc>
      </w:tr>
      <w:tr w:rsidR="00293D14" w14:paraId="40060B8E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30C3BDC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Petrobras International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Braspetro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B.v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. - PIB BV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61292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789.549.000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574D33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16.813.083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D9117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25.656.924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B81076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3,2</w:t>
            </w:r>
          </w:p>
        </w:tc>
      </w:tr>
      <w:tr w:rsidR="00293D14" w14:paraId="35832876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2F61A35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Liquigás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Distribuidora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658320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143.656.000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083268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28.772.142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26A050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56.277.024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8508EC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39,2</w:t>
            </w:r>
          </w:p>
        </w:tc>
      </w:tr>
      <w:tr w:rsidR="00293D14" w14:paraId="1E1C785F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3B4167B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Petrobras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Biocombustível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 - PBIO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ECF177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16.749.000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9C4259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1.190.958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4E216B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1.916.501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08F8CE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11,4</w:t>
            </w:r>
          </w:p>
        </w:tc>
      </w:tr>
      <w:tr w:rsidR="00293D14" w14:paraId="0A495D30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54285D1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Eólica Mangue Seco 2 - GERADORA E COMERCIALIZADORA DE ENERGIA ELÉTRICA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41475D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68.000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FF958E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D363D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7A9059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73B8C065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B88A54C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Transmissora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Sul Brasileira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 - TSBE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3A2A8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500.000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67F4A2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C4D69D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0E2B14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32B31B6D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1B9D256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Transmissora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Sul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Litorânea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 - TSLE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0C6F99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16.701.000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C62199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1.125.423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A7C290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4.959.550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83F628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29,7</w:t>
            </w:r>
          </w:p>
        </w:tc>
      </w:tr>
      <w:tr w:rsidR="00293D14" w14:paraId="18083925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C2FE45D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Amazonas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Geração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Transmissão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 - AMGT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4588D5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19.377.000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3410D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694.399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77AD4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1.149.725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640339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5,9</w:t>
            </w:r>
          </w:p>
        </w:tc>
      </w:tr>
      <w:tr w:rsidR="00293D14" w14:paraId="4FD787D5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E84FBB7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Araucária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Nitrogenados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EB9429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107.364.406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3C940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3072C4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53A7CE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1CF6DE50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A82DA43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Empresa Brasileira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Administração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de Petróleo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Gás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Natural S.A. - PRÉ-SAL PETRÓLEO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FBF4B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2.746.800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4E6CE3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142.555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58107D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1.160.106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2178FD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42,2</w:t>
            </w:r>
          </w:p>
        </w:tc>
      </w:tr>
      <w:tr w:rsidR="00293D14" w14:paraId="0FBDA3F6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5BB7269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Transpetro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International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B.v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210DB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32.667.000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17408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332.666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51447B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1.152.768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61070A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3,5</w:t>
            </w:r>
          </w:p>
        </w:tc>
      </w:tr>
      <w:tr w:rsidR="00293D14" w14:paraId="5F7D1D65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947D52D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Brasil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Ventos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S/a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3CA241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196.000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CD88E0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5.944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CCA6E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11.888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82C1DB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6,1</w:t>
            </w:r>
          </w:p>
        </w:tc>
      </w:tr>
      <w:tr w:rsidR="00293D14" w14:paraId="6F860832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DDD87B4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Transenergia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Goiás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ABE05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7.171.337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C9CB7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192.127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A902D2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607.134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820706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8,5</w:t>
            </w:r>
          </w:p>
        </w:tc>
      </w:tr>
      <w:tr w:rsidR="00293D14" w14:paraId="2087B0BB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3F55703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Geradora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Eólica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Ventos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Angelim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617B07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1.233.010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5DA46D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6.400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1DC45C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619.310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A6E9CF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50,2</w:t>
            </w:r>
          </w:p>
        </w:tc>
      </w:tr>
      <w:tr w:rsidR="00293D14" w14:paraId="3534D881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093ADFC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Geradora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Eólica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Ventos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de Santa Rosa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C864AE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1.047.052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F550A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9.150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23AF0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511.287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FFE2DE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48,8</w:t>
            </w:r>
          </w:p>
        </w:tc>
      </w:tr>
      <w:tr w:rsidR="00293D14" w14:paraId="619C2AE1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762ACEC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Geradora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Eólica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Ventos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Uirapuru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90AE5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1.388.430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7CA92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5711DF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719.638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F96A74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51,8</w:t>
            </w:r>
          </w:p>
        </w:tc>
      </w:tr>
      <w:tr w:rsidR="00293D14" w14:paraId="35AF24B4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F25DCA5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Geradora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Eólica Arara Azul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A8E76C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72.900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66FFCD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11.472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143E60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22.944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4DC622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31,5</w:t>
            </w:r>
          </w:p>
        </w:tc>
      </w:tr>
      <w:tr w:rsidR="00293D14" w14:paraId="710F8595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B1FCFE4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Geradora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Eólica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Bentevi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E772C5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26.040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CED605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4.000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9950BA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8.000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5EC9B5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30,7</w:t>
            </w:r>
          </w:p>
        </w:tc>
      </w:tr>
      <w:tr w:rsidR="00293D14" w14:paraId="4A8C189E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B849B70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lastRenderedPageBreak/>
              <w:t>Geradora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Eólica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Ouro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Verde I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94C10B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62.100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2963F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10.357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EDCD4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20.071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9E8297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32,3</w:t>
            </w:r>
          </w:p>
        </w:tc>
      </w:tr>
      <w:tr w:rsidR="00293D14" w14:paraId="2A198FA5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B99436E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Geradora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Eólica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Ouro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Verde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Ii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1BCD19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52.770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C166C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8.624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916AE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16.872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EBE6AF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32,0</w:t>
            </w:r>
          </w:p>
        </w:tc>
      </w:tr>
      <w:tr w:rsidR="00293D14" w14:paraId="06F810E4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1A87C97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Geradora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Eólica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Ouro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Verde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Iii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7C089E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70.300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077C6C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4.955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E1181E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9.865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0B265C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14,0</w:t>
            </w:r>
          </w:p>
        </w:tc>
      </w:tr>
      <w:tr w:rsidR="00293D14" w14:paraId="3D710338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5AC9CEB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dos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Ventos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V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A0CD60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13.012.317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97B07A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1.170.558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FE0A3E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6.289.731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7FC846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48,3</w:t>
            </w:r>
          </w:p>
        </w:tc>
      </w:tr>
      <w:tr w:rsidR="00293D14" w14:paraId="06B787FC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39548F8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dos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Ventos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Vi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11D32D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18.589.024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833B59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6.149.061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CA8C7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10.282.486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F7BAD6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55,3</w:t>
            </w:r>
          </w:p>
        </w:tc>
      </w:tr>
      <w:tr w:rsidR="00293D14" w14:paraId="524EEC8E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9E879EE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dos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Ventos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Vii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69A7FD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16.730.121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026656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1.790.803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C0C9FE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5.931.328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B5EE39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35,5</w:t>
            </w:r>
          </w:p>
        </w:tc>
      </w:tr>
      <w:tr w:rsidR="00293D14" w14:paraId="1EAB47C1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8D5DA5B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dos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Ventos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Viii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26959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13.012.317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644EAF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6.449.296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CF5DE6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12.459.651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F62718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95,8</w:t>
            </w:r>
          </w:p>
        </w:tc>
      </w:tr>
      <w:tr w:rsidR="00293D14" w14:paraId="3C49D519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BEC718F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dos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Ventos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Ix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CD488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14.871.219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63304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5.343.247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63F6B6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9.782.972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A08524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65,8</w:t>
            </w:r>
          </w:p>
        </w:tc>
      </w:tr>
      <w:tr w:rsidR="00293D14" w14:paraId="24AE1AE3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780EF5A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Fronteira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Oeste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Transmissora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6B56A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3.965.742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8E7B0A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717.404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B71307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3.965.742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05E173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100,0</w:t>
            </w:r>
          </w:p>
        </w:tc>
      </w:tr>
      <w:tr w:rsidR="00293D14" w14:paraId="13FD38F2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64A31E2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Eólica Hermenegildo I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768868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1.299.012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FFD408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A08AC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3.168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6F9B0B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0,2</w:t>
            </w:r>
          </w:p>
        </w:tc>
      </w:tr>
      <w:tr w:rsidR="00293D14" w14:paraId="40203BA9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47E54EE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Eólica Hermenegildo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Ii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8D376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1.299.012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D94524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E26178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6629CA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343E7A48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F9D9471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Eólica Hermenegildo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Iii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5488E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1.096.040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5157F5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4C393B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E05814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1A9898D8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BE5FA31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Eólica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Chuí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Ix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0BC021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405.940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7A81EF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B8CCF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79AD98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6F64E7B6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B2C46CC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Itaguaçu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Bahia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Energias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Renováveis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S/a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CA4E00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100.000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C32E67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7C094C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219B5E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0,0</w:t>
            </w:r>
          </w:p>
        </w:tc>
      </w:tr>
      <w:tr w:rsidR="00293D14" w14:paraId="3869B35E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D1A2E2D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MINISTÉRIO DA SAÚDE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06A2DF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190.594.202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7250B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3.215.110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8F839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6.268.049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CB78B5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3,3</w:t>
            </w:r>
          </w:p>
        </w:tc>
      </w:tr>
      <w:tr w:rsidR="00293D14" w14:paraId="0ADEEC32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A12F56A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Empresa Brasileira de Hemoderivados 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Biotecnologia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- HEMOBRÁS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45DBC4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190.594.202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B0D92D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3.215.110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2C6224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6.268.049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61E138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3,3</w:t>
            </w:r>
          </w:p>
        </w:tc>
      </w:tr>
      <w:tr w:rsidR="00293D14" w14:paraId="58DA9141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517F3B6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MINISTÉRIO DA INFRAESTRUTURA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ED53C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667.639.234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5B3B7C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61.265.862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9E603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87.192.903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8DE727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13,1</w:t>
            </w:r>
          </w:p>
        </w:tc>
      </w:tr>
      <w:tr w:rsidR="00293D14" w14:paraId="19DC12C1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40349C5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Companhia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Docas do Ceará - CDC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D31FEA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10.701.013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024E3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7E704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73.961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6A5989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0,7</w:t>
            </w:r>
          </w:p>
        </w:tc>
      </w:tr>
      <w:tr w:rsidR="00293D14" w14:paraId="3FDC61A5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AC8428B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Companhia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Docas do Espírito Santo - CODESA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FAD8C7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10.540.000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FF26D0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66.540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24D571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66.540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C1229D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0,6</w:t>
            </w:r>
          </w:p>
        </w:tc>
      </w:tr>
      <w:tr w:rsidR="00293D14" w14:paraId="6819A1D3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49ABB6E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Companhia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das Docas do Estado da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Bahia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–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Codeba</w:t>
            </w:r>
            <w:proofErr w:type="spellEnd"/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F151F3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23.656.018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5A3F1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93245B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39.375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8A975D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0,2</w:t>
            </w:r>
          </w:p>
        </w:tc>
      </w:tr>
      <w:tr w:rsidR="00293D14" w14:paraId="72B290D5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A61FFC2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Autoridade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Portuaria de Santos S.A.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9D82B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277.719.070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1ACFDD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221.212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9262D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525.181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EE6AE1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0,2</w:t>
            </w:r>
          </w:p>
        </w:tc>
      </w:tr>
      <w:tr w:rsidR="00293D14" w14:paraId="59467B15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76B36C9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Companhia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Docas do Pará - CDP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219D2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80.102.034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F96BCB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103.570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4D32A9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3.419.809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4151EA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4,3</w:t>
            </w:r>
          </w:p>
        </w:tc>
      </w:tr>
      <w:tr w:rsidR="00293D14" w14:paraId="031C4F64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FECC338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Companhia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Docas do Rio de Janeiro - CDRJ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0A3F7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70.249.892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930B4E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693.118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980BF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1.361.033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01079C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1,9</w:t>
            </w:r>
          </w:p>
        </w:tc>
      </w:tr>
      <w:tr w:rsidR="00293D14" w14:paraId="7995FA81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01E541E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Companhia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Docas do Rio Grande do Norte - CODERN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68DE3D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2.352.900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C6B3B2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5.233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8C80A0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111.985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D365CE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4,8</w:t>
            </w:r>
          </w:p>
        </w:tc>
      </w:tr>
      <w:tr w:rsidR="00293D14" w14:paraId="67B31CE2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9B80DBE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Empresa Brasileira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Infraestrutura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Aeroportuária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- INFRAERO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4F3F4A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192.318.307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FCD70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60.176.189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D2CC4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81.595.019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CF4000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42,4</w:t>
            </w:r>
          </w:p>
        </w:tc>
      </w:tr>
      <w:tr w:rsidR="00293D14" w14:paraId="36DF54AF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D67F76C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MINISTÉRIO DA DEFESA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88BC49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1.401.340.925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501FDA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11.002.220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86D6C1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11.031.271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8D8F94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0,8</w:t>
            </w:r>
          </w:p>
        </w:tc>
      </w:tr>
      <w:tr w:rsidR="00293D14" w14:paraId="6C875760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0C09338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Empresa Gerencial de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Projetos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Navais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- EMGEPRON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DC966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1.401.340.925</w:t>
            </w: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838739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11.002.220</w:t>
            </w: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E7755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11.031.271</w:t>
            </w: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98C759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0,8</w:t>
            </w:r>
          </w:p>
        </w:tc>
      </w:tr>
      <w:tr w:rsidR="00293D14" w14:paraId="06F40147" w14:textId="77777777" w:rsidTr="0043555D">
        <w:tc>
          <w:tcPr>
            <w:tcW w:w="1900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F2FE8F3" w14:textId="77777777" w:rsidR="00464FBA" w:rsidRPr="0051246D" w:rsidRDefault="00464FBA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C087B7C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82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760948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821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4EE2B4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638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85BDB2C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</w:tr>
      <w:tr w:rsidR="00293D14" w14:paraId="0E6E0DC8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900" w:type="pct"/>
            <w:tcBorders>
              <w:top w:val="single" w:sz="1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1AF8C" w14:textId="77777777" w:rsidR="00464FBA" w:rsidRPr="0051246D" w:rsidRDefault="0080716B" w:rsidP="00464FBA">
            <w:pPr>
              <w:keepNext/>
              <w:widowControl w:val="0"/>
              <w:numPr>
                <w:ilvl w:val="2"/>
                <w:numId w:val="1"/>
              </w:numPr>
              <w:suppressAutoHyphens/>
              <w:snapToGrid w:val="0"/>
              <w:outlineLvl w:val="2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 xml:space="preserve">Total  </w:t>
            </w:r>
          </w:p>
        </w:tc>
        <w:tc>
          <w:tcPr>
            <w:tcW w:w="821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1874E3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sz w:val="18"/>
                <w:szCs w:val="12"/>
                <w:lang w:val="es-ES"/>
              </w:rPr>
              <w:t>121.421.955.849</w:t>
            </w:r>
          </w:p>
        </w:tc>
        <w:tc>
          <w:tcPr>
            <w:tcW w:w="820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48F8F0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sz w:val="18"/>
                <w:szCs w:val="12"/>
                <w:lang w:val="es-ES"/>
              </w:rPr>
              <w:t>6.416.471.157</w:t>
            </w:r>
          </w:p>
        </w:tc>
        <w:tc>
          <w:tcPr>
            <w:tcW w:w="821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82EC2C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21.568.381.679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2AB3DC8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17,8</w:t>
            </w:r>
          </w:p>
        </w:tc>
      </w:tr>
    </w:tbl>
    <w:p w14:paraId="2F136941" w14:textId="77777777" w:rsidR="00464FBA" w:rsidRPr="0051246D" w:rsidRDefault="00464FBA" w:rsidP="00464FBA">
      <w:pPr>
        <w:rPr>
          <w:rFonts w:ascii="Calibri" w:hAnsi="Calibri"/>
          <w:b/>
          <w:sz w:val="18"/>
          <w:szCs w:val="16"/>
          <w:lang w:val="pt-BR" w:eastAsia="pt-BR"/>
        </w:rPr>
      </w:pPr>
    </w:p>
    <w:p w14:paraId="6D37CE8E" w14:textId="77777777" w:rsidR="00464FBA" w:rsidRPr="00B07B77" w:rsidRDefault="0080716B" w:rsidP="00B07B77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FE2054">
        <w:rPr>
          <w:rFonts w:ascii="Calibri" w:hAnsi="Calibri"/>
          <w:color w:val="000000"/>
          <w:sz w:val="18"/>
          <w:szCs w:val="16"/>
        </w:rPr>
        <w:t xml:space="preserve">18. </w:t>
      </w:r>
      <w:r w:rsidR="00B07B77">
        <w:rPr>
          <w:rFonts w:ascii="Calibri" w:hAnsi="Calibri"/>
          <w:color w:val="000000"/>
          <w:sz w:val="18"/>
          <w:szCs w:val="16"/>
        </w:rPr>
        <w:t>D</w:t>
      </w:r>
      <w:r w:rsidRPr="00FE2054">
        <w:rPr>
          <w:rFonts w:ascii="Calibri" w:hAnsi="Calibri"/>
          <w:color w:val="000000"/>
          <w:sz w:val="18"/>
          <w:szCs w:val="16"/>
        </w:rPr>
        <w:t>a</w:t>
      </w:r>
      <w:r w:rsidR="00B07B77">
        <w:rPr>
          <w:rFonts w:ascii="Calibri" w:hAnsi="Calibri"/>
          <w:color w:val="000000"/>
          <w:sz w:val="18"/>
          <w:szCs w:val="16"/>
        </w:rPr>
        <w:t>s</w:t>
      </w:r>
      <w:r w:rsidRPr="00FE2054">
        <w:rPr>
          <w:rFonts w:ascii="Calibri" w:hAnsi="Calibri"/>
          <w:color w:val="000000"/>
          <w:sz w:val="18"/>
          <w:szCs w:val="16"/>
        </w:rPr>
        <w:t xml:space="preserve"> </w:t>
      </w:r>
      <w:r w:rsidR="00B07B77" w:rsidRPr="00B07B77">
        <w:rPr>
          <w:rFonts w:ascii="Calibri" w:hAnsi="Calibri"/>
          <w:color w:val="000000"/>
          <w:sz w:val="18"/>
          <w:szCs w:val="16"/>
        </w:rPr>
        <w:t xml:space="preserve">70 empresas que tiveram programação de dispêndios aprovada no âmbito do Orçamento de Investimento de 2020, 18 apresentaram, até o segundo bimestre, desempenho, em termos percentuais de realização das respectivas dotações autorizadas, superior à média geral de 17,8%. São elas: FOTE, </w:t>
      </w:r>
      <w:r w:rsidR="00FB0580">
        <w:rPr>
          <w:rFonts w:ascii="Calibri" w:hAnsi="Calibri"/>
          <w:color w:val="000000"/>
          <w:sz w:val="18"/>
          <w:szCs w:val="16"/>
        </w:rPr>
        <w:t>100,0</w:t>
      </w:r>
      <w:r w:rsidR="00B07B77" w:rsidRPr="00B07B77">
        <w:rPr>
          <w:rFonts w:ascii="Calibri" w:hAnsi="Calibri"/>
          <w:color w:val="000000"/>
          <w:sz w:val="18"/>
          <w:szCs w:val="16"/>
        </w:rPr>
        <w:t>%; EDV VIII, 95,8%; EDV IX, 65,8%; EDV VI, 55,3%; VENTOS DE UIRAPURU, 51,8%; VENTOS DE ANGELIM, 50,2%; VENTOS DE SANTA ROSA, 48,8%; EDV V, 48,3%; Infraero, 42,4%; PPSA, 42,2%; Liquigás, 39,2%; EDV VII, 35,5%; OURO VERDE I, 32,3%; OURO VERDE II, 32,0%; ARARA AZUL, 31,5%; BENTEVI, 30,7%; TSLE, 29,7%; Petrobras, 20,3%.</w:t>
      </w:r>
      <w:r w:rsidR="00B07B77">
        <w:rPr>
          <w:rFonts w:ascii="Calibri" w:hAnsi="Calibri"/>
          <w:color w:val="000000"/>
          <w:sz w:val="18"/>
          <w:szCs w:val="16"/>
        </w:rPr>
        <w:t xml:space="preserve"> </w:t>
      </w:r>
      <w:r w:rsidR="00B07B77" w:rsidRPr="00B07B77">
        <w:rPr>
          <w:rFonts w:ascii="Calibri" w:hAnsi="Calibri"/>
          <w:color w:val="000000"/>
          <w:sz w:val="18"/>
          <w:szCs w:val="16"/>
        </w:rPr>
        <w:t xml:space="preserve">As empresas Araucária, Ativos S.A., EOLICA CHU IX, EOLICA HERMENEGILDO II, EOLICA HERMENEGILDO III, </w:t>
      </w:r>
      <w:proofErr w:type="spellStart"/>
      <w:r w:rsidR="00B07B77" w:rsidRPr="00B07B77">
        <w:rPr>
          <w:rFonts w:ascii="Calibri" w:hAnsi="Calibri"/>
          <w:color w:val="000000"/>
          <w:sz w:val="18"/>
          <w:szCs w:val="16"/>
        </w:rPr>
        <w:t>Eletrobras</w:t>
      </w:r>
      <w:proofErr w:type="spellEnd"/>
      <w:r w:rsidR="00B07B77" w:rsidRPr="00B07B77">
        <w:rPr>
          <w:rFonts w:ascii="Calibri" w:hAnsi="Calibri"/>
          <w:color w:val="000000"/>
          <w:sz w:val="18"/>
          <w:szCs w:val="16"/>
        </w:rPr>
        <w:t xml:space="preserve">, </w:t>
      </w:r>
      <w:proofErr w:type="spellStart"/>
      <w:r w:rsidR="00B07B77" w:rsidRPr="00B07B77">
        <w:rPr>
          <w:rFonts w:ascii="Calibri" w:hAnsi="Calibri"/>
          <w:color w:val="000000"/>
          <w:sz w:val="18"/>
          <w:szCs w:val="16"/>
        </w:rPr>
        <w:t>Eletropar</w:t>
      </w:r>
      <w:proofErr w:type="spellEnd"/>
      <w:r w:rsidR="00B07B77" w:rsidRPr="00B07B77">
        <w:rPr>
          <w:rFonts w:ascii="Calibri" w:hAnsi="Calibri"/>
          <w:color w:val="000000"/>
          <w:sz w:val="18"/>
          <w:szCs w:val="16"/>
        </w:rPr>
        <w:t xml:space="preserve">, </w:t>
      </w:r>
      <w:r w:rsidR="00B052FD" w:rsidRPr="00B052FD">
        <w:rPr>
          <w:rFonts w:ascii="Calibri" w:hAnsi="Calibri"/>
          <w:color w:val="000000"/>
          <w:sz w:val="18"/>
          <w:szCs w:val="16"/>
        </w:rPr>
        <w:t>Itaguaçu da Bahia</w:t>
      </w:r>
      <w:r w:rsidR="00B052FD">
        <w:rPr>
          <w:rFonts w:ascii="Calibri" w:hAnsi="Calibri"/>
          <w:color w:val="000000"/>
          <w:sz w:val="18"/>
          <w:szCs w:val="16"/>
        </w:rPr>
        <w:t>,</w:t>
      </w:r>
      <w:r w:rsidR="00B052FD" w:rsidRPr="00B052FD">
        <w:rPr>
          <w:rFonts w:ascii="Calibri" w:hAnsi="Calibri"/>
          <w:color w:val="000000"/>
          <w:sz w:val="18"/>
          <w:szCs w:val="16"/>
        </w:rPr>
        <w:t xml:space="preserve"> </w:t>
      </w:r>
      <w:r w:rsidR="00B07B77" w:rsidRPr="00B07B77">
        <w:rPr>
          <w:rFonts w:ascii="Calibri" w:hAnsi="Calibri"/>
          <w:color w:val="000000"/>
          <w:sz w:val="18"/>
          <w:szCs w:val="16"/>
        </w:rPr>
        <w:t>Mangue Seco 2, PB-LOG, TSBE, não apresentaram execução no período.</w:t>
      </w:r>
    </w:p>
    <w:p w14:paraId="10FC006B" w14:textId="77777777" w:rsidR="00464FBA" w:rsidRPr="0051246D" w:rsidRDefault="0080716B" w:rsidP="00464FBA">
      <w:pPr>
        <w:pStyle w:val="Corpodetexto"/>
        <w:keepNext/>
        <w:spacing w:after="120"/>
        <w:rPr>
          <w:rFonts w:ascii="Calibri" w:hAnsi="Calibri"/>
          <w:b/>
          <w:color w:val="000000"/>
          <w:sz w:val="18"/>
          <w:szCs w:val="16"/>
        </w:rPr>
      </w:pPr>
      <w:r w:rsidRPr="0051246D">
        <w:rPr>
          <w:rFonts w:ascii="Calibri" w:hAnsi="Calibri"/>
          <w:b/>
          <w:color w:val="000000"/>
          <w:sz w:val="18"/>
          <w:szCs w:val="16"/>
        </w:rPr>
        <w:t>Distribuição geográfica da despesa</w:t>
      </w:r>
    </w:p>
    <w:p w14:paraId="2EA8D2D4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>1</w:t>
      </w:r>
      <w:r w:rsidR="004609E1">
        <w:rPr>
          <w:rFonts w:ascii="Calibri" w:hAnsi="Calibri"/>
          <w:color w:val="000000"/>
          <w:sz w:val="18"/>
          <w:szCs w:val="16"/>
        </w:rPr>
        <w:t>9</w:t>
      </w:r>
      <w:r w:rsidRPr="0051246D">
        <w:rPr>
          <w:rFonts w:ascii="Calibri" w:hAnsi="Calibri"/>
          <w:color w:val="000000"/>
          <w:sz w:val="18"/>
          <w:szCs w:val="16"/>
        </w:rPr>
        <w:t>. A Tabela 10 apresenta quadro consolidado da despesa por macrorregião geográfica, informando as respectivas dotações, os valores realizados no bimestre e até o bimestre, bem como a participação percentual de cada uma nos grandes agregados. Os subtítulos cuja localização transcende os limites de uma ou mais regiões e que, devido às suas características físicas e técnicas, não podem ser desmembrados, foram classificados no tópico Nacional e representaram 52,7% do montante realizado até o bimestre. Os investimentos implementados no exterior participaram com 1,7% até o bimestre.</w:t>
      </w:r>
    </w:p>
    <w:tbl>
      <w:tblPr>
        <w:tblW w:w="7764" w:type="dxa"/>
        <w:tblInd w:w="44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800"/>
        <w:gridCol w:w="1280"/>
        <w:gridCol w:w="1276"/>
        <w:gridCol w:w="1276"/>
        <w:gridCol w:w="567"/>
        <w:gridCol w:w="565"/>
      </w:tblGrid>
      <w:tr w:rsidR="00293D14" w:rsidRPr="00604D79" w14:paraId="59676E2B" w14:textId="77777777" w:rsidTr="00464FBA">
        <w:tc>
          <w:tcPr>
            <w:tcW w:w="5000" w:type="pct"/>
            <w:gridSpan w:val="6"/>
            <w:shd w:val="clear" w:color="auto" w:fill="auto"/>
          </w:tcPr>
          <w:p w14:paraId="1DACCD35" w14:textId="77777777" w:rsidR="00464FBA" w:rsidRPr="0051246D" w:rsidRDefault="00464FBA" w:rsidP="00464FBA">
            <w:pPr>
              <w:keepNext/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  <w:p w14:paraId="09493AF5" w14:textId="77777777" w:rsidR="00464FBA" w:rsidRPr="0051246D" w:rsidRDefault="0080716B" w:rsidP="00464FBA">
            <w:pPr>
              <w:keepNext/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TABELA 10 -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Execução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OI – por </w:t>
            </w: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Macrorregião</w:t>
            </w:r>
            <w:proofErr w:type="spellEnd"/>
          </w:p>
        </w:tc>
      </w:tr>
      <w:tr w:rsidR="00293D14" w:rsidRPr="00604D79" w14:paraId="6F381754" w14:textId="77777777" w:rsidTr="00464FBA">
        <w:tc>
          <w:tcPr>
            <w:tcW w:w="5000" w:type="pct"/>
            <w:gridSpan w:val="6"/>
            <w:shd w:val="clear" w:color="auto" w:fill="auto"/>
          </w:tcPr>
          <w:p w14:paraId="6FFA450E" w14:textId="77777777" w:rsidR="00464FBA" w:rsidRPr="0051246D" w:rsidRDefault="00464FBA" w:rsidP="00464FBA">
            <w:pPr>
              <w:keepNext/>
              <w:snapToGrid w:val="0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</w:tr>
      <w:tr w:rsidR="00293D14" w14:paraId="23CB7C75" w14:textId="77777777" w:rsidTr="0043555D">
        <w:tc>
          <w:tcPr>
            <w:tcW w:w="5000" w:type="pct"/>
            <w:gridSpan w:val="6"/>
            <w:tcBorders>
              <w:bottom w:val="single" w:sz="2" w:space="0" w:color="000000"/>
            </w:tcBorders>
            <w:shd w:val="clear" w:color="auto" w:fill="auto"/>
          </w:tcPr>
          <w:p w14:paraId="55E3EB6C" w14:textId="77777777" w:rsidR="00464FBA" w:rsidRPr="0051246D" w:rsidRDefault="0080716B" w:rsidP="00464FBA">
            <w:pPr>
              <w:keepNext/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Valores em R$ 1,00</w:t>
            </w:r>
          </w:p>
        </w:tc>
      </w:tr>
      <w:tr w:rsidR="00293D14" w14:paraId="6B2ACC1C" w14:textId="77777777" w:rsidTr="0043555D">
        <w:tc>
          <w:tcPr>
            <w:tcW w:w="1803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0724F66" w14:textId="77777777" w:rsidR="00464FBA" w:rsidRPr="0051246D" w:rsidRDefault="00464FBA" w:rsidP="00464FBA">
            <w:pPr>
              <w:keepNext/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82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5CCD0D" w14:textId="77777777" w:rsidR="00464FBA" w:rsidRPr="0051246D" w:rsidRDefault="0080716B" w:rsidP="00464FBA">
            <w:pPr>
              <w:keepNext/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Dotação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</w:t>
            </w: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Atual</w:t>
            </w:r>
            <w:proofErr w:type="spellEnd"/>
          </w:p>
        </w:tc>
        <w:tc>
          <w:tcPr>
            <w:tcW w:w="822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335320" w14:textId="77777777" w:rsidR="00464FBA" w:rsidRPr="0051246D" w:rsidRDefault="0080716B" w:rsidP="00464FBA">
            <w:pPr>
              <w:keepNext/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Realizado no</w:t>
            </w:r>
          </w:p>
        </w:tc>
        <w:tc>
          <w:tcPr>
            <w:tcW w:w="822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08BF94" w14:textId="77777777" w:rsidR="00464FBA" w:rsidRPr="0051246D" w:rsidRDefault="0080716B" w:rsidP="00464FBA">
            <w:pPr>
              <w:keepNext/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Realizado até</w:t>
            </w:r>
          </w:p>
        </w:tc>
        <w:tc>
          <w:tcPr>
            <w:tcW w:w="730" w:type="pct"/>
            <w:gridSpan w:val="2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A5925" w14:textId="77777777" w:rsidR="00464FBA" w:rsidRPr="0051246D" w:rsidRDefault="0080716B" w:rsidP="00464FBA">
            <w:pPr>
              <w:keepNext/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Composição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%</w:t>
            </w:r>
          </w:p>
        </w:tc>
      </w:tr>
      <w:tr w:rsidR="00293D14" w14:paraId="4F19116A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803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3E54F0C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Descritores</w:t>
            </w:r>
            <w:proofErr w:type="spellEnd"/>
          </w:p>
        </w:tc>
        <w:tc>
          <w:tcPr>
            <w:tcW w:w="82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166961" w14:textId="77777777" w:rsidR="00464FBA" w:rsidRPr="0051246D" w:rsidRDefault="00464FBA" w:rsidP="00464FBA">
            <w:pPr>
              <w:rPr>
                <w:rFonts w:ascii="Calibri" w:hAnsi="Calibri"/>
                <w:sz w:val="18"/>
                <w:lang w:val="pt-BR" w:eastAsia="pt-BR"/>
              </w:rPr>
            </w:pP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D5AF44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 xml:space="preserve"> 2° Bimestre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19574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 xml:space="preserve"> 2° Bimestre  </w:t>
            </w:r>
          </w:p>
        </w:tc>
        <w:tc>
          <w:tcPr>
            <w:tcW w:w="365" w:type="pct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BF3D23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de(a) </w:t>
            </w:r>
          </w:p>
        </w:tc>
        <w:tc>
          <w:tcPr>
            <w:tcW w:w="365" w:type="pct"/>
            <w:tcBorders>
              <w:top w:val="single" w:sz="1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9931D2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de(c)</w:t>
            </w:r>
          </w:p>
        </w:tc>
      </w:tr>
      <w:tr w:rsidR="00293D14" w14:paraId="48E64D2F" w14:textId="77777777" w:rsidTr="0043555D">
        <w:tblPrEx>
          <w:tblCellMar>
            <w:left w:w="0" w:type="dxa"/>
            <w:right w:w="0" w:type="dxa"/>
          </w:tblCellMar>
        </w:tblPrEx>
        <w:trPr>
          <w:trHeight w:val="163"/>
        </w:trPr>
        <w:tc>
          <w:tcPr>
            <w:tcW w:w="1803" w:type="pct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BDFE54" w14:textId="77777777" w:rsidR="00464FBA" w:rsidRPr="0051246D" w:rsidRDefault="00464FBA" w:rsidP="00464FBA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824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D2A8CC" w14:textId="77777777" w:rsidR="00464FBA" w:rsidRPr="0051246D" w:rsidRDefault="0080716B" w:rsidP="00464FBA">
            <w:pPr>
              <w:snapToGrid w:val="0"/>
              <w:spacing w:line="100" w:lineRule="atLeast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(a)</w:t>
            </w:r>
          </w:p>
        </w:tc>
        <w:tc>
          <w:tcPr>
            <w:tcW w:w="822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A24A23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/>
              </w:rPr>
              <w:t>(b)</w:t>
            </w:r>
          </w:p>
        </w:tc>
        <w:tc>
          <w:tcPr>
            <w:tcW w:w="822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030B1E" w14:textId="77777777" w:rsidR="00464FBA" w:rsidRPr="0051246D" w:rsidRDefault="0080716B" w:rsidP="00464FBA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(c)</w:t>
            </w:r>
          </w:p>
        </w:tc>
        <w:tc>
          <w:tcPr>
            <w:tcW w:w="365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CE2EAD" w14:textId="77777777" w:rsidR="00464FBA" w:rsidRPr="0051246D" w:rsidRDefault="0080716B" w:rsidP="00464FBA">
            <w:pPr>
              <w:snapToGrid w:val="0"/>
              <w:spacing w:line="100" w:lineRule="atLeast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a/Ta</w:t>
            </w:r>
          </w:p>
        </w:tc>
        <w:tc>
          <w:tcPr>
            <w:tcW w:w="365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18634" w14:textId="77777777" w:rsidR="00464FBA" w:rsidRPr="0051246D" w:rsidRDefault="0080716B" w:rsidP="00464FBA">
            <w:pPr>
              <w:snapToGrid w:val="0"/>
              <w:spacing w:line="100" w:lineRule="atLeast"/>
              <w:jc w:val="center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c/Tc</w:t>
            </w:r>
          </w:p>
        </w:tc>
      </w:tr>
      <w:tr w:rsidR="00293D14" w14:paraId="0654AF71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803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62BEB2D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Exterior</w:t>
            </w:r>
          </w:p>
        </w:tc>
        <w:tc>
          <w:tcPr>
            <w:tcW w:w="82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DE9F4C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7.256.177.452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360C24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126.448.132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08D51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375.776.185</w:t>
            </w:r>
          </w:p>
        </w:tc>
        <w:tc>
          <w:tcPr>
            <w:tcW w:w="36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7E2890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6,0</w:t>
            </w:r>
          </w:p>
        </w:tc>
        <w:tc>
          <w:tcPr>
            <w:tcW w:w="365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8B0811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1,7</w:t>
            </w:r>
          </w:p>
        </w:tc>
      </w:tr>
      <w:tr w:rsidR="00293D14" w14:paraId="4B253456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803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9DB26FD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Nacional</w:t>
            </w:r>
          </w:p>
        </w:tc>
        <w:tc>
          <w:tcPr>
            <w:tcW w:w="82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773A6C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43.447.262.469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D3001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2.338.952.765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BB6F7E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11.356.785.046</w:t>
            </w:r>
          </w:p>
        </w:tc>
        <w:tc>
          <w:tcPr>
            <w:tcW w:w="36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5511D53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35,8</w:t>
            </w:r>
          </w:p>
        </w:tc>
        <w:tc>
          <w:tcPr>
            <w:tcW w:w="365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3DEF33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52,7</w:t>
            </w:r>
          </w:p>
        </w:tc>
      </w:tr>
      <w:tr w:rsidR="00293D14" w14:paraId="64CD71F8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803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D559949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lastRenderedPageBreak/>
              <w:t>Região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Centro-Oeste</w:t>
            </w:r>
          </w:p>
        </w:tc>
        <w:tc>
          <w:tcPr>
            <w:tcW w:w="82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7E681C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62.825.376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0C82E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22.872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805F3A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138.551</w:t>
            </w:r>
          </w:p>
        </w:tc>
        <w:tc>
          <w:tcPr>
            <w:tcW w:w="36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7619940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0,1</w:t>
            </w:r>
          </w:p>
        </w:tc>
        <w:tc>
          <w:tcPr>
            <w:tcW w:w="365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640F39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0,0</w:t>
            </w:r>
          </w:p>
        </w:tc>
      </w:tr>
      <w:tr w:rsidR="00293D14" w14:paraId="7F7048D2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803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89A24F0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Região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Nordeste</w:t>
            </w:r>
          </w:p>
        </w:tc>
        <w:tc>
          <w:tcPr>
            <w:tcW w:w="82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C87EFF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5.129.368.389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60DBC55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494.139.168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7FEEE68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807.660.217</w:t>
            </w:r>
          </w:p>
        </w:tc>
        <w:tc>
          <w:tcPr>
            <w:tcW w:w="36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A0CEA5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4,2</w:t>
            </w:r>
          </w:p>
        </w:tc>
        <w:tc>
          <w:tcPr>
            <w:tcW w:w="365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C86EE4A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3,7</w:t>
            </w:r>
          </w:p>
        </w:tc>
      </w:tr>
      <w:tr w:rsidR="00293D14" w14:paraId="4653702B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803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1A6AC7C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Região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Norte</w:t>
            </w:r>
          </w:p>
        </w:tc>
        <w:tc>
          <w:tcPr>
            <w:tcW w:w="82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233BED4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537.493.124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62CA42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23.628.703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9A35866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33.134.957</w:t>
            </w:r>
          </w:p>
        </w:tc>
        <w:tc>
          <w:tcPr>
            <w:tcW w:w="36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82F2CE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0,4</w:t>
            </w:r>
          </w:p>
        </w:tc>
        <w:tc>
          <w:tcPr>
            <w:tcW w:w="365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CA9BA0D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0,2</w:t>
            </w:r>
          </w:p>
        </w:tc>
      </w:tr>
      <w:tr w:rsidR="00293D14" w14:paraId="0E829C76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803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A030DBF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Região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Sudeste</w:t>
            </w:r>
          </w:p>
        </w:tc>
        <w:tc>
          <w:tcPr>
            <w:tcW w:w="82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2330FF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64.682.291.332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BF907D7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3.426.937.164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AEC66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8.972.243.034</w:t>
            </w:r>
          </w:p>
        </w:tc>
        <w:tc>
          <w:tcPr>
            <w:tcW w:w="36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AFD5A12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53,3</w:t>
            </w:r>
          </w:p>
        </w:tc>
        <w:tc>
          <w:tcPr>
            <w:tcW w:w="365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4752E6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41,6</w:t>
            </w:r>
          </w:p>
        </w:tc>
      </w:tr>
      <w:tr w:rsidR="00293D14" w14:paraId="01D6A47F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803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3B90953" w14:textId="77777777" w:rsidR="00464FBA" w:rsidRPr="0051246D" w:rsidRDefault="0080716B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proofErr w:type="spellStart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Região</w:t>
            </w:r>
            <w:proofErr w:type="spellEnd"/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 xml:space="preserve"> Sul</w:t>
            </w:r>
          </w:p>
        </w:tc>
        <w:tc>
          <w:tcPr>
            <w:tcW w:w="82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CA7804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306.537.707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0F2114B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6.342.353</w:t>
            </w: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18E45BC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22.643.689</w:t>
            </w:r>
          </w:p>
        </w:tc>
        <w:tc>
          <w:tcPr>
            <w:tcW w:w="36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160ED1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0,3</w:t>
            </w:r>
          </w:p>
        </w:tc>
        <w:tc>
          <w:tcPr>
            <w:tcW w:w="365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B4359BF" w14:textId="77777777" w:rsidR="00464FBA" w:rsidRPr="0051246D" w:rsidRDefault="0080716B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sz w:val="18"/>
                <w:szCs w:val="12"/>
                <w:lang w:val="es-ES" w:eastAsia="pt-BR"/>
              </w:rPr>
              <w:t>0,1</w:t>
            </w:r>
          </w:p>
        </w:tc>
      </w:tr>
      <w:tr w:rsidR="00293D14" w14:paraId="5998667F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803" w:type="pc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27140C7" w14:textId="77777777" w:rsidR="00464FBA" w:rsidRPr="0051246D" w:rsidRDefault="00464FBA" w:rsidP="00464FBA">
            <w:pPr>
              <w:snapToGrid w:val="0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82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CEE550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54028CC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822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69E1F6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</w:p>
        </w:tc>
        <w:tc>
          <w:tcPr>
            <w:tcW w:w="36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0EA1FC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  <w:tc>
          <w:tcPr>
            <w:tcW w:w="365" w:type="pc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269380F" w14:textId="77777777" w:rsidR="00464FBA" w:rsidRPr="0051246D" w:rsidRDefault="00464FBA" w:rsidP="00464FBA">
            <w:pPr>
              <w:snapToGrid w:val="0"/>
              <w:jc w:val="right"/>
              <w:rPr>
                <w:rFonts w:ascii="Calibri" w:hAnsi="Calibri"/>
                <w:sz w:val="18"/>
                <w:szCs w:val="12"/>
                <w:lang w:val="es-ES" w:eastAsia="pt-BR"/>
              </w:rPr>
            </w:pPr>
          </w:p>
        </w:tc>
      </w:tr>
      <w:tr w:rsidR="00293D14" w14:paraId="0496098E" w14:textId="77777777" w:rsidTr="0043555D">
        <w:tblPrEx>
          <w:tblCellMar>
            <w:left w:w="0" w:type="dxa"/>
            <w:right w:w="0" w:type="dxa"/>
          </w:tblCellMar>
        </w:tblPrEx>
        <w:tc>
          <w:tcPr>
            <w:tcW w:w="1803" w:type="pct"/>
            <w:tcBorders>
              <w:top w:val="single" w:sz="1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A1082D" w14:textId="77777777" w:rsidR="00464FBA" w:rsidRPr="0051246D" w:rsidRDefault="0080716B" w:rsidP="00464FBA">
            <w:pPr>
              <w:keepNext/>
              <w:widowControl w:val="0"/>
              <w:numPr>
                <w:ilvl w:val="2"/>
                <w:numId w:val="1"/>
              </w:numPr>
              <w:suppressAutoHyphens/>
              <w:snapToGrid w:val="0"/>
              <w:outlineLvl w:val="2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 xml:space="preserve">Total  </w:t>
            </w:r>
          </w:p>
        </w:tc>
        <w:tc>
          <w:tcPr>
            <w:tcW w:w="824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C391B9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sz w:val="18"/>
                <w:szCs w:val="12"/>
                <w:lang w:val="es-ES"/>
              </w:rPr>
              <w:t>121.421.955.849</w:t>
            </w:r>
          </w:p>
        </w:tc>
        <w:tc>
          <w:tcPr>
            <w:tcW w:w="822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BA24D9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sz w:val="18"/>
                <w:szCs w:val="12"/>
                <w:lang w:val="es-ES"/>
              </w:rPr>
              <w:t>6.416.471.157</w:t>
            </w:r>
          </w:p>
        </w:tc>
        <w:tc>
          <w:tcPr>
            <w:tcW w:w="822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246CFB" w14:textId="77777777" w:rsidR="00464FBA" w:rsidRPr="0051246D" w:rsidRDefault="0080716B" w:rsidP="00464FBA">
            <w:pPr>
              <w:snapToGrid w:val="0"/>
              <w:spacing w:line="100" w:lineRule="atLeast"/>
              <w:jc w:val="right"/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/>
              </w:rPr>
              <w:t>21.568.381.679</w:t>
            </w:r>
          </w:p>
        </w:tc>
        <w:tc>
          <w:tcPr>
            <w:tcW w:w="365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758BFC" w14:textId="77777777" w:rsidR="00464FBA" w:rsidRPr="0051246D" w:rsidRDefault="0080716B" w:rsidP="00464FBA">
            <w:pPr>
              <w:keepNext/>
              <w:widowControl w:val="0"/>
              <w:numPr>
                <w:ilvl w:val="2"/>
                <w:numId w:val="1"/>
              </w:numPr>
              <w:suppressAutoHyphens/>
              <w:snapToGrid w:val="0"/>
              <w:jc w:val="right"/>
              <w:outlineLvl w:val="2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100,0</w:t>
            </w:r>
          </w:p>
        </w:tc>
        <w:tc>
          <w:tcPr>
            <w:tcW w:w="365" w:type="pct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F88223B" w14:textId="77777777" w:rsidR="00464FBA" w:rsidRPr="0051246D" w:rsidRDefault="0080716B" w:rsidP="00464FBA">
            <w:pPr>
              <w:keepNext/>
              <w:widowControl w:val="0"/>
              <w:numPr>
                <w:ilvl w:val="2"/>
                <w:numId w:val="1"/>
              </w:numPr>
              <w:suppressAutoHyphens/>
              <w:snapToGrid w:val="0"/>
              <w:jc w:val="right"/>
              <w:outlineLvl w:val="2"/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</w:pPr>
            <w:r w:rsidRPr="0051246D">
              <w:rPr>
                <w:rFonts w:ascii="Calibri" w:hAnsi="Calibri"/>
                <w:b/>
                <w:bCs/>
                <w:sz w:val="18"/>
                <w:szCs w:val="12"/>
                <w:lang w:val="es-ES" w:eastAsia="pt-BR"/>
              </w:rPr>
              <w:t>100,0</w:t>
            </w:r>
          </w:p>
        </w:tc>
      </w:tr>
    </w:tbl>
    <w:p w14:paraId="0AF93114" w14:textId="77777777" w:rsidR="00464FBA" w:rsidRPr="0051246D" w:rsidRDefault="00464FBA" w:rsidP="00464FBA">
      <w:pPr>
        <w:pStyle w:val="Corpodetexto"/>
        <w:spacing w:after="120"/>
        <w:rPr>
          <w:rFonts w:ascii="Calibri" w:hAnsi="Calibri"/>
          <w:b/>
          <w:color w:val="000000"/>
          <w:sz w:val="18"/>
          <w:szCs w:val="16"/>
        </w:rPr>
      </w:pPr>
    </w:p>
    <w:p w14:paraId="14DC915A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>2</w:t>
      </w:r>
      <w:r w:rsidR="004609E1">
        <w:rPr>
          <w:rFonts w:ascii="Calibri" w:hAnsi="Calibri"/>
          <w:color w:val="000000"/>
          <w:sz w:val="18"/>
          <w:szCs w:val="16"/>
        </w:rPr>
        <w:t>0</w:t>
      </w:r>
      <w:r w:rsidRPr="0051246D">
        <w:rPr>
          <w:rFonts w:ascii="Calibri" w:hAnsi="Calibri"/>
          <w:color w:val="000000"/>
          <w:sz w:val="18"/>
          <w:szCs w:val="16"/>
        </w:rPr>
        <w:t>. Da relação percentual entre gasto efetivo e Dotação Autorizada de cada região, resultam os seguintes coeficientes de desempenho: Nacional, 26,1%; Exterior, 5,2%; Região Norte, 6,2%; Região Nordeste, 15,7%; Região Sudeste, 13,9%; Região Sul, 7,4%; e Região Centro-Oeste, 0,2%.</w:t>
      </w:r>
    </w:p>
    <w:p w14:paraId="6CC0EF4D" w14:textId="77777777" w:rsidR="00464FBA" w:rsidRPr="0051246D" w:rsidRDefault="00464FBA" w:rsidP="00464FBA">
      <w:pPr>
        <w:pStyle w:val="Corpodetexto"/>
        <w:spacing w:after="120"/>
        <w:rPr>
          <w:rFonts w:ascii="Calibri" w:hAnsi="Calibri"/>
          <w:b/>
          <w:color w:val="000000"/>
          <w:sz w:val="18"/>
          <w:szCs w:val="16"/>
        </w:rPr>
      </w:pPr>
    </w:p>
    <w:p w14:paraId="40A9535C" w14:textId="77777777" w:rsidR="00464FBA" w:rsidRPr="0051246D" w:rsidRDefault="0080716B" w:rsidP="00464FBA">
      <w:pPr>
        <w:pStyle w:val="Corpodetexto"/>
        <w:keepNext/>
        <w:spacing w:after="120"/>
        <w:rPr>
          <w:rFonts w:ascii="Calibri" w:hAnsi="Calibri"/>
          <w:b/>
          <w:color w:val="000000"/>
          <w:sz w:val="18"/>
          <w:szCs w:val="16"/>
        </w:rPr>
      </w:pPr>
      <w:r w:rsidRPr="0051246D">
        <w:rPr>
          <w:rFonts w:ascii="Calibri" w:hAnsi="Calibri"/>
          <w:b/>
          <w:color w:val="000000"/>
          <w:sz w:val="18"/>
          <w:szCs w:val="16"/>
        </w:rPr>
        <w:t>Política de aplicação de recursos das agências financeiras oficiais de fomento</w:t>
      </w:r>
    </w:p>
    <w:p w14:paraId="3AEFC9F6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>2</w:t>
      </w:r>
      <w:r w:rsidR="004609E1">
        <w:rPr>
          <w:rFonts w:ascii="Calibri" w:hAnsi="Calibri"/>
          <w:color w:val="000000"/>
          <w:sz w:val="18"/>
          <w:szCs w:val="16"/>
        </w:rPr>
        <w:t>1</w:t>
      </w:r>
      <w:r w:rsidRPr="0051246D">
        <w:rPr>
          <w:rFonts w:ascii="Calibri" w:hAnsi="Calibri"/>
          <w:color w:val="000000"/>
          <w:sz w:val="18"/>
          <w:szCs w:val="16"/>
        </w:rPr>
        <w:t>. As aplicações previstas pelas agências financeiras oficiais de fomento foram definidas em consonância com as prioridades e metas da administração federal e com as disposições constantes da Lei nº 13.898, de 11 de novembro de 2019 (LDO de 2020).</w:t>
      </w:r>
    </w:p>
    <w:p w14:paraId="1C23BE88" w14:textId="77777777" w:rsidR="00464FBA" w:rsidRPr="0051246D" w:rsidRDefault="0080716B" w:rsidP="00464FBA">
      <w:pPr>
        <w:pStyle w:val="Corpodetexto"/>
        <w:spacing w:after="120"/>
        <w:rPr>
          <w:rFonts w:ascii="Calibri" w:hAnsi="Calibri"/>
          <w:color w:val="000000"/>
          <w:sz w:val="18"/>
          <w:szCs w:val="16"/>
        </w:rPr>
      </w:pPr>
      <w:r w:rsidRPr="0051246D">
        <w:rPr>
          <w:rFonts w:ascii="Calibri" w:hAnsi="Calibri"/>
          <w:color w:val="000000"/>
          <w:sz w:val="18"/>
          <w:szCs w:val="16"/>
        </w:rPr>
        <w:t>2</w:t>
      </w:r>
      <w:r w:rsidR="004609E1">
        <w:rPr>
          <w:rFonts w:ascii="Calibri" w:hAnsi="Calibri"/>
          <w:color w:val="000000"/>
          <w:sz w:val="18"/>
          <w:szCs w:val="16"/>
        </w:rPr>
        <w:t>2</w:t>
      </w:r>
      <w:r w:rsidRPr="0051246D">
        <w:rPr>
          <w:rFonts w:ascii="Calibri" w:hAnsi="Calibri"/>
          <w:color w:val="000000"/>
          <w:sz w:val="18"/>
          <w:szCs w:val="16"/>
        </w:rPr>
        <w:t>. As tabelas de 1</w:t>
      </w:r>
      <w:r w:rsidR="00F412F6">
        <w:rPr>
          <w:rFonts w:ascii="Calibri" w:hAnsi="Calibri"/>
          <w:color w:val="000000"/>
          <w:sz w:val="18"/>
          <w:szCs w:val="16"/>
        </w:rPr>
        <w:t>1</w:t>
      </w:r>
      <w:r w:rsidRPr="0051246D">
        <w:rPr>
          <w:rFonts w:ascii="Calibri" w:hAnsi="Calibri"/>
          <w:color w:val="000000"/>
          <w:sz w:val="18"/>
          <w:szCs w:val="16"/>
        </w:rPr>
        <w:t xml:space="preserve"> a 15, a seguir, apresentam demonstrativos consolidados referentes à posição atual do Plano de Aplicação dos Recursos das Agências de Fomento, o acompanhamento do movimento das operações de crédito das agências, até o 2º bimestre de 2020, bem como a origem dos recursos que as sustentaram, em conformidade com o disposto no § 3º do art. 21 da LDO de 2020, tendo presente que: 1) os valores representativos de fluxo das aplicações foram apurados pelas agências financeiras segundo o critério de variação de saldo dos empréstimos e financiamentos, consideradas as apropriações de juros e outros encargos não liquidados, deduzidas as amortizações; e 2) a definição do porte do tomador levou em conta a classificação adotada pelo BNDES.</w:t>
      </w:r>
    </w:p>
    <w:p w14:paraId="22512AEB" w14:textId="77777777" w:rsidR="00464FBA" w:rsidRPr="0051246D" w:rsidRDefault="00464FBA" w:rsidP="00464FBA">
      <w:pPr>
        <w:pStyle w:val="Ttulo4"/>
        <w:rPr>
          <w:bCs w:val="0"/>
          <w:sz w:val="18"/>
          <w:szCs w:val="16"/>
          <w:lang w:val="pt-BR"/>
        </w:rPr>
      </w:pPr>
    </w:p>
    <w:p w14:paraId="1EE8461A" w14:textId="77777777" w:rsidR="00464FBA" w:rsidRPr="0051246D" w:rsidRDefault="00F412F6" w:rsidP="00464FBA">
      <w:pPr>
        <w:pStyle w:val="Ttulo4"/>
        <w:rPr>
          <w:sz w:val="18"/>
          <w:lang w:val="pt-BR"/>
        </w:rPr>
      </w:pPr>
      <w:r>
        <w:rPr>
          <w:bCs w:val="0"/>
          <w:sz w:val="18"/>
          <w:szCs w:val="16"/>
        </w:rPr>
        <w:t>TABELAS 11</w:t>
      </w:r>
      <w:r w:rsidR="0080716B" w:rsidRPr="0051246D">
        <w:rPr>
          <w:bCs w:val="0"/>
          <w:sz w:val="18"/>
          <w:szCs w:val="16"/>
        </w:rPr>
        <w:t xml:space="preserve"> a 1</w:t>
      </w:r>
      <w:r>
        <w:rPr>
          <w:bCs w:val="0"/>
          <w:sz w:val="18"/>
          <w:szCs w:val="16"/>
        </w:rPr>
        <w:t>5</w:t>
      </w:r>
    </w:p>
    <w:sectPr w:rsidR="00464FBA" w:rsidRPr="0051246D" w:rsidSect="00464FBA">
      <w:footerReference w:type="default" r:id="rId8"/>
      <w:pgSz w:w="11907" w:h="16839" w:code="9"/>
      <w:pgMar w:top="1440" w:right="567" w:bottom="144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562E6" w14:textId="77777777" w:rsidR="0047022F" w:rsidRDefault="0047022F">
      <w:r>
        <w:separator/>
      </w:r>
    </w:p>
  </w:endnote>
  <w:endnote w:type="continuationSeparator" w:id="0">
    <w:p w14:paraId="6182B0A5" w14:textId="77777777" w:rsidR="0047022F" w:rsidRDefault="0047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83ED9" w14:textId="17718304" w:rsidR="00CF3869" w:rsidRPr="00985EDC" w:rsidRDefault="00CF3869">
    <w:pPr>
      <w:pStyle w:val="Rodap"/>
      <w:jc w:val="right"/>
      <w:rPr>
        <w:sz w:val="16"/>
        <w:szCs w:val="16"/>
      </w:rPr>
    </w:pPr>
    <w:r w:rsidRPr="00985EDC">
      <w:rPr>
        <w:sz w:val="16"/>
        <w:szCs w:val="16"/>
      </w:rPr>
      <w:fldChar w:fldCharType="begin"/>
    </w:r>
    <w:r w:rsidRPr="00985EDC">
      <w:rPr>
        <w:sz w:val="16"/>
        <w:szCs w:val="16"/>
      </w:rPr>
      <w:instrText>PAGE   \* MERGEFORMAT</w:instrText>
    </w:r>
    <w:r w:rsidRPr="00985EDC">
      <w:rPr>
        <w:sz w:val="16"/>
        <w:szCs w:val="16"/>
      </w:rPr>
      <w:fldChar w:fldCharType="separate"/>
    </w:r>
    <w:r w:rsidR="00604D79" w:rsidRPr="00604D79">
      <w:rPr>
        <w:noProof/>
        <w:sz w:val="16"/>
        <w:szCs w:val="16"/>
        <w:lang w:val="pt-BR"/>
      </w:rPr>
      <w:t>4</w:t>
    </w:r>
    <w:r w:rsidRPr="00985EDC">
      <w:rPr>
        <w:sz w:val="16"/>
        <w:szCs w:val="16"/>
      </w:rPr>
      <w:fldChar w:fldCharType="end"/>
    </w:r>
  </w:p>
  <w:p w14:paraId="46DFD5E9" w14:textId="77777777" w:rsidR="00CF3869" w:rsidRDefault="00CF38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046F4" w14:textId="77777777" w:rsidR="0047022F" w:rsidRDefault="0047022F">
      <w:r>
        <w:separator/>
      </w:r>
    </w:p>
  </w:footnote>
  <w:footnote w:type="continuationSeparator" w:id="0">
    <w:p w14:paraId="74A60130" w14:textId="77777777" w:rsidR="0047022F" w:rsidRDefault="00470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F6312C"/>
    <w:multiLevelType w:val="hybridMultilevel"/>
    <w:tmpl w:val="4108460C"/>
    <w:lvl w:ilvl="0" w:tplc="12CA1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8A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743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69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6A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E1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8B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4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0EC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14"/>
    <w:rsid w:val="001229D0"/>
    <w:rsid w:val="0023529E"/>
    <w:rsid w:val="002807DE"/>
    <w:rsid w:val="00293D14"/>
    <w:rsid w:val="003232C9"/>
    <w:rsid w:val="003D0AFE"/>
    <w:rsid w:val="0043555D"/>
    <w:rsid w:val="004609E1"/>
    <w:rsid w:val="00464FBA"/>
    <w:rsid w:val="0047022F"/>
    <w:rsid w:val="004B7F82"/>
    <w:rsid w:val="00526867"/>
    <w:rsid w:val="00567072"/>
    <w:rsid w:val="005716F0"/>
    <w:rsid w:val="0057369C"/>
    <w:rsid w:val="005F496A"/>
    <w:rsid w:val="00604D79"/>
    <w:rsid w:val="0066284C"/>
    <w:rsid w:val="006835E3"/>
    <w:rsid w:val="00685A41"/>
    <w:rsid w:val="00687D9F"/>
    <w:rsid w:val="007254A2"/>
    <w:rsid w:val="00790E43"/>
    <w:rsid w:val="007C23DA"/>
    <w:rsid w:val="007D7032"/>
    <w:rsid w:val="0080716B"/>
    <w:rsid w:val="0080761A"/>
    <w:rsid w:val="00910DA2"/>
    <w:rsid w:val="00924C02"/>
    <w:rsid w:val="009357C3"/>
    <w:rsid w:val="009440E8"/>
    <w:rsid w:val="009B302C"/>
    <w:rsid w:val="00A65260"/>
    <w:rsid w:val="00AA3FC6"/>
    <w:rsid w:val="00AB180E"/>
    <w:rsid w:val="00B052FD"/>
    <w:rsid w:val="00B078A4"/>
    <w:rsid w:val="00B07B77"/>
    <w:rsid w:val="00C30DFC"/>
    <w:rsid w:val="00CF3869"/>
    <w:rsid w:val="00D250B5"/>
    <w:rsid w:val="00DC0F46"/>
    <w:rsid w:val="00E312B2"/>
    <w:rsid w:val="00E412DE"/>
    <w:rsid w:val="00F412F6"/>
    <w:rsid w:val="00FB0580"/>
    <w:rsid w:val="00FB42D8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D9776E"/>
  <w15:docId w15:val="{7587114E-EFDB-4A0C-B49A-F0D8DC17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84F6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84F6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F03F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A97AD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21BE1"/>
    <w:pPr>
      <w:keepNext/>
      <w:spacing w:after="160"/>
      <w:jc w:val="center"/>
      <w:outlineLvl w:val="6"/>
    </w:pPr>
    <w:rPr>
      <w:b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rsid w:val="00D21BE1"/>
    <w:rPr>
      <w:b/>
      <w:sz w:val="24"/>
      <w:lang w:val="pt-BR" w:eastAsia="pt-BR"/>
    </w:rPr>
  </w:style>
  <w:style w:type="paragraph" w:customStyle="1" w:styleId="xl30">
    <w:name w:val="xl30"/>
    <w:basedOn w:val="Normal"/>
    <w:rsid w:val="00D21BE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lang w:val="pt-BR" w:eastAsia="pt-BR"/>
    </w:rPr>
  </w:style>
  <w:style w:type="paragraph" w:customStyle="1" w:styleId="xl24">
    <w:name w:val="xl24"/>
    <w:basedOn w:val="Normal"/>
    <w:rsid w:val="00D21BE1"/>
    <w:pPr>
      <w:spacing w:before="100" w:beforeAutospacing="1" w:after="100" w:afterAutospacing="1"/>
    </w:pPr>
    <w:rPr>
      <w:rFonts w:eastAsia="Arial Unicode MS"/>
      <w:lang w:val="pt-BR" w:eastAsia="pt-BR"/>
    </w:rPr>
  </w:style>
  <w:style w:type="character" w:customStyle="1" w:styleId="Ttulo5Char">
    <w:name w:val="Título 5 Char"/>
    <w:link w:val="Ttulo5"/>
    <w:semiHidden/>
    <w:rsid w:val="00A97AD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A97AD1"/>
    <w:pPr>
      <w:jc w:val="both"/>
    </w:pPr>
    <w:rPr>
      <w:rFonts w:ascii="Courier New" w:hAnsi="Courier New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A97AD1"/>
    <w:rPr>
      <w:rFonts w:ascii="Courier New" w:hAnsi="Courier New"/>
      <w:sz w:val="24"/>
      <w:lang w:val="pt-BR" w:eastAsia="pt-BR"/>
    </w:rPr>
  </w:style>
  <w:style w:type="character" w:customStyle="1" w:styleId="Ttulo2Char">
    <w:name w:val="Título 2 Char"/>
    <w:link w:val="Ttulo2"/>
    <w:semiHidden/>
    <w:rsid w:val="00884F6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884F6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har">
    <w:name w:val="Título 4 Char"/>
    <w:link w:val="Ttulo4"/>
    <w:rsid w:val="00F03F71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rsid w:val="00F03F71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3F71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F03F71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link w:val="TextosemFormatao"/>
    <w:uiPriority w:val="99"/>
    <w:rsid w:val="00F03F71"/>
    <w:rPr>
      <w:rFonts w:ascii="Courier New" w:hAnsi="Courier New" w:cs="Courier New"/>
      <w:lang w:val="pt-BR" w:eastAsia="pt-BR"/>
    </w:rPr>
  </w:style>
  <w:style w:type="table" w:styleId="Tabelacomgrade">
    <w:name w:val="Table Grid"/>
    <w:basedOn w:val="Tabelanormal"/>
    <w:rsid w:val="00D0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985E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85EDC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985ED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85ED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39303-88F2-45EE-8F30-795584C4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3850</Words>
  <Characters>20793</Characters>
  <Application>Microsoft Office Word</Application>
  <DocSecurity>0</DocSecurity>
  <Lines>173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Heber Trigueiro</dc:creator>
  <cp:lastModifiedBy>Hp</cp:lastModifiedBy>
  <cp:revision>6</cp:revision>
  <dcterms:created xsi:type="dcterms:W3CDTF">2020-05-26T22:58:00Z</dcterms:created>
  <dcterms:modified xsi:type="dcterms:W3CDTF">2020-05-27T17:50:00Z</dcterms:modified>
</cp:coreProperties>
</file>