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94" w:rsidRDefault="00BD2469" w:rsidP="00DA2A94">
      <w:pPr>
        <w:pStyle w:val="Ttulo1"/>
        <w:spacing w:before="95"/>
        <w:ind w:left="0" w:right="0"/>
      </w:pPr>
      <w:r>
        <w:t>APÊNDICE III</w:t>
      </w:r>
    </w:p>
    <w:p w:rsidR="00DA2A94" w:rsidRDefault="00DA2A94" w:rsidP="00DA2A94">
      <w:pPr>
        <w:pStyle w:val="Corpodetexto"/>
        <w:spacing w:before="5"/>
        <w:rPr>
          <w:b/>
          <w:sz w:val="23"/>
        </w:rPr>
      </w:pPr>
    </w:p>
    <w:p w:rsidR="00DA2A94" w:rsidRDefault="00DA2A94" w:rsidP="00BD2469">
      <w:pPr>
        <w:jc w:val="center"/>
        <w:rPr>
          <w:rFonts w:ascii="Times New Roman"/>
          <w:b/>
        </w:rPr>
      </w:pPr>
      <w:r>
        <w:rPr>
          <w:rFonts w:ascii="Times New Roman" w:hAnsi="Times New Roman"/>
          <w:b/>
          <w:w w:val="105"/>
        </w:rPr>
        <w:t>INSTRUMENTO DE MEDIÇÃO DE RESULTADO (IMR)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1106"/>
        <w:gridCol w:w="803"/>
        <w:gridCol w:w="431"/>
        <w:gridCol w:w="731"/>
        <w:gridCol w:w="428"/>
        <w:gridCol w:w="1091"/>
      </w:tblGrid>
      <w:tr w:rsidR="00DA2A94" w:rsidTr="00DA2A94">
        <w:trPr>
          <w:trHeight w:val="328"/>
          <w:jc w:val="center"/>
        </w:trPr>
        <w:tc>
          <w:tcPr>
            <w:tcW w:w="7985" w:type="dxa"/>
            <w:gridSpan w:val="7"/>
            <w:shd w:val="clear" w:color="auto" w:fill="BFBFBF"/>
          </w:tcPr>
          <w:p w:rsidR="00DA2A94" w:rsidRDefault="00DA2A94" w:rsidP="00BD2469">
            <w:pPr>
              <w:pStyle w:val="TableParagraph"/>
              <w:keepNext/>
              <w:spacing w:before="4"/>
              <w:ind w:left="3544" w:right="35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Indicador</w:t>
            </w:r>
          </w:p>
        </w:tc>
      </w:tr>
      <w:tr w:rsidR="00DA2A94" w:rsidTr="00DA2A94">
        <w:trPr>
          <w:trHeight w:val="545"/>
          <w:jc w:val="center"/>
        </w:trPr>
        <w:tc>
          <w:tcPr>
            <w:tcW w:w="7985" w:type="dxa"/>
            <w:gridSpan w:val="7"/>
            <w:shd w:val="clear" w:color="auto" w:fill="D9D9D9"/>
          </w:tcPr>
          <w:p w:rsidR="00DA2A94" w:rsidRDefault="00DA2A94" w:rsidP="00BD2469">
            <w:pPr>
              <w:pStyle w:val="TableParagraph"/>
              <w:keepNext/>
              <w:spacing w:before="4" w:line="249" w:lineRule="auto"/>
              <w:ind w:left="2140" w:hanging="15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Nº 01 - ENTREGA DOS UNIFORMES AOS FUNCIONÁRIOS DA CONTRATADA LOCADOS NAS DEPENDÊNCIAS DA </w:t>
            </w:r>
            <w:r w:rsidR="00C64EC9">
              <w:rPr>
                <w:b/>
                <w:w w:val="105"/>
                <w:sz w:val="18"/>
              </w:rPr>
              <w:t>SRA-ME/RJ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3"/>
              <w:ind w:left="1480" w:right="147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590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3"/>
              <w:ind w:left="1818" w:right="181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3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Finalidade</w:t>
            </w:r>
          </w:p>
        </w:tc>
        <w:tc>
          <w:tcPr>
            <w:tcW w:w="4590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3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Cumprimento integral do documento contratual.</w:t>
            </w:r>
          </w:p>
        </w:tc>
      </w:tr>
      <w:tr w:rsidR="00DA2A94" w:rsidTr="00DA2A94">
        <w:trPr>
          <w:trHeight w:val="545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1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 a cumprir</w:t>
            </w:r>
          </w:p>
        </w:tc>
        <w:tc>
          <w:tcPr>
            <w:tcW w:w="4590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3" w:line="249" w:lineRule="auto"/>
              <w:ind w:left="98" w:right="7"/>
              <w:rPr>
                <w:sz w:val="18"/>
              </w:rPr>
            </w:pPr>
            <w:r>
              <w:rPr>
                <w:w w:val="105"/>
                <w:sz w:val="18"/>
              </w:rPr>
              <w:t>Entrega de uniformes nos prazos previstos no Termo de Referência.</w:t>
            </w:r>
          </w:p>
        </w:tc>
      </w:tr>
      <w:tr w:rsidR="00DA2A94" w:rsidTr="00DA2A94">
        <w:trPr>
          <w:trHeight w:val="541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10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Instrumento de medição</w:t>
            </w:r>
          </w:p>
        </w:tc>
        <w:tc>
          <w:tcPr>
            <w:tcW w:w="4590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1" w:line="249" w:lineRule="auto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Recibo de recebimento dos uniformes emitido pelo fiscal do contrato.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4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Forma de acompanhamento</w:t>
            </w:r>
          </w:p>
        </w:tc>
        <w:tc>
          <w:tcPr>
            <w:tcW w:w="4590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4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Relatório Mensal de Fiscalização.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Periodicidade</w:t>
            </w:r>
          </w:p>
        </w:tc>
        <w:tc>
          <w:tcPr>
            <w:tcW w:w="4590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1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Nos prazos previstos no Termo de Referência.</w:t>
            </w:r>
          </w:p>
        </w:tc>
      </w:tr>
      <w:tr w:rsidR="00DA2A94" w:rsidTr="00DA2A94">
        <w:trPr>
          <w:trHeight w:val="1091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rPr>
                <w:rFonts w:ascii="Times New Roman"/>
                <w:b/>
                <w:sz w:val="20"/>
              </w:rPr>
            </w:pPr>
          </w:p>
          <w:p w:rsidR="00DA2A94" w:rsidRDefault="00DA2A94" w:rsidP="00BD2469">
            <w:pPr>
              <w:pStyle w:val="TableParagraph"/>
              <w:keepNext/>
              <w:spacing w:before="153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Mecanismo de Cálculo</w:t>
            </w:r>
          </w:p>
        </w:tc>
        <w:tc>
          <w:tcPr>
            <w:tcW w:w="4590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2"/>
              <w:ind w:lef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Pontuação: índice da ocorrência = 0,1</w:t>
            </w:r>
          </w:p>
          <w:p w:rsidR="00DA2A94" w:rsidRDefault="00DA2A94" w:rsidP="00BD2469">
            <w:pPr>
              <w:pStyle w:val="TableParagraph"/>
              <w:keepNext/>
              <w:spacing w:before="124" w:line="249" w:lineRule="auto"/>
              <w:ind w:left="98" w:right="9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Cálculo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(X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número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terceirizado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atraso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recebimento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uniforme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atraso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índice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 ocorrência)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Início de Vigência</w:t>
            </w:r>
          </w:p>
        </w:tc>
        <w:tc>
          <w:tcPr>
            <w:tcW w:w="4590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1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Data de assinatura do contrato.</w:t>
            </w:r>
          </w:p>
        </w:tc>
      </w:tr>
      <w:tr w:rsidR="00DA2A94" w:rsidTr="00DA2A94">
        <w:trPr>
          <w:trHeight w:val="544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09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Faixas de ajuste no pagamento</w:t>
            </w:r>
          </w:p>
        </w:tc>
        <w:tc>
          <w:tcPr>
            <w:tcW w:w="1106" w:type="dxa"/>
            <w:tcBorders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1" w:line="249" w:lineRule="auto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 xml:space="preserve">Conforme </w:t>
            </w:r>
            <w:r>
              <w:rPr>
                <w:sz w:val="18"/>
              </w:rPr>
              <w:t>acumulada.</w:t>
            </w:r>
          </w:p>
        </w:tc>
        <w:tc>
          <w:tcPr>
            <w:tcW w:w="803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1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descrito</w:t>
            </w:r>
          </w:p>
        </w:tc>
        <w:tc>
          <w:tcPr>
            <w:tcW w:w="431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1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na</w:t>
            </w:r>
          </w:p>
        </w:tc>
        <w:tc>
          <w:tcPr>
            <w:tcW w:w="731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1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tabela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1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de</w:t>
            </w:r>
          </w:p>
        </w:tc>
        <w:tc>
          <w:tcPr>
            <w:tcW w:w="1091" w:type="dxa"/>
            <w:tcBorders>
              <w:left w:val="nil"/>
            </w:tcBorders>
          </w:tcPr>
          <w:p w:rsidR="00DA2A94" w:rsidRDefault="00DA2A94" w:rsidP="00BD2469">
            <w:pPr>
              <w:pStyle w:val="TableParagraph"/>
              <w:keepNext/>
              <w:spacing w:before="1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pontuação</w:t>
            </w:r>
          </w:p>
        </w:tc>
      </w:tr>
      <w:tr w:rsidR="00DA2A94" w:rsidTr="00DA2A94">
        <w:trPr>
          <w:trHeight w:val="542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09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Sanções</w:t>
            </w:r>
          </w:p>
        </w:tc>
        <w:tc>
          <w:tcPr>
            <w:tcW w:w="4590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1" w:line="252" w:lineRule="auto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Aplicadas em conformidade com o do termo de referência.</w:t>
            </w:r>
          </w:p>
        </w:tc>
      </w:tr>
      <w:tr w:rsidR="00DA2A94" w:rsidTr="00DA2A94">
        <w:trPr>
          <w:trHeight w:val="330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6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Observações</w:t>
            </w:r>
          </w:p>
        </w:tc>
        <w:tc>
          <w:tcPr>
            <w:tcW w:w="4590" w:type="dxa"/>
            <w:gridSpan w:val="6"/>
          </w:tcPr>
          <w:p w:rsidR="00DA2A94" w:rsidRDefault="00DA2A94" w:rsidP="00BD2469">
            <w:pPr>
              <w:pStyle w:val="TableParagraph"/>
              <w:keepNext/>
              <w:rPr>
                <w:rFonts w:ascii="Times New Roman"/>
                <w:sz w:val="16"/>
              </w:rPr>
            </w:pPr>
          </w:p>
        </w:tc>
      </w:tr>
    </w:tbl>
    <w:p w:rsidR="00BD2469" w:rsidRDefault="00BD2469" w:rsidP="00BD2469">
      <w:pPr>
        <w:pStyle w:val="Corpodetexto"/>
        <w:keepNext/>
        <w:spacing w:before="4"/>
        <w:rPr>
          <w:rFonts w:ascii="Times New Roman"/>
          <w:b/>
          <w:sz w:val="28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4589"/>
      </w:tblGrid>
      <w:tr w:rsidR="00DA2A94" w:rsidTr="00DA2A94">
        <w:trPr>
          <w:trHeight w:val="328"/>
          <w:jc w:val="center"/>
        </w:trPr>
        <w:tc>
          <w:tcPr>
            <w:tcW w:w="7984" w:type="dxa"/>
            <w:gridSpan w:val="2"/>
            <w:shd w:val="clear" w:color="auto" w:fill="BFBFBF"/>
          </w:tcPr>
          <w:p w:rsidR="00DA2A94" w:rsidRDefault="00DA2A94" w:rsidP="00BD2469">
            <w:pPr>
              <w:pStyle w:val="TableParagraph"/>
              <w:keepNext/>
              <w:spacing w:before="6"/>
              <w:ind w:left="3544" w:right="353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Indicador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7984" w:type="dxa"/>
            <w:gridSpan w:val="2"/>
            <w:shd w:val="clear" w:color="auto" w:fill="D9D9D9"/>
          </w:tcPr>
          <w:p w:rsidR="00DA2A94" w:rsidRDefault="00DA2A94" w:rsidP="00BD2469">
            <w:pPr>
              <w:pStyle w:val="TableParagraph"/>
              <w:keepNext/>
              <w:spacing w:before="6"/>
              <w:ind w:left="16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Nº 02 - ENTREGA DO EPI AOS FUNCIONÁRIOS DA CONTRATADA LOTADOS NA </w:t>
            </w:r>
            <w:r w:rsidR="00C64EC9">
              <w:rPr>
                <w:b/>
                <w:w w:val="105"/>
                <w:sz w:val="18"/>
              </w:rPr>
              <w:t>SRA-ME/RJ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6"/>
              <w:ind w:left="1480" w:right="147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589" w:type="dxa"/>
          </w:tcPr>
          <w:p w:rsidR="00DA2A94" w:rsidRDefault="00DA2A94" w:rsidP="00BD2469">
            <w:pPr>
              <w:pStyle w:val="TableParagraph"/>
              <w:keepNext/>
              <w:spacing w:before="6"/>
              <w:ind w:left="1818" w:right="181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6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Finalidade</w:t>
            </w:r>
          </w:p>
        </w:tc>
        <w:tc>
          <w:tcPr>
            <w:tcW w:w="4589" w:type="dxa"/>
          </w:tcPr>
          <w:p w:rsidR="00DA2A94" w:rsidRDefault="00DA2A94" w:rsidP="00BD2469">
            <w:pPr>
              <w:pStyle w:val="TableParagraph"/>
              <w:keepNext/>
              <w:spacing w:before="6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Cumprimento integral do documento contratual.</w:t>
            </w:r>
          </w:p>
        </w:tc>
      </w:tr>
      <w:tr w:rsidR="00DA2A94" w:rsidTr="00DA2A94">
        <w:trPr>
          <w:trHeight w:val="545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12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 a cumprir</w:t>
            </w:r>
          </w:p>
        </w:tc>
        <w:tc>
          <w:tcPr>
            <w:tcW w:w="4589" w:type="dxa"/>
          </w:tcPr>
          <w:p w:rsidR="00DA2A94" w:rsidRDefault="00DA2A94" w:rsidP="00BD2469">
            <w:pPr>
              <w:pStyle w:val="TableParagraph"/>
              <w:keepNext/>
              <w:spacing w:before="6" w:line="247" w:lineRule="auto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Entrega de EPI, com a devida reposição nos prazos previstos no Termo de Referência.</w:t>
            </w:r>
          </w:p>
        </w:tc>
      </w:tr>
      <w:tr w:rsidR="00DA2A94" w:rsidTr="00DA2A94">
        <w:trPr>
          <w:trHeight w:val="545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10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Instrumento de medição</w:t>
            </w:r>
          </w:p>
        </w:tc>
        <w:tc>
          <w:tcPr>
            <w:tcW w:w="4589" w:type="dxa"/>
          </w:tcPr>
          <w:p w:rsidR="00DA2A94" w:rsidRDefault="00DA2A94" w:rsidP="00BD2469">
            <w:pPr>
              <w:pStyle w:val="TableParagraph"/>
              <w:keepNext/>
              <w:spacing w:before="3" w:line="249" w:lineRule="auto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Recibo de entrega dos EPIs ao funcionário emitido pela contratada.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Forma de acompanhamento</w:t>
            </w:r>
          </w:p>
        </w:tc>
        <w:tc>
          <w:tcPr>
            <w:tcW w:w="4589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Relatório Mensal de Fiscalização.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Periodicidade</w:t>
            </w:r>
          </w:p>
        </w:tc>
        <w:tc>
          <w:tcPr>
            <w:tcW w:w="4589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Nos prazos previstos no Termo de Referência.</w:t>
            </w:r>
          </w:p>
        </w:tc>
      </w:tr>
      <w:tr w:rsidR="00DA2A94" w:rsidTr="00DA2A94">
        <w:trPr>
          <w:trHeight w:val="328"/>
          <w:jc w:val="center"/>
        </w:trPr>
        <w:tc>
          <w:tcPr>
            <w:tcW w:w="3395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Mecanismo de Cálculo</w:t>
            </w:r>
          </w:p>
        </w:tc>
        <w:tc>
          <w:tcPr>
            <w:tcW w:w="4589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Pontuação: índice da ocorrência = 0,2</w:t>
            </w:r>
          </w:p>
        </w:tc>
      </w:tr>
    </w:tbl>
    <w:p w:rsidR="00DA2A94" w:rsidRDefault="00DA2A94" w:rsidP="00BD2469">
      <w:pPr>
        <w:keepNext/>
        <w:rPr>
          <w:sz w:val="18"/>
        </w:rPr>
        <w:sectPr w:rsidR="00DA2A94">
          <w:pgSz w:w="11910" w:h="16840"/>
          <w:pgMar w:top="1580" w:right="940" w:bottom="2080" w:left="1480" w:header="0" w:footer="1883" w:gutter="0"/>
          <w:cols w:space="720"/>
        </w:sect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1079"/>
        <w:gridCol w:w="2103"/>
        <w:gridCol w:w="352"/>
        <w:gridCol w:w="1056"/>
      </w:tblGrid>
      <w:tr w:rsidR="00DA2A94" w:rsidTr="000170D5">
        <w:trPr>
          <w:trHeight w:val="759"/>
        </w:trPr>
        <w:tc>
          <w:tcPr>
            <w:tcW w:w="3396" w:type="dxa"/>
          </w:tcPr>
          <w:p w:rsidR="00DA2A94" w:rsidRDefault="00DA2A94" w:rsidP="00BD2469">
            <w:pPr>
              <w:pStyle w:val="TableParagraph"/>
              <w:keepNext/>
              <w:rPr>
                <w:rFonts w:ascii="Times New Roman"/>
                <w:sz w:val="16"/>
              </w:rPr>
            </w:pPr>
          </w:p>
        </w:tc>
        <w:tc>
          <w:tcPr>
            <w:tcW w:w="4590" w:type="dxa"/>
            <w:gridSpan w:val="4"/>
          </w:tcPr>
          <w:p w:rsidR="00DA2A94" w:rsidRDefault="00DA2A94" w:rsidP="00BD2469">
            <w:pPr>
              <w:pStyle w:val="TableParagraph"/>
              <w:keepNext/>
              <w:spacing w:line="249" w:lineRule="auto"/>
              <w:ind w:left="100" w:right="9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Cálculo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(X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número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terceirizado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atraso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recebimento do EPIs x dias de atraso da entrega do EPIs x índice da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ocorrência)</w:t>
            </w:r>
          </w:p>
        </w:tc>
      </w:tr>
      <w:tr w:rsidR="00DA2A94" w:rsidTr="000170D5">
        <w:trPr>
          <w:trHeight w:val="328"/>
        </w:trPr>
        <w:tc>
          <w:tcPr>
            <w:tcW w:w="3396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10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Início de Vigência</w:t>
            </w:r>
          </w:p>
        </w:tc>
        <w:tc>
          <w:tcPr>
            <w:tcW w:w="4590" w:type="dxa"/>
            <w:gridSpan w:val="4"/>
          </w:tcPr>
          <w:p w:rsidR="00DA2A94" w:rsidRDefault="00DA2A94" w:rsidP="00BD2469">
            <w:pPr>
              <w:pStyle w:val="TableParagraph"/>
              <w:keepNext/>
              <w:spacing w:before="1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Data de assinatura do contrato.</w:t>
            </w:r>
          </w:p>
        </w:tc>
      </w:tr>
      <w:tr w:rsidR="00DA2A94" w:rsidTr="000170D5">
        <w:trPr>
          <w:trHeight w:val="544"/>
        </w:trPr>
        <w:tc>
          <w:tcPr>
            <w:tcW w:w="3396" w:type="dxa"/>
          </w:tcPr>
          <w:p w:rsidR="00DA2A94" w:rsidRDefault="00DA2A94" w:rsidP="00BD2469">
            <w:pPr>
              <w:pStyle w:val="TableParagraph"/>
              <w:keepNext/>
              <w:spacing w:before="109"/>
              <w:ind w:left="10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Faixas de ajuste no pagamento</w:t>
            </w:r>
          </w:p>
        </w:tc>
        <w:tc>
          <w:tcPr>
            <w:tcW w:w="1079" w:type="dxa"/>
            <w:tcBorders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1" w:line="249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 xml:space="preserve">Conforme </w:t>
            </w:r>
            <w:r>
              <w:rPr>
                <w:sz w:val="18"/>
              </w:rPr>
              <w:t>acumulada.</w:t>
            </w:r>
          </w:p>
        </w:tc>
        <w:tc>
          <w:tcPr>
            <w:tcW w:w="2103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tabs>
                <w:tab w:val="left" w:pos="945"/>
                <w:tab w:val="left" w:pos="1377"/>
              </w:tabs>
              <w:spacing w:before="1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descrito</w:t>
            </w:r>
            <w:r>
              <w:rPr>
                <w:w w:val="105"/>
                <w:sz w:val="18"/>
              </w:rPr>
              <w:tab/>
              <w:t>na</w:t>
            </w:r>
            <w:r>
              <w:rPr>
                <w:w w:val="105"/>
                <w:sz w:val="18"/>
              </w:rPr>
              <w:tab/>
              <w:t>tabela</w:t>
            </w:r>
          </w:p>
        </w:tc>
        <w:tc>
          <w:tcPr>
            <w:tcW w:w="352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1"/>
              <w:ind w:left="4"/>
              <w:rPr>
                <w:sz w:val="18"/>
              </w:rPr>
            </w:pPr>
            <w:r>
              <w:rPr>
                <w:w w:val="105"/>
                <w:sz w:val="18"/>
              </w:rPr>
              <w:t>de</w:t>
            </w:r>
          </w:p>
        </w:tc>
        <w:tc>
          <w:tcPr>
            <w:tcW w:w="1056" w:type="dxa"/>
            <w:tcBorders>
              <w:left w:val="nil"/>
            </w:tcBorders>
          </w:tcPr>
          <w:p w:rsidR="00DA2A94" w:rsidRDefault="00DA2A94" w:rsidP="00BD2469">
            <w:pPr>
              <w:pStyle w:val="TableParagraph"/>
              <w:keepNext/>
              <w:spacing w:before="1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pontuação</w:t>
            </w:r>
          </w:p>
        </w:tc>
      </w:tr>
      <w:tr w:rsidR="00DA2A94" w:rsidTr="000170D5">
        <w:trPr>
          <w:trHeight w:val="545"/>
        </w:trPr>
        <w:tc>
          <w:tcPr>
            <w:tcW w:w="3396" w:type="dxa"/>
          </w:tcPr>
          <w:p w:rsidR="00DA2A94" w:rsidRDefault="00DA2A94" w:rsidP="00BD2469">
            <w:pPr>
              <w:pStyle w:val="TableParagraph"/>
              <w:keepNext/>
              <w:spacing w:before="109"/>
              <w:ind w:left="10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Sanções</w:t>
            </w:r>
          </w:p>
        </w:tc>
        <w:tc>
          <w:tcPr>
            <w:tcW w:w="1079" w:type="dxa"/>
            <w:tcBorders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1" w:line="249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 xml:space="preserve">Aplicadas </w:t>
            </w:r>
            <w:r>
              <w:rPr>
                <w:sz w:val="18"/>
              </w:rPr>
              <w:t>referência.</w:t>
            </w:r>
          </w:p>
        </w:tc>
        <w:tc>
          <w:tcPr>
            <w:tcW w:w="2103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1"/>
              <w:ind w:left="10" w:right="-15"/>
              <w:rPr>
                <w:sz w:val="18"/>
              </w:rPr>
            </w:pPr>
            <w:r>
              <w:rPr>
                <w:w w:val="105"/>
                <w:sz w:val="18"/>
              </w:rPr>
              <w:t>em conformidade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</w:p>
        </w:tc>
        <w:tc>
          <w:tcPr>
            <w:tcW w:w="352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1"/>
              <w:ind w:left="175"/>
              <w:rPr>
                <w:sz w:val="18"/>
              </w:rPr>
            </w:pPr>
            <w:r>
              <w:rPr>
                <w:w w:val="104"/>
                <w:sz w:val="18"/>
              </w:rPr>
              <w:t>o</w:t>
            </w:r>
          </w:p>
        </w:tc>
        <w:tc>
          <w:tcPr>
            <w:tcW w:w="1056" w:type="dxa"/>
            <w:tcBorders>
              <w:left w:val="nil"/>
            </w:tcBorders>
          </w:tcPr>
          <w:p w:rsidR="00DA2A94" w:rsidRDefault="00DA2A94" w:rsidP="00BD2469">
            <w:pPr>
              <w:pStyle w:val="TableParagraph"/>
              <w:keepNext/>
              <w:spacing w:before="1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termo de</w:t>
            </w:r>
          </w:p>
        </w:tc>
      </w:tr>
      <w:tr w:rsidR="00DA2A94" w:rsidTr="000170D5">
        <w:trPr>
          <w:trHeight w:val="328"/>
        </w:trPr>
        <w:tc>
          <w:tcPr>
            <w:tcW w:w="3396" w:type="dxa"/>
          </w:tcPr>
          <w:p w:rsidR="00DA2A94" w:rsidRDefault="00DA2A94" w:rsidP="00BD2469">
            <w:pPr>
              <w:pStyle w:val="TableParagraph"/>
              <w:keepNext/>
              <w:spacing w:line="207" w:lineRule="exact"/>
              <w:ind w:left="10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Observações</w:t>
            </w:r>
          </w:p>
        </w:tc>
        <w:tc>
          <w:tcPr>
            <w:tcW w:w="4590" w:type="dxa"/>
            <w:gridSpan w:val="4"/>
          </w:tcPr>
          <w:p w:rsidR="00DA2A94" w:rsidRDefault="00DA2A94" w:rsidP="00BD2469">
            <w:pPr>
              <w:pStyle w:val="TableParagraph"/>
              <w:keepNext/>
              <w:rPr>
                <w:rFonts w:ascii="Times New Roman"/>
                <w:sz w:val="16"/>
              </w:rPr>
            </w:pPr>
          </w:p>
        </w:tc>
      </w:tr>
    </w:tbl>
    <w:p w:rsidR="00DA2A94" w:rsidRDefault="00DA2A94" w:rsidP="00BD2469">
      <w:pPr>
        <w:pStyle w:val="Corpodetexto"/>
        <w:keepNext/>
        <w:spacing w:before="5" w:after="1"/>
        <w:rPr>
          <w:rFonts w:ascii="Times New Roman"/>
          <w:b/>
          <w:sz w:val="28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1115"/>
        <w:gridCol w:w="819"/>
        <w:gridCol w:w="443"/>
        <w:gridCol w:w="746"/>
        <w:gridCol w:w="443"/>
        <w:gridCol w:w="1098"/>
      </w:tblGrid>
      <w:tr w:rsidR="00DA2A94" w:rsidTr="000170D5">
        <w:trPr>
          <w:trHeight w:val="328"/>
        </w:trPr>
        <w:tc>
          <w:tcPr>
            <w:tcW w:w="8110" w:type="dxa"/>
            <w:gridSpan w:val="7"/>
            <w:shd w:val="clear" w:color="auto" w:fill="BFBFBF"/>
          </w:tcPr>
          <w:p w:rsidR="00DA2A94" w:rsidRDefault="00DA2A94" w:rsidP="00BD2469">
            <w:pPr>
              <w:pStyle w:val="TableParagraph"/>
              <w:keepNext/>
              <w:spacing w:before="3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Indicador</w:t>
            </w:r>
          </w:p>
        </w:tc>
      </w:tr>
      <w:tr w:rsidR="00DA2A94" w:rsidTr="000170D5">
        <w:trPr>
          <w:trHeight w:val="761"/>
        </w:trPr>
        <w:tc>
          <w:tcPr>
            <w:tcW w:w="8110" w:type="dxa"/>
            <w:gridSpan w:val="7"/>
            <w:shd w:val="clear" w:color="auto" w:fill="D9D9D9"/>
          </w:tcPr>
          <w:p w:rsidR="00DA2A94" w:rsidRDefault="00DA2A94" w:rsidP="00BD2469">
            <w:pPr>
              <w:pStyle w:val="TableParagraph"/>
              <w:keepNext/>
              <w:spacing w:before="3" w:line="249" w:lineRule="auto"/>
              <w:ind w:left="438" w:right="42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Nº 03 - SUBSTITUIÇÃO DOS COLABORADORES EM CASO DE AFASTAMENTOS LEGAIS OU POR RENDIMENTO INSATISFATÓRIO OU QUE TENHA CONDUTA INCOMPATÍVEL COM SUAS ATRIBUIÇÕES</w:t>
            </w:r>
          </w:p>
        </w:tc>
      </w:tr>
      <w:tr w:rsidR="00DA2A94" w:rsidTr="000170D5">
        <w:trPr>
          <w:trHeight w:val="328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1506" w:right="150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664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1"/>
              <w:ind w:left="1858" w:right="18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</w:tr>
      <w:tr w:rsidR="00DA2A94" w:rsidTr="000170D5">
        <w:trPr>
          <w:trHeight w:val="328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2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Finalidade</w:t>
            </w:r>
          </w:p>
        </w:tc>
        <w:tc>
          <w:tcPr>
            <w:tcW w:w="4664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2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Cumprimento integral do documento contratual.</w:t>
            </w:r>
          </w:p>
        </w:tc>
      </w:tr>
      <w:tr w:rsidR="00DA2A94" w:rsidTr="000170D5">
        <w:trPr>
          <w:trHeight w:val="976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6"/>
              <w:rPr>
                <w:rFonts w:ascii="Times New Roman"/>
                <w:b/>
                <w:sz w:val="28"/>
              </w:rPr>
            </w:pPr>
          </w:p>
          <w:p w:rsidR="00DA2A94" w:rsidRDefault="00DA2A94" w:rsidP="00BD2469">
            <w:pPr>
              <w:pStyle w:val="TableParagraph"/>
              <w:keepNext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 a cumprir</w:t>
            </w:r>
          </w:p>
        </w:tc>
        <w:tc>
          <w:tcPr>
            <w:tcW w:w="4664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2" w:line="249" w:lineRule="auto"/>
              <w:ind w:left="103" w:right="9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Assegurar a substituição dos empregados nas ausências decorrentes de férias, licença médica ou outros afastamentos legais conforme descrito no Termo de Referência.</w:t>
            </w:r>
          </w:p>
        </w:tc>
      </w:tr>
      <w:tr w:rsidR="00DA2A94" w:rsidTr="000170D5">
        <w:trPr>
          <w:trHeight w:val="328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2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Instrumento de medição</w:t>
            </w:r>
          </w:p>
        </w:tc>
        <w:tc>
          <w:tcPr>
            <w:tcW w:w="4664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2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Fiscalização in loco.</w:t>
            </w:r>
          </w:p>
        </w:tc>
      </w:tr>
      <w:tr w:rsidR="00DA2A94" w:rsidTr="000170D5">
        <w:trPr>
          <w:trHeight w:val="328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Forma de acompanhamento</w:t>
            </w:r>
          </w:p>
        </w:tc>
        <w:tc>
          <w:tcPr>
            <w:tcW w:w="4664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1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Relatório Mensal de Fiscalização.</w:t>
            </w:r>
          </w:p>
        </w:tc>
      </w:tr>
      <w:tr w:rsidR="00DA2A94" w:rsidTr="000170D5">
        <w:trPr>
          <w:trHeight w:val="328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Periodicidade</w:t>
            </w:r>
          </w:p>
        </w:tc>
        <w:tc>
          <w:tcPr>
            <w:tcW w:w="4664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1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Mensal.</w:t>
            </w:r>
          </w:p>
        </w:tc>
      </w:tr>
      <w:tr w:rsidR="00DA2A94" w:rsidTr="000170D5">
        <w:trPr>
          <w:trHeight w:val="873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10"/>
              <w:rPr>
                <w:rFonts w:ascii="Times New Roman"/>
                <w:b/>
                <w:sz w:val="23"/>
              </w:rPr>
            </w:pPr>
          </w:p>
          <w:p w:rsidR="00DA2A94" w:rsidRDefault="00DA2A94" w:rsidP="00BD2469">
            <w:pPr>
              <w:pStyle w:val="TableParagraph"/>
              <w:keepNext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Mecanismo de Cálculo</w:t>
            </w:r>
          </w:p>
        </w:tc>
        <w:tc>
          <w:tcPr>
            <w:tcW w:w="4664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1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Pontuação: índice da ocorrência = 0,2</w:t>
            </w:r>
          </w:p>
          <w:p w:rsidR="00DA2A94" w:rsidRDefault="00DA2A94" w:rsidP="00BD2469">
            <w:pPr>
              <w:pStyle w:val="TableParagraph"/>
              <w:keepNext/>
              <w:spacing w:before="122" w:line="254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Cálculo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(X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número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postos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reposição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dias de atraso na reposição x índice da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ocorrência)</w:t>
            </w:r>
          </w:p>
        </w:tc>
      </w:tr>
      <w:tr w:rsidR="00DA2A94" w:rsidTr="000170D5">
        <w:trPr>
          <w:trHeight w:val="328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4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Início de Vigência</w:t>
            </w:r>
          </w:p>
        </w:tc>
        <w:tc>
          <w:tcPr>
            <w:tcW w:w="4664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4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Data de assinatura do contrato.</w:t>
            </w:r>
          </w:p>
        </w:tc>
      </w:tr>
      <w:tr w:rsidR="00DA2A94" w:rsidTr="000170D5">
        <w:trPr>
          <w:trHeight w:val="545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112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Faixas de ajuste no pagamento</w:t>
            </w:r>
          </w:p>
        </w:tc>
        <w:tc>
          <w:tcPr>
            <w:tcW w:w="1115" w:type="dxa"/>
            <w:tcBorders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4" w:line="249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 xml:space="preserve">Conforme </w:t>
            </w:r>
            <w:r>
              <w:rPr>
                <w:sz w:val="18"/>
              </w:rPr>
              <w:t>acumulada.</w:t>
            </w:r>
          </w:p>
        </w:tc>
        <w:tc>
          <w:tcPr>
            <w:tcW w:w="819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4"/>
              <w:ind w:left="49"/>
              <w:rPr>
                <w:sz w:val="18"/>
              </w:rPr>
            </w:pPr>
            <w:r>
              <w:rPr>
                <w:w w:val="105"/>
                <w:sz w:val="18"/>
              </w:rPr>
              <w:t>descrito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4"/>
              <w:ind w:left="123"/>
              <w:rPr>
                <w:sz w:val="18"/>
              </w:rPr>
            </w:pPr>
            <w:r>
              <w:rPr>
                <w:w w:val="105"/>
                <w:sz w:val="18"/>
              </w:rPr>
              <w:t>na</w:t>
            </w:r>
          </w:p>
        </w:tc>
        <w:tc>
          <w:tcPr>
            <w:tcW w:w="746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4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tabela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:rsidR="00DA2A94" w:rsidRDefault="00DA2A94" w:rsidP="00BD2469">
            <w:pPr>
              <w:pStyle w:val="TableParagraph"/>
              <w:keepNext/>
              <w:spacing w:before="4"/>
              <w:ind w:left="124"/>
              <w:rPr>
                <w:sz w:val="18"/>
              </w:rPr>
            </w:pPr>
            <w:r>
              <w:rPr>
                <w:w w:val="105"/>
                <w:sz w:val="18"/>
              </w:rPr>
              <w:t>de</w:t>
            </w:r>
          </w:p>
        </w:tc>
        <w:tc>
          <w:tcPr>
            <w:tcW w:w="1098" w:type="dxa"/>
            <w:tcBorders>
              <w:left w:val="nil"/>
            </w:tcBorders>
          </w:tcPr>
          <w:p w:rsidR="00DA2A94" w:rsidRDefault="00DA2A94" w:rsidP="00BD2469">
            <w:pPr>
              <w:pStyle w:val="TableParagraph"/>
              <w:keepNext/>
              <w:spacing w:before="4"/>
              <w:ind w:left="123"/>
              <w:rPr>
                <w:sz w:val="18"/>
              </w:rPr>
            </w:pPr>
            <w:r>
              <w:rPr>
                <w:w w:val="105"/>
                <w:sz w:val="18"/>
              </w:rPr>
              <w:t>pontuação</w:t>
            </w:r>
          </w:p>
        </w:tc>
      </w:tr>
      <w:tr w:rsidR="00DA2A94" w:rsidTr="000170D5">
        <w:trPr>
          <w:trHeight w:val="543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11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Sanções</w:t>
            </w:r>
          </w:p>
        </w:tc>
        <w:tc>
          <w:tcPr>
            <w:tcW w:w="4664" w:type="dxa"/>
            <w:gridSpan w:val="6"/>
          </w:tcPr>
          <w:p w:rsidR="00DA2A94" w:rsidRDefault="00DA2A94" w:rsidP="00BD2469">
            <w:pPr>
              <w:pStyle w:val="TableParagraph"/>
              <w:keepNext/>
              <w:spacing w:before="3" w:line="249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Aplicadas em conformidade com o termo de referência.</w:t>
            </w:r>
          </w:p>
        </w:tc>
      </w:tr>
      <w:tr w:rsidR="00DA2A94" w:rsidTr="000170D5">
        <w:trPr>
          <w:trHeight w:val="330"/>
        </w:trPr>
        <w:tc>
          <w:tcPr>
            <w:tcW w:w="3446" w:type="dxa"/>
          </w:tcPr>
          <w:p w:rsidR="00DA2A94" w:rsidRDefault="00DA2A94" w:rsidP="00BD2469">
            <w:pPr>
              <w:pStyle w:val="TableParagraph"/>
              <w:keepNext/>
              <w:spacing w:before="4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Observações</w:t>
            </w:r>
          </w:p>
        </w:tc>
        <w:tc>
          <w:tcPr>
            <w:tcW w:w="4664" w:type="dxa"/>
            <w:gridSpan w:val="6"/>
          </w:tcPr>
          <w:p w:rsidR="00DA2A94" w:rsidRDefault="00DA2A94" w:rsidP="00BD2469">
            <w:pPr>
              <w:pStyle w:val="TableParagraph"/>
              <w:keepNext/>
              <w:rPr>
                <w:rFonts w:ascii="Times New Roman"/>
                <w:sz w:val="16"/>
              </w:rPr>
            </w:pPr>
          </w:p>
        </w:tc>
      </w:tr>
    </w:tbl>
    <w:p w:rsidR="00DA2A94" w:rsidRDefault="00DA2A94" w:rsidP="00BD2469">
      <w:pPr>
        <w:pStyle w:val="Corpodetexto"/>
        <w:keepNext/>
        <w:spacing w:before="9"/>
        <w:rPr>
          <w:rFonts w:ascii="Times New Roman"/>
          <w:b/>
          <w:sz w:val="19"/>
        </w:rPr>
      </w:pPr>
    </w:p>
    <w:p w:rsidR="00DA2A94" w:rsidRDefault="00DA2A94" w:rsidP="00BD2469">
      <w:pPr>
        <w:pStyle w:val="Ttulo2"/>
        <w:keepNext/>
        <w:spacing w:before="100"/>
        <w:ind w:left="3530"/>
      </w:pPr>
      <w:r>
        <w:rPr>
          <w:w w:val="105"/>
        </w:rPr>
        <w:t>Tabela de Pontuação Acumulada:</w:t>
      </w:r>
    </w:p>
    <w:p w:rsidR="00DA2A94" w:rsidRDefault="00DA2A94" w:rsidP="00BD2469">
      <w:pPr>
        <w:pStyle w:val="Corpodetexto"/>
        <w:keepNext/>
        <w:spacing w:before="5"/>
        <w:rPr>
          <w:b/>
          <w:sz w:val="19"/>
        </w:rPr>
      </w:pP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5328"/>
      </w:tblGrid>
      <w:tr w:rsidR="00DA2A94" w:rsidTr="000170D5">
        <w:trPr>
          <w:trHeight w:val="215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4" w:line="192" w:lineRule="exact"/>
              <w:ind w:left="77" w:right="17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PONTUAÇÃO ACUMULADA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4" w:line="192" w:lineRule="exact"/>
              <w:ind w:left="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PERCENTUAL DA GLOSA</w:t>
            </w:r>
          </w:p>
        </w:tc>
      </w:tr>
      <w:tr w:rsidR="00DA2A94" w:rsidTr="000170D5">
        <w:trPr>
          <w:trHeight w:val="594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9"/>
              <w:rPr>
                <w:b/>
                <w:sz w:val="16"/>
              </w:rPr>
            </w:pPr>
          </w:p>
          <w:p w:rsidR="00DA2A94" w:rsidRDefault="00DA2A94" w:rsidP="00BD2469">
            <w:pPr>
              <w:pStyle w:val="TableParagraph"/>
              <w:keepNext/>
              <w:ind w:left="77" w:right="7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 (um) ponto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9"/>
              <w:rPr>
                <w:b/>
                <w:sz w:val="16"/>
              </w:rPr>
            </w:pPr>
          </w:p>
          <w:p w:rsidR="00DA2A94" w:rsidRDefault="00DA2A94" w:rsidP="00BD2469">
            <w:pPr>
              <w:pStyle w:val="TableParagraph"/>
              <w:keepNext/>
              <w:ind w:right="120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Não há glosa, apenas advertência.</w:t>
            </w:r>
          </w:p>
        </w:tc>
      </w:tr>
      <w:tr w:rsidR="00DA2A94" w:rsidTr="000170D5">
        <w:trPr>
          <w:trHeight w:val="508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150"/>
              <w:ind w:left="77" w:right="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 (dois) pontos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150"/>
              <w:ind w:right="120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Não há glosa, apenas advertência.</w:t>
            </w:r>
          </w:p>
        </w:tc>
      </w:tr>
      <w:tr w:rsidR="00DA2A94" w:rsidTr="000170D5">
        <w:trPr>
          <w:trHeight w:val="509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150"/>
              <w:ind w:left="77" w:right="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 (três) pontos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42" w:line="249" w:lineRule="auto"/>
              <w:ind w:left="1645" w:hanging="1347"/>
              <w:rPr>
                <w:sz w:val="18"/>
              </w:rPr>
            </w:pPr>
            <w:r>
              <w:rPr>
                <w:w w:val="105"/>
                <w:sz w:val="18"/>
              </w:rPr>
              <w:t>Glosa correspondente a 1% do valor faturado do mês de apuração da pontuação.</w:t>
            </w:r>
          </w:p>
        </w:tc>
      </w:tr>
      <w:tr w:rsidR="00DA2A94" w:rsidTr="000170D5">
        <w:trPr>
          <w:trHeight w:val="509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149"/>
              <w:ind w:left="77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 (quatro) pontos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41" w:line="249" w:lineRule="auto"/>
              <w:ind w:left="1672" w:hanging="1450"/>
              <w:rPr>
                <w:sz w:val="18"/>
              </w:rPr>
            </w:pPr>
            <w:r>
              <w:rPr>
                <w:w w:val="105"/>
                <w:sz w:val="18"/>
              </w:rPr>
              <w:t>Glosa correspondente a 1,5% do valor faturado do mês de apuração da pontuação</w:t>
            </w:r>
          </w:p>
        </w:tc>
      </w:tr>
      <w:tr w:rsidR="00DA2A94" w:rsidTr="000170D5">
        <w:trPr>
          <w:trHeight w:val="508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147"/>
              <w:ind w:left="77" w:right="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 (cinco) pontos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40" w:line="249" w:lineRule="auto"/>
              <w:ind w:left="1645" w:hanging="1347"/>
              <w:rPr>
                <w:sz w:val="18"/>
              </w:rPr>
            </w:pPr>
            <w:r>
              <w:rPr>
                <w:w w:val="105"/>
                <w:sz w:val="18"/>
              </w:rPr>
              <w:t>Glosa correspondente a 2% do valor faturado do mês de apuração da pontuação.</w:t>
            </w:r>
          </w:p>
        </w:tc>
      </w:tr>
    </w:tbl>
    <w:p w:rsidR="00DA2A94" w:rsidRDefault="00DA2A94" w:rsidP="00BD2469">
      <w:pPr>
        <w:keepNext/>
        <w:spacing w:line="249" w:lineRule="auto"/>
        <w:rPr>
          <w:sz w:val="18"/>
        </w:rPr>
        <w:sectPr w:rsidR="00DA2A94">
          <w:pgSz w:w="11910" w:h="16840"/>
          <w:pgMar w:top="1320" w:right="940" w:bottom="2080" w:left="1480" w:header="0" w:footer="1883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5328"/>
      </w:tblGrid>
      <w:tr w:rsidR="00DA2A94" w:rsidTr="000170D5">
        <w:trPr>
          <w:trHeight w:val="509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146"/>
              <w:ind w:left="77" w:right="7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6 (seis) pontos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38" w:line="249" w:lineRule="auto"/>
              <w:ind w:left="1648" w:hanging="1424"/>
              <w:rPr>
                <w:sz w:val="18"/>
              </w:rPr>
            </w:pPr>
            <w:r>
              <w:rPr>
                <w:w w:val="105"/>
                <w:sz w:val="18"/>
              </w:rPr>
              <w:t>Glosa correspondente a 2,5% do valor faturado do mês de apuração da pontuação.</w:t>
            </w:r>
          </w:p>
        </w:tc>
      </w:tr>
      <w:tr w:rsidR="00DA2A94" w:rsidTr="000170D5">
        <w:trPr>
          <w:trHeight w:val="652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9"/>
              <w:rPr>
                <w:b/>
                <w:sz w:val="18"/>
              </w:rPr>
            </w:pPr>
          </w:p>
          <w:p w:rsidR="00DA2A94" w:rsidRDefault="00DA2A94" w:rsidP="00BD2469">
            <w:pPr>
              <w:pStyle w:val="TableParagraph"/>
              <w:keepNext/>
              <w:spacing w:before="1"/>
              <w:ind w:left="77" w:right="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 (sete) pontos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109" w:line="249" w:lineRule="auto"/>
              <w:ind w:left="1648" w:hanging="1347"/>
              <w:rPr>
                <w:sz w:val="18"/>
              </w:rPr>
            </w:pPr>
            <w:r>
              <w:rPr>
                <w:w w:val="105"/>
                <w:sz w:val="18"/>
              </w:rPr>
              <w:t>Glosa correspondente a 3% do valor faturado do mês de apuração da pontuação.</w:t>
            </w:r>
          </w:p>
        </w:tc>
      </w:tr>
      <w:tr w:rsidR="00DA2A94" w:rsidTr="000170D5">
        <w:trPr>
          <w:trHeight w:val="662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3"/>
              <w:rPr>
                <w:b/>
                <w:sz w:val="19"/>
              </w:rPr>
            </w:pPr>
          </w:p>
          <w:p w:rsidR="00DA2A94" w:rsidRDefault="00DA2A94" w:rsidP="00BD2469">
            <w:pPr>
              <w:pStyle w:val="TableParagraph"/>
              <w:keepNext/>
              <w:ind w:left="77" w:right="6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 (oito) pontos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114" w:line="252" w:lineRule="auto"/>
              <w:ind w:left="1648" w:hanging="1424"/>
              <w:rPr>
                <w:sz w:val="18"/>
              </w:rPr>
            </w:pPr>
            <w:r>
              <w:rPr>
                <w:w w:val="105"/>
                <w:sz w:val="18"/>
              </w:rPr>
              <w:t>Glosa correspondente a 3,5% do valor faturado do mês de apuração da pontuação.</w:t>
            </w:r>
          </w:p>
        </w:tc>
      </w:tr>
      <w:tr w:rsidR="00DA2A94" w:rsidTr="000170D5">
        <w:trPr>
          <w:trHeight w:val="659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5"/>
              <w:rPr>
                <w:b/>
                <w:sz w:val="19"/>
              </w:rPr>
            </w:pPr>
          </w:p>
          <w:p w:rsidR="00DA2A94" w:rsidRDefault="00DA2A94" w:rsidP="00BD2469">
            <w:pPr>
              <w:pStyle w:val="TableParagraph"/>
              <w:keepNext/>
              <w:ind w:left="77" w:right="7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 (nove) pontos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113" w:line="254" w:lineRule="auto"/>
              <w:ind w:left="1648" w:hanging="1347"/>
              <w:rPr>
                <w:sz w:val="18"/>
              </w:rPr>
            </w:pPr>
            <w:r>
              <w:rPr>
                <w:w w:val="105"/>
                <w:sz w:val="18"/>
              </w:rPr>
              <w:t>Glosa correspondente a 4% do valor faturado do mês de apuração da pontuação.</w:t>
            </w:r>
          </w:p>
        </w:tc>
      </w:tr>
      <w:tr w:rsidR="00DA2A94" w:rsidTr="000170D5">
        <w:trPr>
          <w:trHeight w:val="663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8"/>
              <w:rPr>
                <w:b/>
                <w:sz w:val="19"/>
              </w:rPr>
            </w:pPr>
          </w:p>
          <w:p w:rsidR="00DA2A94" w:rsidRDefault="00DA2A94" w:rsidP="00BD2469">
            <w:pPr>
              <w:pStyle w:val="TableParagraph"/>
              <w:keepNext/>
              <w:ind w:left="77" w:right="7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 (dez) pontos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118" w:line="247" w:lineRule="auto"/>
              <w:ind w:left="1648" w:hanging="1424"/>
              <w:rPr>
                <w:sz w:val="18"/>
              </w:rPr>
            </w:pPr>
            <w:r>
              <w:rPr>
                <w:w w:val="105"/>
                <w:sz w:val="18"/>
              </w:rPr>
              <w:t>Glosa correspondente a 4,5% do valor faturado do mês de apuração da pontuação.</w:t>
            </w:r>
          </w:p>
        </w:tc>
      </w:tr>
      <w:tr w:rsidR="00DA2A94" w:rsidTr="000170D5">
        <w:trPr>
          <w:trHeight w:val="662"/>
        </w:trPr>
        <w:tc>
          <w:tcPr>
            <w:tcW w:w="2801" w:type="dxa"/>
          </w:tcPr>
          <w:p w:rsidR="00DA2A94" w:rsidRDefault="00DA2A94" w:rsidP="00BD2469">
            <w:pPr>
              <w:pStyle w:val="TableParagraph"/>
              <w:keepNext/>
              <w:spacing w:before="4"/>
              <w:rPr>
                <w:b/>
                <w:sz w:val="19"/>
              </w:rPr>
            </w:pPr>
          </w:p>
          <w:p w:rsidR="00DA2A94" w:rsidRDefault="00DA2A94" w:rsidP="00BD2469">
            <w:pPr>
              <w:pStyle w:val="TableParagraph"/>
              <w:keepNext/>
              <w:ind w:left="77" w:right="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Acima de 10 (dez) pontos</w:t>
            </w:r>
          </w:p>
        </w:tc>
        <w:tc>
          <w:tcPr>
            <w:tcW w:w="5328" w:type="dxa"/>
          </w:tcPr>
          <w:p w:rsidR="00DA2A94" w:rsidRDefault="00DA2A94" w:rsidP="00BD2469">
            <w:pPr>
              <w:pStyle w:val="TableParagraph"/>
              <w:keepNext/>
              <w:spacing w:before="117" w:line="247" w:lineRule="auto"/>
              <w:ind w:left="1648" w:hanging="1347"/>
              <w:rPr>
                <w:sz w:val="18"/>
              </w:rPr>
            </w:pPr>
            <w:r>
              <w:rPr>
                <w:w w:val="105"/>
                <w:sz w:val="18"/>
              </w:rPr>
              <w:t>Glosa correspondente a 5% do valor faturado do mês de apuração da pontuação.</w:t>
            </w:r>
          </w:p>
        </w:tc>
      </w:tr>
    </w:tbl>
    <w:p w:rsidR="00DA2A94" w:rsidRDefault="00DA2A94" w:rsidP="00BD2469">
      <w:pPr>
        <w:keepNext/>
      </w:pPr>
    </w:p>
    <w:p w:rsidR="00DA2A94" w:rsidRDefault="00DA2A94" w:rsidP="00BD2469">
      <w:pPr>
        <w:keepNext/>
      </w:pPr>
    </w:p>
    <w:sectPr w:rsidR="00DA2A94">
      <w:footerReference w:type="even" r:id="rId6"/>
      <w:pgSz w:w="11910" w:h="16840"/>
      <w:pgMar w:top="1320" w:right="940" w:bottom="1980" w:left="1480" w:header="0" w:footer="1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545" w:rsidRDefault="00CF1545">
      <w:r>
        <w:separator/>
      </w:r>
    </w:p>
  </w:endnote>
  <w:endnote w:type="continuationSeparator" w:id="0">
    <w:p w:rsidR="00CF1545" w:rsidRDefault="00CF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22" w:rsidRDefault="00DA2A9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9371330</wp:posOffset>
              </wp:positionV>
              <wp:extent cx="4057015" cy="1270"/>
              <wp:effectExtent l="0" t="0" r="0" b="0"/>
              <wp:wrapNone/>
              <wp:docPr id="2" name="Forma Livre: 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57015" cy="1270"/>
                      </a:xfrm>
                      <a:custGeom>
                        <a:avLst/>
                        <a:gdLst>
                          <a:gd name="T0" fmla="+- 0 1584 1584"/>
                          <a:gd name="T1" fmla="*/ T0 w 6389"/>
                          <a:gd name="T2" fmla="+- 0 2143 1584"/>
                          <a:gd name="T3" fmla="*/ T2 w 6389"/>
                          <a:gd name="T4" fmla="+- 0 2148 1584"/>
                          <a:gd name="T5" fmla="*/ T4 w 6389"/>
                          <a:gd name="T6" fmla="+- 0 2707 1584"/>
                          <a:gd name="T7" fmla="*/ T6 w 6389"/>
                          <a:gd name="T8" fmla="+- 0 2712 1584"/>
                          <a:gd name="T9" fmla="*/ T8 w 6389"/>
                          <a:gd name="T10" fmla="+- 0 3271 1584"/>
                          <a:gd name="T11" fmla="*/ T10 w 6389"/>
                          <a:gd name="T12" fmla="+- 0 3276 1584"/>
                          <a:gd name="T13" fmla="*/ T12 w 6389"/>
                          <a:gd name="T14" fmla="+- 0 3835 1584"/>
                          <a:gd name="T15" fmla="*/ T14 w 6389"/>
                          <a:gd name="T16" fmla="+- 0 3840 1584"/>
                          <a:gd name="T17" fmla="*/ T16 w 6389"/>
                          <a:gd name="T18" fmla="+- 0 4399 1584"/>
                          <a:gd name="T19" fmla="*/ T18 w 6389"/>
                          <a:gd name="T20" fmla="+- 0 4404 1584"/>
                          <a:gd name="T21" fmla="*/ T20 w 6389"/>
                          <a:gd name="T22" fmla="+- 0 4963 1584"/>
                          <a:gd name="T23" fmla="*/ T22 w 6389"/>
                          <a:gd name="T24" fmla="+- 0 4968 1584"/>
                          <a:gd name="T25" fmla="*/ T24 w 6389"/>
                          <a:gd name="T26" fmla="+- 0 5527 1584"/>
                          <a:gd name="T27" fmla="*/ T26 w 6389"/>
                          <a:gd name="T28" fmla="+- 0 5532 1584"/>
                          <a:gd name="T29" fmla="*/ T28 w 6389"/>
                          <a:gd name="T30" fmla="+- 0 6091 1584"/>
                          <a:gd name="T31" fmla="*/ T30 w 6389"/>
                          <a:gd name="T32" fmla="+- 0 6096 1584"/>
                          <a:gd name="T33" fmla="*/ T32 w 6389"/>
                          <a:gd name="T34" fmla="+- 0 6655 1584"/>
                          <a:gd name="T35" fmla="*/ T34 w 6389"/>
                          <a:gd name="T36" fmla="+- 0 6660 1584"/>
                          <a:gd name="T37" fmla="*/ T36 w 6389"/>
                          <a:gd name="T38" fmla="+- 0 7219 1584"/>
                          <a:gd name="T39" fmla="*/ T38 w 6389"/>
                          <a:gd name="T40" fmla="+- 0 7224 1584"/>
                          <a:gd name="T41" fmla="*/ T40 w 6389"/>
                          <a:gd name="T42" fmla="+- 0 7783 1584"/>
                          <a:gd name="T43" fmla="*/ T42 w 6389"/>
                          <a:gd name="T44" fmla="+- 0 7788 1584"/>
                          <a:gd name="T45" fmla="*/ T44 w 6389"/>
                          <a:gd name="T46" fmla="+- 0 7972 1584"/>
                          <a:gd name="T47" fmla="*/ T46 w 638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  <a:cxn ang="0">
                            <a:pos x="T29" y="0"/>
                          </a:cxn>
                          <a:cxn ang="0">
                            <a:pos x="T31" y="0"/>
                          </a:cxn>
                          <a:cxn ang="0">
                            <a:pos x="T33" y="0"/>
                          </a:cxn>
                          <a:cxn ang="0">
                            <a:pos x="T35" y="0"/>
                          </a:cxn>
                          <a:cxn ang="0">
                            <a:pos x="T37" y="0"/>
                          </a:cxn>
                          <a:cxn ang="0">
                            <a:pos x="T39" y="0"/>
                          </a:cxn>
                          <a:cxn ang="0">
                            <a:pos x="T41" y="0"/>
                          </a:cxn>
                          <a:cxn ang="0">
                            <a:pos x="T43" y="0"/>
                          </a:cxn>
                          <a:cxn ang="0">
                            <a:pos x="T45" y="0"/>
                          </a:cxn>
                          <a:cxn ang="0">
                            <a:pos x="T47" y="0"/>
                          </a:cxn>
                        </a:cxnLst>
                        <a:rect l="0" t="0" r="r" b="b"/>
                        <a:pathLst>
                          <a:path w="6389">
                            <a:moveTo>
                              <a:pt x="0" y="0"/>
                            </a:moveTo>
                            <a:lnTo>
                              <a:pt x="559" y="0"/>
                            </a:lnTo>
                            <a:moveTo>
                              <a:pt x="564" y="0"/>
                            </a:moveTo>
                            <a:lnTo>
                              <a:pt x="1123" y="0"/>
                            </a:lnTo>
                            <a:moveTo>
                              <a:pt x="1128" y="0"/>
                            </a:moveTo>
                            <a:lnTo>
                              <a:pt x="1687" y="0"/>
                            </a:lnTo>
                            <a:moveTo>
                              <a:pt x="1692" y="0"/>
                            </a:moveTo>
                            <a:lnTo>
                              <a:pt x="2251" y="0"/>
                            </a:lnTo>
                            <a:moveTo>
                              <a:pt x="2256" y="0"/>
                            </a:moveTo>
                            <a:lnTo>
                              <a:pt x="2815" y="0"/>
                            </a:lnTo>
                            <a:moveTo>
                              <a:pt x="2820" y="0"/>
                            </a:moveTo>
                            <a:lnTo>
                              <a:pt x="3379" y="0"/>
                            </a:lnTo>
                            <a:moveTo>
                              <a:pt x="3384" y="0"/>
                            </a:moveTo>
                            <a:lnTo>
                              <a:pt x="3943" y="0"/>
                            </a:lnTo>
                            <a:moveTo>
                              <a:pt x="3948" y="0"/>
                            </a:moveTo>
                            <a:lnTo>
                              <a:pt x="4507" y="0"/>
                            </a:lnTo>
                            <a:moveTo>
                              <a:pt x="4512" y="0"/>
                            </a:moveTo>
                            <a:lnTo>
                              <a:pt x="5071" y="0"/>
                            </a:lnTo>
                            <a:moveTo>
                              <a:pt x="5076" y="0"/>
                            </a:moveTo>
                            <a:lnTo>
                              <a:pt x="5635" y="0"/>
                            </a:lnTo>
                            <a:moveTo>
                              <a:pt x="5640" y="0"/>
                            </a:moveTo>
                            <a:lnTo>
                              <a:pt x="6199" y="0"/>
                            </a:lnTo>
                            <a:moveTo>
                              <a:pt x="6204" y="0"/>
                            </a:moveTo>
                            <a:lnTo>
                              <a:pt x="6388" y="0"/>
                            </a:lnTo>
                          </a:path>
                        </a:pathLst>
                      </a:custGeom>
                      <a:noFill/>
                      <a:ln w="475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33DE999" id="Forma Livre: Forma 2" o:spid="_x0000_s1026" style="position:absolute;margin-left:79.2pt;margin-top:737.9pt;width:319.4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" path="m,l559,t5,l1123,t5,l1687,t5,l2251,t5,l2815,t5,l3379,t5,l3943,t5,l4507,t5,l5071,t5,l5635,t5,l6199,t5,l6388,e" filled="f" strokeweight=".1321mm">
              <v:path arrowok="t" o:connecttype="custom" o:connectlocs="0,0;354965,0;358140,0;713105,0;716280,0;1071245,0;1074420,0;1429385,0;1432560,0;1787525,0;1790700,0;2145665,0;2148840,0;2503805,0;2506980,0;2861945,0;2865120,0;3220085,0;3223260,0;3578225,0;3581400,0;3936365,0;3939540,0;4056380,0" o:connectangles="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9369425</wp:posOffset>
              </wp:positionV>
              <wp:extent cx="3465830" cy="27051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583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222" w:rsidRDefault="009E7489">
                          <w:pPr>
                            <w:spacing w:before="19" w:line="244" w:lineRule="auto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Comissão</w:t>
                          </w:r>
                          <w:r>
                            <w:rPr>
                              <w:spacing w:val="-14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Permanente</w:t>
                          </w:r>
                          <w:r>
                            <w:rPr>
                              <w:spacing w:val="-13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de</w:t>
                          </w:r>
                          <w:r>
                            <w:rPr>
                              <w:spacing w:val="-14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Modelos</w:t>
                          </w:r>
                          <w:r>
                            <w:rPr>
                              <w:spacing w:val="-11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de</w:t>
                          </w:r>
                          <w:r>
                            <w:rPr>
                              <w:spacing w:val="-13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Licitações</w:t>
                          </w:r>
                          <w:r>
                            <w:rPr>
                              <w:spacing w:val="-14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e</w:t>
                          </w:r>
                          <w:r>
                            <w:rPr>
                              <w:spacing w:val="-13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Contratos</w:t>
                          </w:r>
                          <w:r>
                            <w:rPr>
                              <w:spacing w:val="-14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Administrativos</w:t>
                          </w:r>
                          <w:r>
                            <w:rPr>
                              <w:spacing w:val="-13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spacing w:val="-14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Consultoria-Geral</w:t>
                          </w:r>
                          <w:r>
                            <w:rPr>
                              <w:spacing w:val="-13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spacing w:val="-14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União Edital modelo para Pregão Eletrônico: Serviços Continuados com Dedicação Exclusiva de Mão de Obra Atualização:</w:t>
                          </w:r>
                          <w:r>
                            <w:rPr>
                              <w:spacing w:val="29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>Dezembro/2018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8.2pt;margin-top:737.75pt;width:272.9pt;height:2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" filled="f" stroked="f">
              <v:textbox inset="0,0,0,0">
                <w:txbxContent>
                  <w:p w:rsidR="003B2222" w:rsidRDefault="009E7489">
                    <w:pPr>
                      <w:spacing w:before="19" w:line="244" w:lineRule="auto"/>
                      <w:ind w:left="20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Comissão</w:t>
                    </w:r>
                    <w:r>
                      <w:rPr>
                        <w:spacing w:val="-14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Permanente</w:t>
                    </w:r>
                    <w:r>
                      <w:rPr>
                        <w:spacing w:val="-1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4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Modelos</w:t>
                    </w:r>
                    <w:r>
                      <w:rPr>
                        <w:spacing w:val="-1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Licitações</w:t>
                    </w:r>
                    <w:r>
                      <w:rPr>
                        <w:spacing w:val="-14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1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Contratos</w:t>
                    </w:r>
                    <w:r>
                      <w:rPr>
                        <w:spacing w:val="-14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Administrativos</w:t>
                    </w:r>
                    <w:r>
                      <w:rPr>
                        <w:spacing w:val="-1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da</w:t>
                    </w:r>
                    <w:r>
                      <w:rPr>
                        <w:spacing w:val="-14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Consultoria-Geral</w:t>
                    </w:r>
                    <w:r>
                      <w:rPr>
                        <w:spacing w:val="-1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da</w:t>
                    </w:r>
                    <w:r>
                      <w:rPr>
                        <w:spacing w:val="-14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União Edital modelo para Pregão Eletrônico: Serviços Continuados com Dedicação Exclusiva de Mão de Obra Atualização: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Dezembro/2018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545" w:rsidRDefault="00CF1545">
      <w:r>
        <w:separator/>
      </w:r>
    </w:p>
  </w:footnote>
  <w:footnote w:type="continuationSeparator" w:id="0">
    <w:p w:rsidR="00CF1545" w:rsidRDefault="00CF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94"/>
    <w:rsid w:val="009E7489"/>
    <w:rsid w:val="00BD2469"/>
    <w:rsid w:val="00BE7C91"/>
    <w:rsid w:val="00C64EC9"/>
    <w:rsid w:val="00CF1545"/>
    <w:rsid w:val="00D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64BAF"/>
  <w15:chartTrackingRefBased/>
  <w15:docId w15:val="{2BF8B443-47BD-45C6-BCD8-9AAFDC8D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A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DA2A94"/>
    <w:pPr>
      <w:ind w:left="2938" w:right="2624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9"/>
    <w:unhideWhenUsed/>
    <w:qFormat/>
    <w:rsid w:val="00DA2A94"/>
    <w:pPr>
      <w:ind w:left="1303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2A94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A2A94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DA2A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2A94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A2A94"/>
    <w:rPr>
      <w:rFonts w:ascii="Arial" w:eastAsia="Arial" w:hAnsi="Arial" w:cs="Arial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DA2A94"/>
  </w:style>
  <w:style w:type="paragraph" w:customStyle="1" w:styleId="cabecalhoalinhadoesquerda">
    <w:name w:val="cabecalho_alinhado_esquerda"/>
    <w:basedOn w:val="Normal"/>
    <w:rsid w:val="00BD2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SRTE/RJ - Hélio da Câmara Paiva</dc:creator>
  <cp:keywords/>
  <dc:description/>
  <cp:lastModifiedBy>SRTE/RJ - Hélio da Câmara Paiva</cp:lastModifiedBy>
  <cp:revision>3</cp:revision>
  <dcterms:created xsi:type="dcterms:W3CDTF">2022-05-30T19:31:00Z</dcterms:created>
  <dcterms:modified xsi:type="dcterms:W3CDTF">2022-05-30T19:35:00Z</dcterms:modified>
</cp:coreProperties>
</file>