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A3A">
        <w:rPr>
          <w:rFonts w:ascii="Times New Roman" w:hAnsi="Times New Roman" w:cs="Times New Roman"/>
          <w:color w:val="000000"/>
          <w:sz w:val="24"/>
          <w:szCs w:val="24"/>
        </w:rPr>
        <w:t>FUNDAÇÃO NACIONAL DE SAÚDE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Departamento de Administração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Comissão Permanente de Licitação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C3A3A">
        <w:rPr>
          <w:rFonts w:ascii="Times New Roman" w:hAnsi="Times New Roman" w:cs="Times New Roman"/>
          <w:sz w:val="24"/>
          <w:szCs w:val="24"/>
        </w:rPr>
        <w:t xml:space="preserve">NOTA TÉCNICA Nº __/2020/CPL/FUNASA 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 xml:space="preserve">PROCESSO Nº </w:t>
      </w:r>
      <w:r w:rsidRPr="00DC3A3A">
        <w:rPr>
          <w:rFonts w:ascii="Times New Roman" w:hAnsi="Times New Roman" w:cs="Times New Roman"/>
          <w:bCs/>
          <w:sz w:val="24"/>
          <w:szCs w:val="24"/>
        </w:rPr>
        <w:t>25100.000.254/2019-49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INTERESSADO: SEATA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À Coordenação Geral de Recursos Logísticos</w:t>
      </w:r>
    </w:p>
    <w:bookmarkEnd w:id="0"/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A3A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B574B2" w:rsidRPr="00DC3A3A" w:rsidRDefault="00B574B2" w:rsidP="00DC3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Trata-se de processo administrativo licitatório na modalidade Pregão Eletrônico para Registro de Preços – SRP que objetiva a aprovação da minuta de edital para contratação de serviço de chaveiro, englobando a mão de obra e todo o material necessário para atender a Presidência da Fundação Nacional de Saúde, conforme condições, quantidades e exigências estabelecidas no Termo de Referência, caracterizado como sendo prestação de serviço não continuado, no valor total estimado de R$ 67.776,34 (sessenta e sete mil setecentos e setenta e seis reais e trinta e quatro centavos).</w:t>
      </w:r>
    </w:p>
    <w:p w:rsidR="00DC3A3A" w:rsidRPr="00DC3A3A" w:rsidRDefault="00DC3A3A" w:rsidP="00DC3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4B2" w:rsidRPr="00DC3A3A" w:rsidRDefault="00B574B2" w:rsidP="00DC3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A3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574B2" w:rsidRPr="00DC3A3A" w:rsidRDefault="00B574B2" w:rsidP="00DC3A3A">
      <w:pPr>
        <w:pStyle w:val="itemnivel2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Visando garantir a segurança das instalações tornam-se imprescindíveis os serviços de chaveiro para solucionar os problemas referentes a chaves e fechaduras, solicitados pelos diversos setores da Funasa. Assim, a contratação desses serviços justifica-se pela necessidade de atender as demandas da Funasa, considerando ainda a inexistência de servidor habilitado para a sua execução.</w:t>
      </w:r>
    </w:p>
    <w:p w:rsidR="00B574B2" w:rsidRPr="00DC3A3A" w:rsidRDefault="00B574B2" w:rsidP="00DC3A3A">
      <w:pPr>
        <w:pStyle w:val="itemnivel2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Justifica-se ainda devido o retorno ao prédio Sede localizado na Quadra 04 do Setor de Autarquias Sul de Brasília, autorizado pelo Sr. Presidente no Despacho 131 </w:t>
      </w:r>
      <w:hyperlink r:id="rId5" w:tgtFrame="_blank" w:history="1">
        <w:r w:rsidRPr="00DC3A3A">
          <w:rPr>
            <w:rStyle w:val="Hyperlink"/>
          </w:rPr>
          <w:t>1047124</w:t>
        </w:r>
      </w:hyperlink>
      <w:r w:rsidRPr="00DC3A3A">
        <w:rPr>
          <w:color w:val="000000"/>
        </w:rPr>
        <w:t> </w:t>
      </w:r>
      <w:r w:rsidRPr="00DC3A3A">
        <w:rPr>
          <w:rStyle w:val="nfase"/>
          <w:color w:val="000000"/>
        </w:rPr>
        <w:t>"autorizo a implementação das medidas administrativas que tenham por interesse o retorno às instalações do Edifício de propriedade desta Fundação, solicitando que todas elas sejam informadas à Auditoria e à douta Procuradoria Federal Especializada".</w:t>
      </w:r>
    </w:p>
    <w:p w:rsidR="00B574B2" w:rsidRPr="00DC3A3A" w:rsidRDefault="00B574B2" w:rsidP="00DC3A3A">
      <w:pPr>
        <w:pStyle w:val="itemnivel2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Assim, haverá a necessidade de utilização do serviço de chaveiro para confecção de chaves, trocas de fechaduras, após as reformas e alterações de layout do edifício, devendo ser adotado o Sistema de Registro de Preços, nas condições do inciso IV, art. 3º, do Decreto nº 7.892/201. Uma vez que, em função da reforma realizada, se torna difícil mensurar com certeza qual a demanda real de pedidos para o serviço de chaveiro poderá ocorrer. </w:t>
      </w:r>
    </w:p>
    <w:p w:rsidR="00B574B2" w:rsidRPr="00DC3A3A" w:rsidRDefault="00B574B2" w:rsidP="00DC3A3A">
      <w:pPr>
        <w:pStyle w:val="itemnivel2"/>
        <w:spacing w:before="0" w:beforeAutospacing="0" w:after="0" w:afterAutospacing="0"/>
        <w:jc w:val="both"/>
        <w:rPr>
          <w:color w:val="000000"/>
        </w:rPr>
      </w:pP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A3A">
        <w:rPr>
          <w:rFonts w:ascii="Times New Roman" w:hAnsi="Times New Roman" w:cs="Times New Roman"/>
          <w:b/>
          <w:sz w:val="24"/>
          <w:szCs w:val="24"/>
        </w:rPr>
        <w:t>DO PARECER PFE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Após análise dos autos e em atenção ao exposto pela Procuradoria Federal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Especializada – PFE no PARECER Nº 00015/2019/COLCA/PFFUNASA/PGF/AGU (SEI 2493842) e do Despacho de Aprovação Nº 00064/2019/COLCA/PFFUNASA/PGF/AGU (SEI 1495013), com as recomendações a serem atendidas, seguem comentários e providências pertinentes: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DOS QUESTIONAMENTOS E DAS RESPOSTAS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 xml:space="preserve"> item </w:t>
      </w:r>
      <w:r w:rsidRPr="00DC3A3A">
        <w:rPr>
          <w:rFonts w:ascii="Times New Roman" w:hAnsi="Times New Roman" w:cs="Times New Roman"/>
          <w:sz w:val="24"/>
          <w:szCs w:val="24"/>
        </w:rPr>
        <w:t xml:space="preserve">10. No caso concreto, verifica-se que a área requisitante dos serviços não apresentou no TR (SEI nº 1404435) as justificativas alusivas à adequação da presente contratação nas hipóteses autorizadoras do Sistema de Registro de Preços – SRP a uma das hipóteses previstas no art. 3º Decreto nº 7.892/2013. 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DC3A3A">
        <w:rPr>
          <w:rFonts w:ascii="Times New Roman" w:hAnsi="Times New Roman" w:cs="Times New Roman"/>
          <w:b/>
          <w:sz w:val="24"/>
          <w:szCs w:val="24"/>
        </w:rPr>
        <w:t>:</w:t>
      </w:r>
      <w:r w:rsidRPr="00DC3A3A">
        <w:rPr>
          <w:rFonts w:ascii="Times New Roman" w:hAnsi="Times New Roman" w:cs="Times New Roman"/>
          <w:sz w:val="24"/>
          <w:szCs w:val="24"/>
        </w:rPr>
        <w:t xml:space="preserve"> Conforme Despacho </w:t>
      </w:r>
      <w:r w:rsidR="00DC3A3A">
        <w:rPr>
          <w:rFonts w:ascii="Times New Roman" w:hAnsi="Times New Roman" w:cs="Times New Roman"/>
          <w:sz w:val="24"/>
          <w:szCs w:val="24"/>
        </w:rPr>
        <w:t xml:space="preserve">nº 496 </w:t>
      </w:r>
      <w:r w:rsidRPr="00DC3A3A">
        <w:rPr>
          <w:rFonts w:ascii="Times New Roman" w:hAnsi="Times New Roman" w:cs="Times New Roman"/>
          <w:sz w:val="24"/>
          <w:szCs w:val="24"/>
        </w:rPr>
        <w:t>do SEATA</w:t>
      </w:r>
      <w:r w:rsidR="00DC3A3A">
        <w:rPr>
          <w:rFonts w:ascii="Times New Roman" w:hAnsi="Times New Roman" w:cs="Times New Roman"/>
          <w:sz w:val="24"/>
          <w:szCs w:val="24"/>
        </w:rPr>
        <w:t>,</w:t>
      </w:r>
      <w:r w:rsidRPr="00DC3A3A">
        <w:rPr>
          <w:rFonts w:ascii="Times New Roman" w:hAnsi="Times New Roman" w:cs="Times New Roman"/>
          <w:sz w:val="24"/>
          <w:szCs w:val="24"/>
        </w:rPr>
        <w:t xml:space="preserve"> </w:t>
      </w:r>
      <w:r w:rsidRPr="00DC3A3A">
        <w:rPr>
          <w:rFonts w:ascii="Times New Roman" w:hAnsi="Times New Roman" w:cs="Times New Roman"/>
          <w:sz w:val="24"/>
          <w:szCs w:val="24"/>
          <w:highlight w:val="yellow"/>
        </w:rPr>
        <w:t>SEI XXXX</w:t>
      </w:r>
      <w:r w:rsidRPr="00DC3A3A">
        <w:rPr>
          <w:rFonts w:ascii="Times New Roman" w:hAnsi="Times New Roman" w:cs="Times New Roman"/>
          <w:sz w:val="24"/>
          <w:szCs w:val="24"/>
        </w:rPr>
        <w:t>, c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omo justificativa para a adequação da presente contratação ao Sistema de Registro de Preços, consta na </w:t>
      </w:r>
      <w:r w:rsidRPr="00DC3A3A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Cláusula 3.3 do Termo de Referência para contratação de serviço de </w:t>
      </w:r>
      <w:r w:rsidRPr="00DC3A3A">
        <w:rPr>
          <w:rStyle w:val="Forte"/>
          <w:rFonts w:ascii="Times New Roman" w:hAnsi="Times New Roman" w:cs="Times New Roman"/>
          <w:color w:val="000000"/>
          <w:sz w:val="24"/>
          <w:szCs w:val="24"/>
        </w:rPr>
        <w:lastRenderedPageBreak/>
        <w:t>chaveiro (SEI 1697078)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, a hipótese prevista no </w:t>
      </w:r>
      <w:r w:rsidRPr="00DC3A3A">
        <w:rPr>
          <w:rStyle w:val="Forte"/>
          <w:rFonts w:ascii="Times New Roman" w:hAnsi="Times New Roman" w:cs="Times New Roman"/>
          <w:color w:val="000000"/>
          <w:sz w:val="24"/>
          <w:szCs w:val="24"/>
        </w:rPr>
        <w:t>inciso IV, art. 3º, do Decreto nº 7.892/2019.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Recomendação PGF: 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item 11</w:t>
      </w:r>
      <w:r w:rsidRPr="00DC3A3A">
        <w:rPr>
          <w:rFonts w:ascii="Times New Roman" w:hAnsi="Times New Roman" w:cs="Times New Roman"/>
          <w:sz w:val="24"/>
          <w:szCs w:val="24"/>
        </w:rPr>
        <w:t xml:space="preserve"> De outro lado, contudo, observa-se que consta no Estudo Técnico Preliminar, no item 1.2., que “será adotado o Sistema de Registro de Preços, nas condições constantes no Decreto nº 7.892/2013, art. 3º, inciso IV, não sendo aberto para não participantes da licitação” (SEI nº 0962373). Percebe-se, portanto, ter havido apenas a indicação ao dispositivo que fundamenta a adoção do registro de preços na hipótese, qual seja, o inciso IV, que prevê “quando, pela natureza do objeto, não for possível definir previamente o quantitativo a ser demandado pela Administração”.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DC3A3A">
        <w:rPr>
          <w:rFonts w:ascii="Times New Roman" w:hAnsi="Times New Roman" w:cs="Times New Roman"/>
          <w:b/>
          <w:sz w:val="24"/>
          <w:szCs w:val="24"/>
        </w:rPr>
        <w:t>:</w:t>
      </w:r>
      <w:r w:rsidRPr="00DC3A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3A3A">
        <w:rPr>
          <w:rFonts w:ascii="Times New Roman" w:hAnsi="Times New Roman" w:cs="Times New Roman"/>
          <w:sz w:val="24"/>
          <w:szCs w:val="24"/>
        </w:rPr>
        <w:t>Conforme Despacho</w:t>
      </w:r>
      <w:r w:rsidR="00DC3A3A" w:rsidRPr="00DC3A3A">
        <w:rPr>
          <w:rFonts w:ascii="Times New Roman" w:hAnsi="Times New Roman" w:cs="Times New Roman"/>
          <w:sz w:val="24"/>
          <w:szCs w:val="24"/>
        </w:rPr>
        <w:t xml:space="preserve"> </w:t>
      </w:r>
      <w:r w:rsidR="00DC3A3A">
        <w:rPr>
          <w:rFonts w:ascii="Times New Roman" w:hAnsi="Times New Roman" w:cs="Times New Roman"/>
          <w:sz w:val="24"/>
          <w:szCs w:val="24"/>
        </w:rPr>
        <w:t>nº 496</w:t>
      </w:r>
      <w:r w:rsidRPr="00DC3A3A">
        <w:rPr>
          <w:rFonts w:ascii="Times New Roman" w:hAnsi="Times New Roman" w:cs="Times New Roman"/>
          <w:sz w:val="24"/>
          <w:szCs w:val="24"/>
        </w:rPr>
        <w:t xml:space="preserve"> do SEATA</w:t>
      </w:r>
      <w:r w:rsidR="00DC3A3A">
        <w:rPr>
          <w:rFonts w:ascii="Times New Roman" w:hAnsi="Times New Roman" w:cs="Times New Roman"/>
          <w:sz w:val="24"/>
          <w:szCs w:val="24"/>
        </w:rPr>
        <w:t>,</w:t>
      </w:r>
      <w:r w:rsidRPr="00DC3A3A">
        <w:rPr>
          <w:rFonts w:ascii="Times New Roman" w:hAnsi="Times New Roman" w:cs="Times New Roman"/>
          <w:sz w:val="24"/>
          <w:szCs w:val="24"/>
        </w:rPr>
        <w:t xml:space="preserve"> </w:t>
      </w:r>
      <w:r w:rsidRPr="00DC3A3A">
        <w:rPr>
          <w:rFonts w:ascii="Times New Roman" w:hAnsi="Times New Roman" w:cs="Times New Roman"/>
          <w:sz w:val="24"/>
          <w:szCs w:val="24"/>
          <w:highlight w:val="yellow"/>
        </w:rPr>
        <w:t>SEI XXXX</w:t>
      </w:r>
      <w:r w:rsidRPr="00DC3A3A">
        <w:rPr>
          <w:rFonts w:ascii="Times New Roman" w:hAnsi="Times New Roman" w:cs="Times New Roman"/>
          <w:sz w:val="24"/>
          <w:szCs w:val="24"/>
        </w:rPr>
        <w:t>, c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omo justificativa para a adoção da condição prevista no </w:t>
      </w:r>
      <w:r w:rsidRPr="00DC3A3A">
        <w:rPr>
          <w:rStyle w:val="Forte"/>
          <w:rFonts w:ascii="Times New Roman" w:hAnsi="Times New Roman" w:cs="Times New Roman"/>
          <w:color w:val="000000"/>
          <w:sz w:val="24"/>
          <w:szCs w:val="24"/>
        </w:rPr>
        <w:t>item IV, art. 3º, do Decreto nº 7.892/2019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C3A3A">
        <w:rPr>
          <w:rStyle w:val="Forte"/>
          <w:rFonts w:ascii="Times New Roman" w:hAnsi="Times New Roman" w:cs="Times New Roman"/>
          <w:color w:val="000000"/>
          <w:sz w:val="24"/>
          <w:szCs w:val="24"/>
        </w:rPr>
        <w:t> 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está o fato de que a realização de Ata de Registro de Preços permite que a contratação do objeto seja feita em quantidade estimada.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 xml:space="preserve">  item 12</w:t>
      </w:r>
      <w:r w:rsidRPr="00DC3A3A">
        <w:rPr>
          <w:rFonts w:ascii="Times New Roman" w:hAnsi="Times New Roman" w:cs="Times New Roman"/>
          <w:sz w:val="24"/>
          <w:szCs w:val="24"/>
        </w:rPr>
        <w:t>. Dessa forma, para fins de transparência dos atos praticados e adequada fundamentação, faz-se necessário que a Administração decline justificativa no TR da hipótese, dentre as indicadas no art. 3º do Decreto nº7.892/2013, que motiva a presente licitação por SRP, bem como apresentação dos benefícios advindos com a utilização da técnica do SRP no presente caso, como condição à viabilidade jurídica da sua adoção, consoante já se posicionou a Corte de Contas da União (Acórdão 855/2013-Plenário). As informações, portanto, deverão constar do TR, com a indicação do inciso do Decreto e da justificativa para o enquadramento.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DC3A3A">
        <w:rPr>
          <w:rFonts w:ascii="Times New Roman" w:hAnsi="Times New Roman" w:cs="Times New Roman"/>
          <w:b/>
          <w:sz w:val="24"/>
          <w:szCs w:val="24"/>
        </w:rPr>
        <w:t>:</w:t>
      </w:r>
      <w:r w:rsidRPr="00DC3A3A">
        <w:rPr>
          <w:rFonts w:ascii="Times New Roman" w:hAnsi="Times New Roman" w:cs="Times New Roman"/>
          <w:sz w:val="24"/>
          <w:szCs w:val="24"/>
        </w:rPr>
        <w:t xml:space="preserve"> Conforme Despacho </w:t>
      </w:r>
      <w:r w:rsidR="00DC3A3A">
        <w:rPr>
          <w:rFonts w:ascii="Times New Roman" w:hAnsi="Times New Roman" w:cs="Times New Roman"/>
          <w:sz w:val="24"/>
          <w:szCs w:val="24"/>
        </w:rPr>
        <w:t xml:space="preserve">nº 496 </w:t>
      </w:r>
      <w:r w:rsidRPr="00DC3A3A">
        <w:rPr>
          <w:rFonts w:ascii="Times New Roman" w:hAnsi="Times New Roman" w:cs="Times New Roman"/>
          <w:sz w:val="24"/>
          <w:szCs w:val="24"/>
        </w:rPr>
        <w:t>do SEATA</w:t>
      </w:r>
      <w:r w:rsidR="00DC3A3A">
        <w:rPr>
          <w:rFonts w:ascii="Times New Roman" w:hAnsi="Times New Roman" w:cs="Times New Roman"/>
          <w:sz w:val="24"/>
          <w:szCs w:val="24"/>
        </w:rPr>
        <w:t>,</w:t>
      </w:r>
      <w:r w:rsidRPr="00DC3A3A">
        <w:rPr>
          <w:rFonts w:ascii="Times New Roman" w:hAnsi="Times New Roman" w:cs="Times New Roman"/>
          <w:sz w:val="24"/>
          <w:szCs w:val="24"/>
        </w:rPr>
        <w:t xml:space="preserve"> </w:t>
      </w:r>
      <w:r w:rsidRPr="00DC3A3A">
        <w:rPr>
          <w:rFonts w:ascii="Times New Roman" w:hAnsi="Times New Roman" w:cs="Times New Roman"/>
          <w:sz w:val="24"/>
          <w:szCs w:val="24"/>
          <w:highlight w:val="yellow"/>
        </w:rPr>
        <w:t>SEI XXXX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, ainda como justificativa para a adoção da condição prevista no </w:t>
      </w:r>
      <w:r w:rsidRPr="00DC3A3A">
        <w:rPr>
          <w:rStyle w:val="Forte"/>
          <w:rFonts w:ascii="Times New Roman" w:hAnsi="Times New Roman" w:cs="Times New Roman"/>
          <w:color w:val="000000"/>
          <w:sz w:val="24"/>
          <w:szCs w:val="24"/>
        </w:rPr>
        <w:t>item IV, art. 3º, do Decreto nº 7.892/2019, 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consta no</w:t>
      </w:r>
      <w:r w:rsidRPr="00DC3A3A">
        <w:rPr>
          <w:rStyle w:val="Forte"/>
          <w:rFonts w:ascii="Times New Roman" w:hAnsi="Times New Roman" w:cs="Times New Roman"/>
          <w:color w:val="000000"/>
          <w:sz w:val="24"/>
          <w:szCs w:val="24"/>
        </w:rPr>
        <w:t> 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item 3.4 do Termo de Referência para contratação de serviço de chaveiro (SEI 1697078), os benefícios advindos com a utilização da técnica do SRP no presente caso.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 xml:space="preserve"> item 13</w:t>
      </w:r>
      <w:r w:rsidRPr="00DC3A3A">
        <w:rPr>
          <w:rFonts w:ascii="Times New Roman" w:hAnsi="Times New Roman" w:cs="Times New Roman"/>
          <w:sz w:val="24"/>
          <w:szCs w:val="24"/>
        </w:rPr>
        <w:t xml:space="preserve">. Em complemento, conforme apontado no Parecer nº 10/2013/CPLC/DEPCONSU/PGF/AGU anteriormente citado, adverte-se que não é possível a utilização do SRP para contratação única e imediata, a qual a Administração já tenha a dimensão do quanto será contratado. Em outras palavras, veda-se a realização do registro de preços visando de antemão celebrar contrato com objeto absolutamente idêntico ao da ata que lhe deu origem, conforme já orientou o TCU (Acórdão </w:t>
      </w:r>
      <w:proofErr w:type="gramStart"/>
      <w:r w:rsidRPr="00DC3A3A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DC3A3A">
        <w:rPr>
          <w:rFonts w:ascii="Times New Roman" w:hAnsi="Times New Roman" w:cs="Times New Roman"/>
          <w:sz w:val="24"/>
          <w:szCs w:val="24"/>
        </w:rPr>
        <w:t xml:space="preserve"> 113/2012-, TC 037.819/2011-9, rel. Min. José Jorge, 25.1.2012). Desse modo, é relevante que a Administração estar atenta para a situação ora relatada, a fim de evitar burla a utilização da técnica de Registro de Preços, razão pela qual orienta-se que a equipe de planejamento da contratação consigne nos autos que a contratação em tela não afronta a referida orientação da Procuradoria-Geral Federal, com espeque nos entendimentos da Corte de Contas.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DC3A3A">
        <w:rPr>
          <w:rFonts w:ascii="Times New Roman" w:hAnsi="Times New Roman" w:cs="Times New Roman"/>
          <w:b/>
          <w:sz w:val="24"/>
          <w:szCs w:val="24"/>
        </w:rPr>
        <w:t>:</w:t>
      </w:r>
      <w:r w:rsidRPr="00DC3A3A">
        <w:rPr>
          <w:rFonts w:ascii="Times New Roman" w:hAnsi="Times New Roman" w:cs="Times New Roman"/>
          <w:sz w:val="24"/>
          <w:szCs w:val="24"/>
        </w:rPr>
        <w:t xml:space="preserve"> Conforme Despacho </w:t>
      </w:r>
      <w:r w:rsidR="00DC3A3A">
        <w:rPr>
          <w:rFonts w:ascii="Times New Roman" w:hAnsi="Times New Roman" w:cs="Times New Roman"/>
          <w:sz w:val="24"/>
          <w:szCs w:val="24"/>
        </w:rPr>
        <w:t xml:space="preserve">nº 496 </w:t>
      </w:r>
      <w:r w:rsidRPr="00DC3A3A">
        <w:rPr>
          <w:rFonts w:ascii="Times New Roman" w:hAnsi="Times New Roman" w:cs="Times New Roman"/>
          <w:sz w:val="24"/>
          <w:szCs w:val="24"/>
        </w:rPr>
        <w:t>do SEATA</w:t>
      </w:r>
      <w:r w:rsidR="00DC3A3A">
        <w:rPr>
          <w:rFonts w:ascii="Times New Roman" w:hAnsi="Times New Roman" w:cs="Times New Roman"/>
          <w:sz w:val="24"/>
          <w:szCs w:val="24"/>
        </w:rPr>
        <w:t>,</w:t>
      </w:r>
      <w:r w:rsidRPr="00DC3A3A">
        <w:rPr>
          <w:rFonts w:ascii="Times New Roman" w:hAnsi="Times New Roman" w:cs="Times New Roman"/>
          <w:sz w:val="24"/>
          <w:szCs w:val="24"/>
        </w:rPr>
        <w:t xml:space="preserve"> </w:t>
      </w:r>
      <w:r w:rsidRPr="00DC3A3A">
        <w:rPr>
          <w:rFonts w:ascii="Times New Roman" w:hAnsi="Times New Roman" w:cs="Times New Roman"/>
          <w:sz w:val="24"/>
          <w:szCs w:val="24"/>
          <w:highlight w:val="yellow"/>
        </w:rPr>
        <w:t>SEI XXXX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, A referida orientação consta no item 3.5 do Termo de Referência para contratação de serviço de chaveiro (SEI 1697078)</w:t>
      </w:r>
    </w:p>
    <w:p w:rsidR="00DC3A3A" w:rsidRPr="008C4836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8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Recomendação PGF: </w:t>
      </w:r>
      <w:r w:rsidR="00DC3A3A" w:rsidRPr="008C4836">
        <w:rPr>
          <w:rFonts w:ascii="Times New Roman" w:hAnsi="Times New Roman" w:cs="Times New Roman"/>
          <w:sz w:val="24"/>
          <w:szCs w:val="24"/>
        </w:rPr>
        <w:t>Item 17. No caso, observa-se que consta nos autos que houve a divulgação e realização da Intenção de Registro de Preços (SEI nº 1442024 e 1442103), o que denota cumprimento ao disposto no art. 4º, caput, do Decreto nº 7.892/2013, tendo havido apresentação de interesse de órgão participante.</w:t>
      </w:r>
    </w:p>
    <w:p w:rsidR="00B574B2" w:rsidRPr="008C4836" w:rsidRDefault="00DC3A3A" w:rsidP="008C4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836">
        <w:rPr>
          <w:rFonts w:ascii="Times New Roman" w:hAnsi="Times New Roman" w:cs="Times New Roman"/>
          <w:sz w:val="24"/>
          <w:szCs w:val="24"/>
        </w:rPr>
        <w:t>18. Todavia, para transparência dos autos praticados, recomenda-se que a área técnica/CPL certifique</w:t>
      </w:r>
      <w:r w:rsidR="008C4836" w:rsidRPr="008C4836">
        <w:rPr>
          <w:rFonts w:ascii="Times New Roman" w:hAnsi="Times New Roman" w:cs="Times New Roman"/>
          <w:sz w:val="24"/>
          <w:szCs w:val="24"/>
        </w:rPr>
        <w:t xml:space="preserve"> nos autos que houve o atendimento ao prazo mínimo previsto no §1º-A, o que deve ser saneado.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DC3A3A">
        <w:rPr>
          <w:rFonts w:ascii="Times New Roman" w:hAnsi="Times New Roman" w:cs="Times New Roman"/>
          <w:b/>
          <w:sz w:val="24"/>
          <w:szCs w:val="24"/>
        </w:rPr>
        <w:t>:</w:t>
      </w:r>
      <w:r w:rsidRPr="00DC3A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4836">
        <w:rPr>
          <w:rFonts w:ascii="Times New Roman" w:hAnsi="Times New Roman" w:cs="Times New Roman"/>
          <w:sz w:val="24"/>
          <w:szCs w:val="24"/>
        </w:rPr>
        <w:t>O prazo mínimo de 08 (oito) dias úteis foi cumprido e é exigido pelo próprio sistema no momento da inserção da IRP.</w:t>
      </w:r>
    </w:p>
    <w:p w:rsidR="00B574B2" w:rsidRPr="008C4836" w:rsidRDefault="00B574B2" w:rsidP="008C4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8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Recomendação PGF: </w:t>
      </w:r>
      <w:r w:rsidRPr="008C4836">
        <w:rPr>
          <w:rFonts w:ascii="Times New Roman" w:hAnsi="Times New Roman" w:cs="Times New Roman"/>
          <w:color w:val="000000"/>
          <w:sz w:val="24"/>
          <w:szCs w:val="24"/>
        </w:rPr>
        <w:t xml:space="preserve">Item 20. </w:t>
      </w:r>
      <w:r w:rsidRPr="008C4836">
        <w:rPr>
          <w:rFonts w:ascii="Times New Roman" w:hAnsi="Times New Roman" w:cs="Times New Roman"/>
          <w:sz w:val="24"/>
          <w:szCs w:val="24"/>
        </w:rPr>
        <w:t>De acordo com o §4º do art. 4º, os procedimentos previstos no §3º, incisos II e III, serão efetivados antes da elaboração do edital e de seus anexos.</w:t>
      </w:r>
      <w:r w:rsidR="008C4836" w:rsidRPr="008C4836">
        <w:rPr>
          <w:rFonts w:ascii="Times New Roman" w:hAnsi="Times New Roman" w:cs="Times New Roman"/>
          <w:sz w:val="24"/>
          <w:szCs w:val="24"/>
        </w:rPr>
        <w:t xml:space="preserve"> 21. No caso, tendo em vista que não foram recusados quantitativos, deve ser </w:t>
      </w:r>
      <w:r w:rsidR="008C4836" w:rsidRPr="008C4836">
        <w:rPr>
          <w:rFonts w:ascii="Times New Roman" w:hAnsi="Times New Roman" w:cs="Times New Roman"/>
          <w:sz w:val="24"/>
          <w:szCs w:val="24"/>
        </w:rPr>
        <w:lastRenderedPageBreak/>
        <w:t>esclarecido, contudo, se houve eventual interesse de participantes após o término do período de divulgação da IRP. Em caso positivo, caberá à Funasa deliberar formalmente quanto à inclusão posterior dos referidos participantes que não manifestaram interesse durante o período de divulgação da IRP, conforme art. 4º, §3º, III, do Decreto nº 7.892/2013.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Resposta da CPL: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C4836">
        <w:rPr>
          <w:rFonts w:ascii="Times New Roman" w:hAnsi="Times New Roman" w:cs="Times New Roman"/>
          <w:sz w:val="24"/>
          <w:szCs w:val="24"/>
        </w:rPr>
        <w:t>H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ouve somente 1 (um) interessado em participar do certa</w:t>
      </w:r>
      <w:r w:rsidR="008C4836">
        <w:rPr>
          <w:rFonts w:ascii="Times New Roman" w:hAnsi="Times New Roman" w:cs="Times New Roman"/>
          <w:color w:val="000000"/>
          <w:sz w:val="24"/>
          <w:szCs w:val="24"/>
        </w:rPr>
        <w:t>me e a CPL não recebeu nenhum pedido posterior de órgãos para participarem.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 xml:space="preserve">  item</w:t>
      </w:r>
      <w:r w:rsidRPr="00DC3A3A">
        <w:rPr>
          <w:rFonts w:ascii="Times New Roman" w:hAnsi="Times New Roman" w:cs="Times New Roman"/>
          <w:sz w:val="24"/>
          <w:szCs w:val="24"/>
        </w:rPr>
        <w:t xml:space="preserve"> 23. No caso em tela, todavia, observa-se que não foi promovida a consolidação das informações relativas à estimativa individual e total de consumo, com a promoção da adequação do TR da Funasa em face dos respectivos termos de referência ou projetos básicos encaminhados </w:t>
      </w:r>
      <w:proofErr w:type="gramStart"/>
      <w:r w:rsidRPr="00DC3A3A">
        <w:rPr>
          <w:rFonts w:ascii="Times New Roman" w:hAnsi="Times New Roman" w:cs="Times New Roman"/>
          <w:sz w:val="24"/>
          <w:szCs w:val="24"/>
        </w:rPr>
        <w:t>pelo(</w:t>
      </w:r>
      <w:proofErr w:type="gramEnd"/>
      <w:r w:rsidRPr="00DC3A3A">
        <w:rPr>
          <w:rFonts w:ascii="Times New Roman" w:hAnsi="Times New Roman" w:cs="Times New Roman"/>
          <w:sz w:val="24"/>
          <w:szCs w:val="24"/>
        </w:rPr>
        <w:t>s) órgão(s) participante(s), para atender aos requisitos de padronização e racionalização. Com efeito, na última versão do TR (SEI nº 1404435), só há estimativa do órgão g</w:t>
      </w:r>
      <w:r w:rsidR="008C4836">
        <w:rPr>
          <w:rFonts w:ascii="Times New Roman" w:hAnsi="Times New Roman" w:cs="Times New Roman"/>
          <w:sz w:val="24"/>
          <w:szCs w:val="24"/>
        </w:rPr>
        <w:t xml:space="preserve">erenciador (Funasa). </w:t>
      </w:r>
      <w:r w:rsidRPr="00DC3A3A">
        <w:rPr>
          <w:rFonts w:ascii="Times New Roman" w:hAnsi="Times New Roman" w:cs="Times New Roman"/>
          <w:sz w:val="24"/>
          <w:szCs w:val="24"/>
        </w:rPr>
        <w:t>Item 24. Dessa forma, recomenda-se o saneamento do ponto, mediante consolidação das demandas do órgão gerenciador e participantes em versão final do TR, conforme modelo de TR da AGU para serviços não continuados incluindo as informações relativas à estimativa individual e total de consumo, promovendo a adequação dos respectivos termos de referência ou projetos básicos encaminhados para atender aos requisitos de padronização e racionalização.</w:t>
      </w:r>
    </w:p>
    <w:p w:rsidR="00B574B2" w:rsidRPr="00DC3A3A" w:rsidRDefault="00B574B2" w:rsidP="00DC3A3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DC3A3A">
        <w:rPr>
          <w:b/>
          <w:color w:val="000000"/>
        </w:rPr>
        <w:t>Resposta da CPL</w:t>
      </w:r>
      <w:r w:rsidRPr="00DC3A3A">
        <w:rPr>
          <w:b/>
        </w:rPr>
        <w:t>:</w:t>
      </w:r>
      <w:r w:rsidRPr="00DC3A3A">
        <w:t xml:space="preserve"> Conforme Despacho </w:t>
      </w:r>
      <w:r w:rsidR="007C0363">
        <w:t xml:space="preserve">nº 496 </w:t>
      </w:r>
      <w:r w:rsidRPr="00DC3A3A">
        <w:t>do SEATA</w:t>
      </w:r>
      <w:r w:rsidR="007C0363">
        <w:t>,</w:t>
      </w:r>
      <w:r w:rsidRPr="00DC3A3A">
        <w:t xml:space="preserve"> </w:t>
      </w:r>
      <w:r w:rsidRPr="00DC3A3A">
        <w:rPr>
          <w:highlight w:val="yellow"/>
        </w:rPr>
        <w:t>SEI XXXX</w:t>
      </w:r>
      <w:r w:rsidRPr="00DC3A3A">
        <w:t xml:space="preserve">, </w:t>
      </w:r>
      <w:r w:rsidRPr="00DC3A3A">
        <w:rPr>
          <w:color w:val="000000"/>
        </w:rPr>
        <w:t>na planilha com a estimativa do órgão gerenciador e do órgão participante, presente na </w:t>
      </w:r>
      <w:r w:rsidRPr="00DC3A3A">
        <w:rPr>
          <w:rStyle w:val="Forte"/>
          <w:color w:val="000000"/>
        </w:rPr>
        <w:t>Cláusula 2.2 do Termo Referência para contratação de serviço de chaveiro (SEI 1697078)</w:t>
      </w:r>
      <w:r w:rsidRPr="00DC3A3A">
        <w:rPr>
          <w:color w:val="000000"/>
        </w:rPr>
        <w:t>, foi incluso o quantitativo informado pelo Órgão Participante, Comando do Exército.</w:t>
      </w:r>
    </w:p>
    <w:p w:rsidR="00B574B2" w:rsidRPr="00DC3A3A" w:rsidRDefault="00B574B2" w:rsidP="008C4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 xml:space="preserve"> Item </w:t>
      </w:r>
      <w:r w:rsidRPr="00DC3A3A">
        <w:rPr>
          <w:rFonts w:ascii="Times New Roman" w:hAnsi="Times New Roman" w:cs="Times New Roman"/>
          <w:sz w:val="24"/>
          <w:szCs w:val="24"/>
        </w:rPr>
        <w:t xml:space="preserve">25. Outrossim, consoante o art. 5º, inciso IV, com redação dada pelo Decreto nº 8.250, de 2014, deve ainda a Funasa realizar pesquisa de mercado para identificação do valor estimado da licitação e, consolidar os dados das pesquisas de mercado realizadas pelos órgãos e entidades participantes, inclusive nas hipóteses previstas nos §§ 2º e 3º do art. 6º do Decreto nº 7892/2013. Senão vejamos: </w:t>
      </w:r>
      <w:proofErr w:type="gramStart"/>
      <w:r w:rsidR="008C4836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="008C4836">
        <w:rPr>
          <w:rFonts w:ascii="Times New Roman" w:hAnsi="Times New Roman" w:cs="Times New Roman"/>
          <w:sz w:val="24"/>
          <w:szCs w:val="24"/>
        </w:rPr>
        <w:t>segue)</w:t>
      </w:r>
      <w:r w:rsidRPr="00DC3A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 xml:space="preserve">Item 26. Na hipótese em tela, identifica-se no Mapa de Preços (SEI nº 1404431) a referência aos quantitativos apenas do órgão gerenciador (Funasa), não tendo havido referência à consolidação dos dados das pesquisas de mercado realizadas </w:t>
      </w:r>
      <w:proofErr w:type="gramStart"/>
      <w:r w:rsidRPr="00DC3A3A">
        <w:rPr>
          <w:rFonts w:ascii="Times New Roman" w:hAnsi="Times New Roman" w:cs="Times New Roman"/>
          <w:sz w:val="24"/>
          <w:szCs w:val="24"/>
        </w:rPr>
        <w:t>pelo(</w:t>
      </w:r>
      <w:proofErr w:type="gramEnd"/>
      <w:r w:rsidRPr="00DC3A3A">
        <w:rPr>
          <w:rFonts w:ascii="Times New Roman" w:hAnsi="Times New Roman" w:cs="Times New Roman"/>
          <w:sz w:val="24"/>
          <w:szCs w:val="24"/>
        </w:rPr>
        <w:t>s) órgão(s) e entidade(s) participante(s), razão pela qual orienta-se que haja o saneamento do ponto.</w:t>
      </w:r>
    </w:p>
    <w:p w:rsidR="00B574B2" w:rsidRPr="00DC3A3A" w:rsidRDefault="00B574B2" w:rsidP="00DC3A3A">
      <w:pPr>
        <w:pStyle w:val="NormalWeb"/>
        <w:spacing w:before="0" w:beforeAutospacing="0" w:after="0" w:afterAutospacing="0"/>
        <w:jc w:val="both"/>
      </w:pPr>
      <w:r w:rsidRPr="00DC3A3A">
        <w:rPr>
          <w:b/>
          <w:color w:val="000000"/>
        </w:rPr>
        <w:t>Resposta da CPL</w:t>
      </w:r>
      <w:r w:rsidRPr="00DC3A3A">
        <w:rPr>
          <w:b/>
        </w:rPr>
        <w:t>:</w:t>
      </w:r>
      <w:r w:rsidRPr="00DC3A3A">
        <w:t xml:space="preserve"> Conforme Despacho </w:t>
      </w:r>
      <w:r w:rsidR="007C0363">
        <w:t xml:space="preserve">nº 496 </w:t>
      </w:r>
      <w:r w:rsidRPr="00DC3A3A">
        <w:t>do SEATA</w:t>
      </w:r>
      <w:r w:rsidR="007C0363">
        <w:t>,</w:t>
      </w:r>
      <w:r w:rsidRPr="00DC3A3A">
        <w:t xml:space="preserve"> </w:t>
      </w:r>
      <w:r w:rsidRPr="00DC3A3A">
        <w:rPr>
          <w:highlight w:val="yellow"/>
        </w:rPr>
        <w:t>SEI XXXX</w:t>
      </w:r>
      <w:r w:rsidRPr="00DC3A3A">
        <w:t xml:space="preserve">, </w:t>
      </w:r>
      <w:r w:rsidRPr="00DC3A3A">
        <w:rPr>
          <w:color w:val="000000"/>
        </w:rPr>
        <w:t>A  pesquisa  de preços foi inserida  novamente aos autos (SEI </w:t>
      </w:r>
      <w:hyperlink r:id="rId6" w:tgtFrame="_blank" w:history="1">
        <w:r w:rsidRPr="00DC3A3A">
          <w:rPr>
            <w:rStyle w:val="Hyperlink"/>
          </w:rPr>
          <w:t>1697062</w:t>
        </w:r>
      </w:hyperlink>
      <w:r w:rsidRPr="00DC3A3A">
        <w:rPr>
          <w:color w:val="000000"/>
        </w:rPr>
        <w:t>), após as correções devidas.</w:t>
      </w:r>
    </w:p>
    <w:p w:rsidR="00B574B2" w:rsidRPr="00DC3A3A" w:rsidRDefault="00B574B2" w:rsidP="00DC3A3A">
      <w:pPr>
        <w:pStyle w:val="NormalWeb"/>
        <w:spacing w:before="0" w:beforeAutospacing="0" w:after="0" w:afterAutospacing="0"/>
        <w:jc w:val="both"/>
      </w:pPr>
      <w:r w:rsidRPr="00DC3A3A">
        <w:rPr>
          <w:b/>
          <w:bCs/>
          <w:color w:val="000000"/>
        </w:rPr>
        <w:t>Recomendação PGF: </w:t>
      </w:r>
      <w:r w:rsidRPr="00DC3A3A">
        <w:rPr>
          <w:color w:val="000000"/>
        </w:rPr>
        <w:t xml:space="preserve">Item </w:t>
      </w:r>
      <w:r w:rsidRPr="00DC3A3A">
        <w:t xml:space="preserve">28. No caso vertente, não consta que a Administração tenha confirmado junto aos órgãos participantes a sua concordância com o objeto a ser licitado, inclusive quanto aos quantitativos e termo de referência, razão pela qual deve haver o suprimento dessa falha. </w:t>
      </w:r>
    </w:p>
    <w:p w:rsidR="00B574B2" w:rsidRPr="00DC3A3A" w:rsidRDefault="00B574B2" w:rsidP="00DC3A3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DC3A3A">
        <w:rPr>
          <w:b/>
          <w:color w:val="000000"/>
        </w:rPr>
        <w:t>Resposta da CPL</w:t>
      </w:r>
      <w:r w:rsidRPr="00DC3A3A">
        <w:rPr>
          <w:b/>
        </w:rPr>
        <w:t>:</w:t>
      </w:r>
      <w:r w:rsidRPr="00DC3A3A">
        <w:rPr>
          <w:color w:val="000000"/>
        </w:rPr>
        <w:t xml:space="preserve"> </w:t>
      </w:r>
      <w:r w:rsidR="008C4836">
        <w:t>Após o fim do prazo de adesão à IRP, o sistema solicita a “aceitação” do Pregoeiro e após a aceitação, automaticamente, o sistema pede a confirmação de todos os órgãos participantes, o que significa a concordância com o objeto e os quantitativos.</w:t>
      </w:r>
    </w:p>
    <w:p w:rsidR="00B574B2" w:rsidRPr="00DC3A3A" w:rsidRDefault="00B574B2" w:rsidP="00DC3A3A">
      <w:pPr>
        <w:pStyle w:val="NormalWeb"/>
        <w:spacing w:before="0" w:beforeAutospacing="0" w:after="0" w:afterAutospacing="0"/>
        <w:jc w:val="both"/>
      </w:pPr>
      <w:r w:rsidRPr="00DC3A3A">
        <w:rPr>
          <w:b/>
          <w:bCs/>
          <w:color w:val="000000"/>
        </w:rPr>
        <w:t>Recomendação PGF: </w:t>
      </w:r>
      <w:r w:rsidRPr="00DC3A3A">
        <w:rPr>
          <w:color w:val="000000"/>
        </w:rPr>
        <w:t xml:space="preserve">Item </w:t>
      </w:r>
      <w:r w:rsidRPr="00DC3A3A">
        <w:t xml:space="preserve">30. Quanto ao procedimento da IN nº 05/2017/SEGES/MPDG, orienta-se: </w:t>
      </w:r>
    </w:p>
    <w:p w:rsidR="00B574B2" w:rsidRPr="00DC3A3A" w:rsidRDefault="00B574B2" w:rsidP="00DC3A3A">
      <w:pPr>
        <w:pStyle w:val="NormalWeb"/>
        <w:spacing w:before="0" w:beforeAutospacing="0" w:after="0" w:afterAutospacing="0"/>
        <w:jc w:val="both"/>
      </w:pPr>
      <w:r w:rsidRPr="00DC3A3A">
        <w:t xml:space="preserve">a. Quanto ao documento para formalização da demanda (DFD) (SEI nº 0930170), esclarecer qual é a previsão de data em que deve ser iniciada a prestação dos serviços, haja visto que consta no referido documento como sendo 07 de abril de 2019, bem como verifique e retifique a previsão de que o serviço seria contínuo, uma vez que a instrução foi no sentido de ser um serviço por escopo, não contínuo; </w:t>
      </w:r>
    </w:p>
    <w:p w:rsidR="00B574B2" w:rsidRPr="00DC3A3A" w:rsidRDefault="00B574B2" w:rsidP="00DC3A3A">
      <w:pPr>
        <w:pStyle w:val="NormalWeb"/>
        <w:spacing w:before="0" w:beforeAutospacing="0" w:after="0" w:afterAutospacing="0"/>
        <w:jc w:val="both"/>
      </w:pPr>
      <w:r w:rsidRPr="00DC3A3A">
        <w:t xml:space="preserve">b. Quanto ao Estudo Técnico Preliminar da Contratação, de 11/06/2019 (SEI nº 0962373), de acordo com o § 3º do art. 24 da IN nº 05/2017/SEGES/MPDG, embora nem todos os incisos do §1º sejam obrigatórios, o órgão ou entidade deverá apresentar justificativas no corpo dos Estudos Preliminares quando não contemplar quaisquer dos incisos de que trata o § 1º do referido artigo. Dessa forma, portanto, os incisos II, III, V, VII, IX, X e XI </w:t>
      </w:r>
      <w:r w:rsidRPr="00DC3A3A">
        <w:lastRenderedPageBreak/>
        <w:t xml:space="preserve">devem ser abordados no ETP ou, quando não o forem, deverá ser acostada justificativa no documento. Assim, a esse respeito, quanto à presença dos incisos do §1º do art. 24 não obrigatórios, verifica-se a seguinte situação: o inciso II (referência a outros instrumentos de planejamento do órgão ou entidade, se houver – não consta); IX (demonstrativo dos resultados pretendidos em termos de economicidade e de melhor aproveitamento dos recursos humanos, materiais ou financeiros disponíveis – não consta); X (providências para adequação do ambiente do órgão – não consta); e XI (contratações correlatas e/ou interdependentes – não consta). </w:t>
      </w:r>
      <w:r w:rsidRPr="00DC3A3A">
        <w:rPr>
          <w:b/>
        </w:rPr>
        <w:t>Dessa forma, portanto, a área técnica deverá suprir as faltas acima, ou complementando o ETP com as informações, ou justificando a sua desnecessidade, conforme exige o art. 24, §3º, da IN nº 05/2017/SEGES/MPDG</w:t>
      </w:r>
      <w:r w:rsidRPr="00DC3A3A">
        <w:t>.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rStyle w:val="Forte"/>
          <w:color w:val="000000"/>
        </w:rPr>
      </w:pPr>
      <w:r w:rsidRPr="00DC3A3A">
        <w:rPr>
          <w:b/>
          <w:color w:val="000000"/>
        </w:rPr>
        <w:t>Resposta da CPL</w:t>
      </w:r>
      <w:r w:rsidRPr="00DC3A3A">
        <w:rPr>
          <w:b/>
        </w:rPr>
        <w:t>:</w:t>
      </w:r>
      <w:r w:rsidRPr="00DC3A3A">
        <w:rPr>
          <w:color w:val="000000"/>
        </w:rPr>
        <w:t xml:space="preserve"> </w:t>
      </w:r>
      <w:r w:rsidRPr="00DC3A3A">
        <w:t xml:space="preserve">Conforme Despacho </w:t>
      </w:r>
      <w:r w:rsidR="007C0363">
        <w:t xml:space="preserve">nº 496 </w:t>
      </w:r>
      <w:r w:rsidRPr="00DC3A3A">
        <w:t>do SEATA</w:t>
      </w:r>
      <w:r w:rsidR="007C0363">
        <w:t>,</w:t>
      </w:r>
      <w:r w:rsidRPr="00DC3A3A">
        <w:t xml:space="preserve"> </w:t>
      </w:r>
      <w:r w:rsidRPr="00DC3A3A">
        <w:rPr>
          <w:highlight w:val="yellow"/>
        </w:rPr>
        <w:t>SEI XXXX</w:t>
      </w:r>
      <w:r w:rsidRPr="00DC3A3A">
        <w:t>,</w:t>
      </w:r>
      <w:r w:rsidRPr="00DC3A3A">
        <w:rPr>
          <w:color w:val="000000"/>
        </w:rPr>
        <w:t xml:space="preserve"> </w:t>
      </w:r>
      <w:r w:rsidRPr="00DC3A3A">
        <w:rPr>
          <w:rStyle w:val="Forte"/>
          <w:color w:val="000000"/>
        </w:rPr>
        <w:t> 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rStyle w:val="Forte"/>
          <w:color w:val="000000"/>
        </w:rPr>
        <w:t>a) </w:t>
      </w:r>
      <w:r w:rsidRPr="00DC3A3A">
        <w:rPr>
          <w:color w:val="000000"/>
        </w:rPr>
        <w:t>O Documento de Formalização de Demanda (SEI </w:t>
      </w:r>
      <w:hyperlink r:id="rId7" w:tgtFrame="_blank" w:history="1">
        <w:r w:rsidRPr="00DC3A3A">
          <w:rPr>
            <w:rStyle w:val="Hyperlink"/>
          </w:rPr>
          <w:t>1696929</w:t>
        </w:r>
      </w:hyperlink>
      <w:r w:rsidRPr="00DC3A3A">
        <w:rPr>
          <w:color w:val="000000"/>
        </w:rPr>
        <w:t>) foi inserido novamente aos autos, após as correções devidas, e, consta a data de 12/12/2019 para a previsão de início da prestação dos serviços;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rStyle w:val="Forte"/>
          <w:color w:val="000000"/>
        </w:rPr>
        <w:t>b)  </w:t>
      </w:r>
      <w:r w:rsidRPr="00DC3A3A">
        <w:rPr>
          <w:color w:val="000000"/>
        </w:rPr>
        <w:t>Em relação ao Estudo Técnico Preliminar da Contratação (SEI </w:t>
      </w:r>
      <w:hyperlink r:id="rId8" w:tgtFrame="_blank" w:history="1">
        <w:r w:rsidRPr="00DC3A3A">
          <w:rPr>
            <w:rStyle w:val="Hyperlink"/>
          </w:rPr>
          <w:t>1697067</w:t>
        </w:r>
      </w:hyperlink>
      <w:r w:rsidRPr="00DC3A3A">
        <w:rPr>
          <w:color w:val="000000"/>
        </w:rPr>
        <w:t>), verificamos que quanto ao § 1º do artigo 24 da IN nº 05/2017/SEGES/MPDG consta o seguinte: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● Inciso II: A cláusula 3ª do Estudo Técnico Preliminar da Contratação informa que houve um estudo embasado no último contrato firmado pela Funasa. E, portanto, a partir da formulação desse estudo, foi criada a planilha com o quantitativo estimado, conforme Cláusula 3.3;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● Inciso IX: A cláusula 12ª do Estudo Técnico Preliminar da Contratação são abordadas as justificativas para o exposto no inciso II, § 1º, do artigo 24 da IN nº 05/2017/SEGES/MPDG;</w:t>
      </w:r>
    </w:p>
    <w:p w:rsidR="00B574B2" w:rsidRPr="00DC3A3A" w:rsidRDefault="00B574B2" w:rsidP="007C0363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● A Cláusula 14 informa que não há a necessidade desta Funasa/Presidência dispor de adequações para contratação dos serviços, e a Cláusula 15 também informa que não se verificam contratações correlatas e/ou interdependente com o objeto da contratação em referência.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</w:pPr>
      <w:r w:rsidRPr="00DC3A3A">
        <w:rPr>
          <w:b/>
          <w:bCs/>
          <w:color w:val="000000"/>
        </w:rPr>
        <w:t>Recomendação PGF: </w:t>
      </w:r>
      <w:r w:rsidRPr="00DC3A3A">
        <w:rPr>
          <w:color w:val="000000"/>
        </w:rPr>
        <w:t xml:space="preserve">Item </w:t>
      </w:r>
      <w:r w:rsidRPr="00DC3A3A">
        <w:t xml:space="preserve">31. Quanto ao Termo de Referência (SEI nº 1404435), observa-se que não obstante conste o registro de que o mesmo foi "elaborado conforme o MODELO DE TERMO DE REFERÊNCIA, PREGÃO ELETRÔNICO (PRESTAÇÃO DE SERVIÇO NÃO CONTINUADO) extraído do site da AGU, com as devidas adaptações ao objeto", observa-se que se observou uma alteração significativa no que concerne à vigência do instrumento (que no caso será substituído pela nota de empenho), tendo sido alterada a referida cláusula para deixar o instrumento com prazo de vigência indeterminado, o que é vedado pela Lei nº 8.666/93. 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</w:pPr>
      <w:r w:rsidRPr="00DC3A3A">
        <w:t>Item 36. Voltando à questão do prazo de vigência, é imperioso registrar que a previsão do TR da Funasa encontra-se com prazo indeterminado, porquanto está atrelada unicamente à validade dos créditos orçamentários.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b/>
          <w:color w:val="000000"/>
        </w:rPr>
        <w:t>Resposta da CPL</w:t>
      </w:r>
      <w:r w:rsidRPr="00DC3A3A">
        <w:rPr>
          <w:b/>
        </w:rPr>
        <w:t>:</w:t>
      </w:r>
      <w:r w:rsidRPr="00DC3A3A">
        <w:rPr>
          <w:color w:val="000000"/>
        </w:rPr>
        <w:t xml:space="preserve"> </w:t>
      </w:r>
      <w:r w:rsidRPr="00DC3A3A">
        <w:t>Conforme Despacho</w:t>
      </w:r>
      <w:r w:rsidR="007C0363" w:rsidRPr="007C0363">
        <w:t xml:space="preserve"> </w:t>
      </w:r>
      <w:r w:rsidR="007C0363">
        <w:t>nº 496</w:t>
      </w:r>
      <w:r w:rsidRPr="00DC3A3A">
        <w:t xml:space="preserve"> do SEATA</w:t>
      </w:r>
      <w:r w:rsidR="007C0363">
        <w:t>,</w:t>
      </w:r>
      <w:r w:rsidRPr="00DC3A3A">
        <w:t xml:space="preserve"> </w:t>
      </w:r>
      <w:r w:rsidRPr="00DC3A3A">
        <w:rPr>
          <w:highlight w:val="yellow"/>
        </w:rPr>
        <w:t>SEI XXXX</w:t>
      </w:r>
      <w:r w:rsidRPr="00DC3A3A">
        <w:t>,</w:t>
      </w:r>
      <w:r w:rsidRPr="00DC3A3A">
        <w:rPr>
          <w:color w:val="000000"/>
        </w:rPr>
        <w:t xml:space="preserve"> na Cláusula 2.6 do Termo de Referência para contratação de serviço de chaveiro (SEI 1697078), foi retificada a vigência do instrumento para o período de 12 (doze) meses.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</w:pPr>
      <w:r w:rsidRPr="00DC3A3A">
        <w:rPr>
          <w:b/>
          <w:bCs/>
          <w:color w:val="000000"/>
        </w:rPr>
        <w:t>Recomendação PGF: </w:t>
      </w:r>
      <w:r w:rsidRPr="00DC3A3A">
        <w:rPr>
          <w:color w:val="000000"/>
        </w:rPr>
        <w:t xml:space="preserve">Item </w:t>
      </w:r>
      <w:r w:rsidRPr="00DC3A3A">
        <w:t xml:space="preserve">35. Assim, não pode a Funasa modificar o modelo de TR sem que haja a consignação de justificativa anexa aos autos, razão pela qual desde logo orienta-se que a equipe de planejamento coteje o referido TR a fim de verificar se há outras previsões dissonantes do modelo, readequando-as à previsão da AGU, ou apresentando as devidas justificativas. Orienta-se, portanto, que haja a análise/atesto específico quanto ao ponto nos autos. 36. Voltando à questão do prazo de vigência, é imperioso registrar que a previsão do TR da Funasa encontra-se com prazo indeterminado, porquanto está atrelada unicamente à validade dos créditos orçamentários. 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b/>
          <w:color w:val="000000"/>
        </w:rPr>
        <w:t>Resposta da CPL</w:t>
      </w:r>
      <w:r w:rsidRPr="00DC3A3A">
        <w:rPr>
          <w:b/>
        </w:rPr>
        <w:t>:</w:t>
      </w:r>
      <w:r w:rsidRPr="00DC3A3A">
        <w:rPr>
          <w:color w:val="000000"/>
        </w:rPr>
        <w:t xml:space="preserve"> </w:t>
      </w:r>
      <w:r w:rsidRPr="00DC3A3A">
        <w:t xml:space="preserve">Conforme Despacho </w:t>
      </w:r>
      <w:r w:rsidR="007C0363">
        <w:t xml:space="preserve">nº 496 </w:t>
      </w:r>
      <w:r w:rsidRPr="00DC3A3A">
        <w:t>do SEATA</w:t>
      </w:r>
      <w:r w:rsidR="007C0363">
        <w:t>,</w:t>
      </w:r>
      <w:r w:rsidRPr="00DC3A3A">
        <w:t xml:space="preserve"> </w:t>
      </w:r>
      <w:r w:rsidRPr="00DC3A3A">
        <w:rPr>
          <w:highlight w:val="yellow"/>
        </w:rPr>
        <w:t>SEI XXXX</w:t>
      </w:r>
      <w:r w:rsidRPr="00DC3A3A">
        <w:t>,</w:t>
      </w:r>
      <w:r w:rsidRPr="00DC3A3A">
        <w:rPr>
          <w:color w:val="000000"/>
        </w:rPr>
        <w:t xml:space="preserve"> O Termo de Referência para contratação de serviço de chaveiro (SEI 1697078) foi elaborado a partir do modelo da AGU, e as adaptações realizadas foram no sentido de manter esse padrão.</w:t>
      </w:r>
    </w:p>
    <w:p w:rsidR="00B574B2" w:rsidRPr="00DC3A3A" w:rsidRDefault="00B574B2" w:rsidP="00DC3A3A">
      <w:pPr>
        <w:pStyle w:val="textoalinhadoesquerda"/>
        <w:spacing w:before="0" w:beforeAutospacing="0" w:after="0" w:afterAutospacing="0"/>
        <w:jc w:val="both"/>
        <w:rPr>
          <w:color w:val="000000"/>
        </w:rPr>
      </w:pPr>
      <w:r w:rsidRPr="00DC3A3A">
        <w:rPr>
          <w:b/>
          <w:bCs/>
          <w:color w:val="000000"/>
        </w:rPr>
        <w:lastRenderedPageBreak/>
        <w:t>Recomendação PGF: </w:t>
      </w:r>
      <w:r w:rsidRPr="00DC3A3A">
        <w:rPr>
          <w:color w:val="000000"/>
        </w:rPr>
        <w:t xml:space="preserve">Item 37. </w:t>
      </w:r>
      <w:r w:rsidRPr="00DC3A3A">
        <w:t>A esse respeito, indaga-se à área técnica: qual é o prazo de execução de cada serviço? A prestação para a Funasa é idônea sendo executada em 2 dias? Em 5 dias? Em 30 dias? Em 5 meses? Ocorre que da forma com que está prevista a cláusula, a contratada poderia entregar o serviço a qualquer tempo, desde que dentro da vigência dos créditos, o que demonstra a absoluta vagueza da previsão do TR.</w:t>
      </w:r>
    </w:p>
    <w:p w:rsidR="00B574B2" w:rsidRPr="00DC3A3A" w:rsidRDefault="00B574B2" w:rsidP="00DC3A3A">
      <w:pPr>
        <w:pStyle w:val="textoalinhadoesquerda"/>
        <w:spacing w:before="0" w:beforeAutospacing="0" w:after="0" w:afterAutospacing="0"/>
        <w:jc w:val="both"/>
        <w:rPr>
          <w:color w:val="000000"/>
        </w:rPr>
      </w:pPr>
      <w:r w:rsidRPr="00DC3A3A">
        <w:rPr>
          <w:rStyle w:val="Forte"/>
          <w:color w:val="000000"/>
        </w:rPr>
        <w:t>Resposta da CPL: </w:t>
      </w:r>
      <w:r w:rsidRPr="00DC3A3A">
        <w:t xml:space="preserve">Conforme Despacho </w:t>
      </w:r>
      <w:r w:rsidR="007C0363">
        <w:t xml:space="preserve">nº 496 </w:t>
      </w:r>
      <w:r w:rsidRPr="00DC3A3A">
        <w:t>do SEATA</w:t>
      </w:r>
      <w:r w:rsidR="007C0363">
        <w:t>,</w:t>
      </w:r>
      <w:r w:rsidRPr="00DC3A3A">
        <w:t xml:space="preserve"> </w:t>
      </w:r>
      <w:r w:rsidRPr="00DC3A3A">
        <w:rPr>
          <w:highlight w:val="yellow"/>
        </w:rPr>
        <w:t>SEI XXXX</w:t>
      </w:r>
      <w:r w:rsidRPr="00DC3A3A">
        <w:t>,</w:t>
      </w:r>
      <w:r w:rsidRPr="00DC3A3A">
        <w:rPr>
          <w:color w:val="000000"/>
        </w:rPr>
        <w:t xml:space="preserve"> em atendimento à Nota nº 00015/2019/COLCA/PFFUNASA/PGF/AGU, houve a reformulação da Cláusula 8.5.3 do Termo de Referência citado, e, ficou estabelecido </w:t>
      </w:r>
      <w:r w:rsidRPr="00DC3A3A">
        <w:rPr>
          <w:rStyle w:val="Forte"/>
          <w:color w:val="000000"/>
          <w:u w:val="single"/>
        </w:rPr>
        <w:t>o prazo de até 2 (dois) dias úteis para a conclusão e entrega dos serviços de chaveiro</w:t>
      </w:r>
      <w:r w:rsidRPr="00DC3A3A">
        <w:rPr>
          <w:color w:val="000000"/>
        </w:rPr>
        <w:t>, conforme a quantidade solicitada, a viabilidade e o grau de dificuldade verificado.</w:t>
      </w:r>
    </w:p>
    <w:p w:rsidR="00B574B2" w:rsidRPr="00DC3A3A" w:rsidRDefault="00B574B2" w:rsidP="00DC3A3A">
      <w:pPr>
        <w:pStyle w:val="textoalinhadoesquerda"/>
        <w:spacing w:before="0" w:beforeAutospacing="0" w:after="0" w:afterAutospacing="0"/>
        <w:jc w:val="both"/>
      </w:pPr>
      <w:r w:rsidRPr="00DC3A3A">
        <w:rPr>
          <w:b/>
          <w:color w:val="000000"/>
        </w:rPr>
        <w:t>Recomendação PGF:</w:t>
      </w:r>
      <w:r w:rsidRPr="00DC3A3A">
        <w:t xml:space="preserve"> Item 39. Dessa forma, recomenda-se que a Funasa adote o modelo de TR da AGU e insira (I) os prazos de execução de cada serviço a ser licitado, bem como (II) </w:t>
      </w:r>
      <w:proofErr w:type="gramStart"/>
      <w:r w:rsidRPr="00DC3A3A">
        <w:t>o(</w:t>
      </w:r>
      <w:proofErr w:type="gramEnd"/>
      <w:r w:rsidRPr="00DC3A3A">
        <w:t xml:space="preserve">s) prazo(s) de vigência do ajuste. Quanto ao prazo de vigência, orienta-se que considere para tanto aquele necessário à execução </w:t>
      </w:r>
      <w:proofErr w:type="gramStart"/>
      <w:r w:rsidRPr="00DC3A3A">
        <w:t>do(</w:t>
      </w:r>
      <w:proofErr w:type="gramEnd"/>
      <w:r w:rsidRPr="00DC3A3A">
        <w:t>s) objeto(s), somado ao prazo para recebimento provisório, definitivo e pagamento/liquidação da despesa.</w:t>
      </w:r>
    </w:p>
    <w:p w:rsidR="00B574B2" w:rsidRDefault="00B574B2" w:rsidP="00DC3A3A">
      <w:pPr>
        <w:pStyle w:val="textoalinhadoesquerda"/>
        <w:spacing w:before="0" w:beforeAutospacing="0" w:after="0" w:afterAutospacing="0"/>
        <w:jc w:val="both"/>
        <w:rPr>
          <w:color w:val="000000"/>
        </w:rPr>
      </w:pPr>
      <w:r w:rsidRPr="00DC3A3A">
        <w:rPr>
          <w:b/>
          <w:color w:val="000000"/>
        </w:rPr>
        <w:t>Resposta da CPL</w:t>
      </w:r>
      <w:r w:rsidRPr="00DC3A3A">
        <w:rPr>
          <w:b/>
        </w:rPr>
        <w:t xml:space="preserve">: </w:t>
      </w:r>
      <w:r w:rsidRPr="00DC3A3A">
        <w:t xml:space="preserve">Conforme Despacho </w:t>
      </w:r>
      <w:r w:rsidR="007C0363">
        <w:t xml:space="preserve">nº 496 </w:t>
      </w:r>
      <w:r w:rsidRPr="00DC3A3A">
        <w:t>do SEATA</w:t>
      </w:r>
      <w:r w:rsidR="007C0363">
        <w:t>,</w:t>
      </w:r>
      <w:r w:rsidRPr="00DC3A3A">
        <w:t xml:space="preserve"> </w:t>
      </w:r>
      <w:r w:rsidRPr="00DC3A3A">
        <w:rPr>
          <w:highlight w:val="yellow"/>
        </w:rPr>
        <w:t>SEI XXXX</w:t>
      </w:r>
      <w:r w:rsidRPr="00DC3A3A">
        <w:t xml:space="preserve">, </w:t>
      </w:r>
      <w:proofErr w:type="gramStart"/>
      <w:r w:rsidRPr="00DC3A3A">
        <w:rPr>
          <w:color w:val="000000"/>
        </w:rPr>
        <w:t>No</w:t>
      </w:r>
      <w:proofErr w:type="gramEnd"/>
      <w:r w:rsidRPr="00DC3A3A">
        <w:rPr>
          <w:color w:val="000000"/>
        </w:rPr>
        <w:t xml:space="preserve"> item "Modelo de Execução do Objeto", Cláusulas 8.2, 8.5.3 e 8.5, do Termo de Referência para contratação de serviço de chaveiro, constam respectivamente, o horário em que o serviço poderá ser acionado, bem como, a especificação do tempo em que a contratada deverá comparecer ao local indicado para a execução do serviço. No que se refere ao Item "Do Recebimento e Aceitação do Objeto", nas Cláusulas 15.2 e 15.3 constam o prazo para entrega da documentação comprobatória do Cumprimento da obrigação contratual e do recebimento provisório. E na Cláusula 15.5 é informado o prazo para a conclusão do recebimento definitivo do objeto, o qual se concretiza com o ateste do Gestor do Contrato.</w:t>
      </w:r>
    </w:p>
    <w:p w:rsidR="00E444FB" w:rsidRDefault="00E444FB" w:rsidP="00DC3A3A">
      <w:pPr>
        <w:pStyle w:val="textoalinhadoesquerda"/>
        <w:spacing w:before="0" w:beforeAutospacing="0" w:after="0" w:afterAutospacing="0"/>
        <w:jc w:val="both"/>
        <w:rPr>
          <w:color w:val="000000"/>
        </w:rPr>
      </w:pPr>
    </w:p>
    <w:p w:rsidR="00E444FB" w:rsidRPr="00DC3A3A" w:rsidRDefault="00E444FB" w:rsidP="00E4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A3A">
        <w:rPr>
          <w:rFonts w:ascii="Times New Roman" w:hAnsi="Times New Roman" w:cs="Times New Roman"/>
          <w:b/>
          <w:sz w:val="24"/>
          <w:szCs w:val="24"/>
        </w:rPr>
        <w:t>DO PARECER PFE</w:t>
      </w:r>
    </w:p>
    <w:p w:rsidR="00E444FB" w:rsidRPr="00DC3A3A" w:rsidRDefault="00E444FB" w:rsidP="00E4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Após análise dos autos e em atenção ao exposto pela Procuradoria Federal</w:t>
      </w:r>
    </w:p>
    <w:p w:rsidR="00E444FB" w:rsidRPr="00E444FB" w:rsidRDefault="00E444FB" w:rsidP="00E4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Especializada – PFE no PARECER Nº 0060/2020/COLCA/PFFUNA/PGF/AGU (SEI 2505919) e do Despacho de Aprovação Nº 080/2020/COLCA/PFFUNASA/PGF/AGU (SEI 2505926</w:t>
      </w:r>
      <w:proofErr w:type="gramStart"/>
      <w:r w:rsidRPr="00DC3A3A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DC3A3A">
        <w:rPr>
          <w:rFonts w:ascii="Times New Roman" w:hAnsi="Times New Roman" w:cs="Times New Roman"/>
          <w:sz w:val="24"/>
          <w:szCs w:val="24"/>
        </w:rPr>
        <w:t xml:space="preserve"> com as recomendações a serem atendidas, seguem comentários e providências pertinentes:</w:t>
      </w:r>
    </w:p>
    <w:p w:rsidR="00E444FB" w:rsidRPr="00DC3A3A" w:rsidRDefault="00E444FB" w:rsidP="00DC3A3A">
      <w:pPr>
        <w:pStyle w:val="textoalinhadoesquerda"/>
        <w:spacing w:before="0" w:beforeAutospacing="0" w:after="0" w:afterAutospacing="0"/>
        <w:jc w:val="both"/>
      </w:pP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 xml:space="preserve">  Item </w:t>
      </w:r>
      <w:r w:rsidRPr="00DC3A3A">
        <w:rPr>
          <w:rFonts w:ascii="Times New Roman" w:hAnsi="Times New Roman" w:cs="Times New Roman"/>
          <w:sz w:val="24"/>
          <w:szCs w:val="24"/>
        </w:rPr>
        <w:t>47. Observe-se, ainda, que são vedadas especificações do objeto que, por excessivas, irrelevantes ou desnecessárias, limitem ou frustrem a competição ou sua realização (art. 3º, §1º, I, da Lei nº 8.666/1993 e art. 3º, XI, “a”, 1, do Decreto nº 10.024/2019). Portanto, o gestor deverá tomar as devidas cautelas para assegurar que as especificações correspondam àquelas essenciais à contratação, sem as quais não poderão ser atendidas as necessidades da Administração.</w:t>
      </w:r>
    </w:p>
    <w:p w:rsidR="00B574B2" w:rsidRPr="00DC3A3A" w:rsidRDefault="00B574B2" w:rsidP="00DC3A3A">
      <w:pPr>
        <w:pStyle w:val="textoalinhadoesquerda"/>
        <w:spacing w:before="0" w:beforeAutospacing="0" w:after="0" w:afterAutospacing="0"/>
        <w:jc w:val="both"/>
        <w:rPr>
          <w:b/>
          <w:color w:val="000000"/>
        </w:rPr>
      </w:pPr>
      <w:r w:rsidRPr="00DC3A3A">
        <w:rPr>
          <w:b/>
          <w:color w:val="000000"/>
        </w:rPr>
        <w:t>Resposta da CPL</w:t>
      </w:r>
      <w:r w:rsidRPr="00DC3A3A">
        <w:rPr>
          <w:b/>
        </w:rPr>
        <w:t>:</w:t>
      </w:r>
      <w:r w:rsidRPr="00DC3A3A">
        <w:t xml:space="preserve"> </w:t>
      </w:r>
      <w:r w:rsidRPr="00DC3A3A">
        <w:rPr>
          <w:rStyle w:val="Forte"/>
          <w:color w:val="000000"/>
        </w:rPr>
        <w:t> </w:t>
      </w:r>
      <w:r w:rsidRPr="00DC3A3A">
        <w:t xml:space="preserve">Conforme Despacho </w:t>
      </w:r>
      <w:r w:rsidR="007C0363">
        <w:t xml:space="preserve">nº 496 </w:t>
      </w:r>
      <w:r w:rsidRPr="00DC3A3A">
        <w:t>do SEATA</w:t>
      </w:r>
      <w:r w:rsidR="007C0363">
        <w:t>,</w:t>
      </w:r>
      <w:r w:rsidRPr="00DC3A3A">
        <w:t xml:space="preserve"> </w:t>
      </w:r>
      <w:r w:rsidRPr="00DC3A3A">
        <w:rPr>
          <w:highlight w:val="yellow"/>
        </w:rPr>
        <w:t>SEI XXXX</w:t>
      </w:r>
      <w:r w:rsidRPr="00DC3A3A">
        <w:rPr>
          <w:color w:val="000000"/>
        </w:rPr>
        <w:t>, as especificações do objeto</w:t>
      </w:r>
      <w:r w:rsidRPr="00DC3A3A">
        <w:rPr>
          <w:rStyle w:val="Forte"/>
          <w:color w:val="000000"/>
        </w:rPr>
        <w:t> </w:t>
      </w:r>
      <w:r w:rsidRPr="00DC3A3A">
        <w:rPr>
          <w:color w:val="000000"/>
        </w:rPr>
        <w:t>listadas</w:t>
      </w:r>
      <w:r w:rsidRPr="00DC3A3A">
        <w:rPr>
          <w:rStyle w:val="Forte"/>
          <w:color w:val="000000"/>
        </w:rPr>
        <w:t> </w:t>
      </w:r>
      <w:r w:rsidRPr="00DC3A3A">
        <w:rPr>
          <w:color w:val="000000"/>
        </w:rPr>
        <w:t>no Termo de Referência SEATA (</w:t>
      </w:r>
      <w:hyperlink r:id="rId9" w:tgtFrame="_blank" w:history="1">
        <w:r w:rsidRPr="00DC3A3A">
          <w:rPr>
            <w:rStyle w:val="Hyperlink"/>
          </w:rPr>
          <w:t>2434033</w:t>
        </w:r>
      </w:hyperlink>
      <w:r w:rsidRPr="00DC3A3A">
        <w:rPr>
          <w:color w:val="000000"/>
        </w:rPr>
        <w:t>) foram apresentadas de modo a assegurar que a sua aquisição esteja em consonância ao princípio da isonomia, ou seja, assegurando a todos os interessados, igualdade de condições para que possam comprovar que atendem às exigências necessárias à contratação pretendida. E assim possibilitar a escolha da proposta mais vantajosa para a Administração e a promoção do desenvolvimento nacional sustentável. Respeitando, portanto, em estrita conformidade aos princípios básicos que orientam a Administração Pública.</w:t>
      </w:r>
      <w:r w:rsidRPr="00DC3A3A">
        <w:rPr>
          <w:b/>
          <w:color w:val="000000"/>
        </w:rPr>
        <w:t xml:space="preserve"> </w:t>
      </w:r>
    </w:p>
    <w:p w:rsidR="00B574B2" w:rsidRPr="00DC3A3A" w:rsidRDefault="00B574B2" w:rsidP="00DC3A3A">
      <w:pPr>
        <w:pStyle w:val="textoalinhadoesquerda"/>
        <w:spacing w:before="0" w:beforeAutospacing="0" w:after="0" w:afterAutospacing="0"/>
        <w:jc w:val="both"/>
      </w:pPr>
      <w:r w:rsidRPr="00DC3A3A">
        <w:rPr>
          <w:b/>
          <w:color w:val="000000"/>
        </w:rPr>
        <w:t xml:space="preserve">Recomendação PGF: </w:t>
      </w:r>
      <w:r w:rsidRPr="00DC3A3A">
        <w:rPr>
          <w:color w:val="000000"/>
        </w:rPr>
        <w:t xml:space="preserve">item </w:t>
      </w:r>
      <w:r w:rsidRPr="00DC3A3A">
        <w:t>58 Dito isso, percebe-se que o presente certame previu a adjudicação do objeto por lote único, consoante se extrai do ETP constante do SEI 1697067, especificamente no seu item 11. Ademais, no caso em comento, observa-se que foi apresentada justificativa para o não parcelamento do objeto, o argumento que se trata de serviço de chaveiro. A despeito de as justificativas para essa decisão terem sido lançadas, entende-se que precisam ser melhoradas à luz dos parâmetros do subitem 3.8 do anexo III da IN SEGES/MP nº 05/2017.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b/>
          <w:color w:val="000000"/>
        </w:rPr>
        <w:lastRenderedPageBreak/>
        <w:t>Resposta da CPL</w:t>
      </w:r>
      <w:r w:rsidRPr="00DC3A3A">
        <w:rPr>
          <w:b/>
        </w:rPr>
        <w:t xml:space="preserve">: </w:t>
      </w:r>
      <w:r w:rsidRPr="00DC3A3A">
        <w:t xml:space="preserve">Conforme Despacho </w:t>
      </w:r>
      <w:r w:rsidR="007C0363">
        <w:t xml:space="preserve">nº 496 </w:t>
      </w:r>
      <w:r w:rsidRPr="00DC3A3A">
        <w:t>do SEATA</w:t>
      </w:r>
      <w:r w:rsidR="007C0363">
        <w:t>,</w:t>
      </w:r>
      <w:r w:rsidRPr="00DC3A3A">
        <w:t xml:space="preserve"> </w:t>
      </w:r>
      <w:r w:rsidRPr="00DC3A3A">
        <w:rPr>
          <w:highlight w:val="yellow"/>
        </w:rPr>
        <w:t>SEI XXXX</w:t>
      </w:r>
      <w:r w:rsidRPr="00DC3A3A">
        <w:rPr>
          <w:color w:val="000000"/>
        </w:rPr>
        <w:t>, o presente certame previu a adjudicação do objeto por lote único, pelo fato de que tal procedimento se verifica mais satisfatório do ponto de vista da eficiência técnica, haja vista que o gerenciamento permanece todo o tempo a cargo de um mesmo administrador, possibilitando assim, maior nível de controle pela Administração na execução do serviço, e na observância dos prazos. 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Do mesmo modo, a contratação do objeto por lote único considera a semelhança dos itens que o constituem, justificando-se assim a necessidade de adjudicação por menor preço global por se tratar de um único serviço, pois os itens que compõem o grupo são da mesma natureza e guardam relação entre si.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</w:pPr>
      <w:r w:rsidRPr="00DC3A3A">
        <w:rPr>
          <w:color w:val="000000"/>
        </w:rPr>
        <w:t> Além do mais, e o fato de lidar com um único prestador para o serviço diminui o custo processual e administrativo de gerenciamento de todo o processo de contratação, proporcionando maior economia de escala, e no atendimento aos pressupostos da eficácia e da economicidade. Sendo inviável contratação por itens, da qual poderá resultar em 18 empresas ganhadoras distintas e 18 contratos.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 xml:space="preserve"> Item </w:t>
      </w:r>
      <w:r w:rsidRPr="00DC3A3A">
        <w:rPr>
          <w:rFonts w:ascii="Times New Roman" w:hAnsi="Times New Roman" w:cs="Times New Roman"/>
          <w:sz w:val="24"/>
          <w:szCs w:val="24"/>
        </w:rPr>
        <w:t>61. Posto isso, para definição dos critérios e práticas de sustentabilidade, recomendam-se consultas ao art. 6º da Instrução Normativa SLTI/MP nº 01/2010 e ao Guia Nacional de Contratações Sustentáveis (2ª edição, revista, atualizada e ampliada. Setembro/2019), disponibilizado pela Consultoria-Geral da União no sítio http://www.agu.gov.br/page/content/detail/id_conteudo/270265.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b/>
          <w:color w:val="000000"/>
        </w:rPr>
        <w:t>Resposta da CPL</w:t>
      </w:r>
      <w:r w:rsidRPr="00DC3A3A">
        <w:rPr>
          <w:b/>
        </w:rPr>
        <w:t>:</w:t>
      </w:r>
      <w:r w:rsidRPr="00DC3A3A">
        <w:t xml:space="preserve"> Conforme Despacho </w:t>
      </w:r>
      <w:r w:rsidR="007C0363">
        <w:t xml:space="preserve">nº 496 </w:t>
      </w:r>
      <w:r w:rsidRPr="00DC3A3A">
        <w:t>do SEATA</w:t>
      </w:r>
      <w:r w:rsidR="007C0363">
        <w:t>,</w:t>
      </w:r>
      <w:r w:rsidRPr="00DC3A3A">
        <w:t xml:space="preserve"> </w:t>
      </w:r>
      <w:r w:rsidRPr="00DC3A3A">
        <w:rPr>
          <w:highlight w:val="yellow"/>
        </w:rPr>
        <w:t>SEI XXXX</w:t>
      </w:r>
      <w:r w:rsidRPr="00DC3A3A">
        <w:rPr>
          <w:color w:val="000000"/>
        </w:rPr>
        <w:t xml:space="preserve">, </w:t>
      </w:r>
      <w:r w:rsidRPr="00DC3A3A">
        <w:rPr>
          <w:rStyle w:val="Forte"/>
          <w:b w:val="0"/>
          <w:color w:val="000000"/>
        </w:rPr>
        <w:t>q</w:t>
      </w:r>
      <w:r w:rsidRPr="00DC3A3A">
        <w:rPr>
          <w:color w:val="000000"/>
        </w:rPr>
        <w:t>uanto aos critérios e práticas de sustentabilidade, a Contratada deverá cumprir, no que couber à execução contratual, as disposições contidas na Instrução Normativa nº 01/2010-SLTI/MPOG, que dispõe sobre os critérios de sustentabilidade ambiental na aquisição de bens, contratação de serviços ou obras pela Administração Pública Federal direta, autárquica e fundacional, e no Decreto nº 7.746, de 05 de junho de 2012, que estabelece critérios, práticas e diretrizes para a promoção do desenvolvimento nacional sustentável nas contratações realizadas pela administração pública federal. 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A Contratada deverá ainda adotar boas práticas de otimização de recursos/redução de desperdícios/ menor poluição, tais como: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● Racionalização do uso de substâncias potencialmente tóxico poluentes;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● Substituição de substâncias tóxicas por outras atóxicas ou de menor toxicidade;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● Treinamento/ capacitação periódicos dos empregados sobre boas práticas de redução de desperdícios/poluição;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proofErr w:type="gramStart"/>
      <w:r w:rsidRPr="00DC3A3A">
        <w:rPr>
          <w:color w:val="000000"/>
        </w:rPr>
        <w:t>● Respeitar</w:t>
      </w:r>
      <w:proofErr w:type="gramEnd"/>
      <w:r w:rsidRPr="00DC3A3A">
        <w:rPr>
          <w:color w:val="000000"/>
        </w:rPr>
        <w:t xml:space="preserve"> as Normas Brasileiras – NBR publicadas pela Associação Brasileira de Normas Técnicas sobre resíduos sólidos;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proofErr w:type="gramStart"/>
      <w:r w:rsidRPr="00DC3A3A">
        <w:rPr>
          <w:color w:val="000000"/>
        </w:rPr>
        <w:t>● Executar</w:t>
      </w:r>
      <w:proofErr w:type="gramEnd"/>
      <w:r w:rsidRPr="00DC3A3A">
        <w:rPr>
          <w:color w:val="000000"/>
        </w:rPr>
        <w:t xml:space="preserve"> práticas de sustentabilidade ambiental, quando da execução dos serviços, utilizando produtos biodegradáveis, atóxicos, conforme ABNT NBR 15448-1 e 15448-2 economizando energia, gás, água, bem como separar seletivamente os resíduos oriundos da prestação dos serviços;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proofErr w:type="gramStart"/>
      <w:r w:rsidRPr="00DC3A3A">
        <w:rPr>
          <w:color w:val="000000"/>
        </w:rPr>
        <w:t>● Realizar</w:t>
      </w:r>
      <w:proofErr w:type="gramEnd"/>
      <w:r w:rsidRPr="00DC3A3A">
        <w:rPr>
          <w:color w:val="000000"/>
        </w:rPr>
        <w:t xml:space="preserve"> a separação dos resíduos recicláveis oriundos da prestação dos serviços em parceria com a CONTRATANTE, observados os dispositivos legais e de acordo com o Decreto 5.940/06 e IN/MARE n° 6/1995.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proofErr w:type="gramStart"/>
      <w:r w:rsidRPr="00DC3A3A">
        <w:rPr>
          <w:color w:val="000000"/>
        </w:rPr>
        <w:t>● Adotar</w:t>
      </w:r>
      <w:proofErr w:type="gramEnd"/>
      <w:r w:rsidRPr="00DC3A3A">
        <w:rPr>
          <w:color w:val="000000"/>
        </w:rPr>
        <w:t xml:space="preserve"> as práticas de sustentabilidade na execução dos serviços, quando couber, todas de acordo com o art. 6º da Instrução Normativa SLTI/MPOG nº 1, de 19 de janeiro de 2010.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 xml:space="preserve"> Item </w:t>
      </w:r>
      <w:r w:rsidRPr="00DC3A3A">
        <w:rPr>
          <w:rFonts w:ascii="Times New Roman" w:hAnsi="Times New Roman" w:cs="Times New Roman"/>
          <w:sz w:val="24"/>
          <w:szCs w:val="24"/>
        </w:rPr>
        <w:t xml:space="preserve">63. Feitas essas considerações, verifica-se que a Administração precisa atender às exigências salientadas acima, pois nem teceu considerações sobre os requisitos de sustentabilidade ambiental, nem justificou a não incidência dos mesmos. 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DC3A3A">
        <w:rPr>
          <w:rFonts w:ascii="Times New Roman" w:hAnsi="Times New Roman" w:cs="Times New Roman"/>
          <w:b/>
          <w:sz w:val="24"/>
          <w:szCs w:val="24"/>
        </w:rPr>
        <w:t>:</w:t>
      </w:r>
      <w:r w:rsidRPr="00DC3A3A">
        <w:rPr>
          <w:rFonts w:ascii="Times New Roman" w:hAnsi="Times New Roman" w:cs="Times New Roman"/>
          <w:sz w:val="24"/>
          <w:szCs w:val="24"/>
        </w:rPr>
        <w:t xml:space="preserve"> Conforme Despacho </w:t>
      </w:r>
      <w:r w:rsidR="007C0363">
        <w:rPr>
          <w:rFonts w:ascii="Times New Roman" w:hAnsi="Times New Roman" w:cs="Times New Roman"/>
          <w:sz w:val="24"/>
          <w:szCs w:val="24"/>
        </w:rPr>
        <w:t xml:space="preserve">nº 496 </w:t>
      </w:r>
      <w:r w:rsidRPr="00DC3A3A">
        <w:rPr>
          <w:rFonts w:ascii="Times New Roman" w:hAnsi="Times New Roman" w:cs="Times New Roman"/>
          <w:sz w:val="24"/>
          <w:szCs w:val="24"/>
        </w:rPr>
        <w:t>do SEATA</w:t>
      </w:r>
      <w:r w:rsidR="007C0363">
        <w:rPr>
          <w:rFonts w:ascii="Times New Roman" w:hAnsi="Times New Roman" w:cs="Times New Roman"/>
          <w:sz w:val="24"/>
          <w:szCs w:val="24"/>
        </w:rPr>
        <w:t>,</w:t>
      </w:r>
      <w:r w:rsidRPr="00DC3A3A">
        <w:rPr>
          <w:rFonts w:ascii="Times New Roman" w:hAnsi="Times New Roman" w:cs="Times New Roman"/>
          <w:sz w:val="24"/>
          <w:szCs w:val="24"/>
        </w:rPr>
        <w:t xml:space="preserve"> </w:t>
      </w:r>
      <w:r w:rsidRPr="00DC3A3A">
        <w:rPr>
          <w:rFonts w:ascii="Times New Roman" w:hAnsi="Times New Roman" w:cs="Times New Roman"/>
          <w:sz w:val="24"/>
          <w:szCs w:val="24"/>
          <w:highlight w:val="yellow"/>
        </w:rPr>
        <w:t>SEI XXXX</w:t>
      </w:r>
      <w:r w:rsidRPr="00DC3A3A">
        <w:rPr>
          <w:rFonts w:ascii="Times New Roman" w:hAnsi="Times New Roman" w:cs="Times New Roman"/>
          <w:sz w:val="24"/>
          <w:szCs w:val="24"/>
        </w:rPr>
        <w:t xml:space="preserve">, 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>Constam no item anterior, as considerações pertinentes à adoção dos critérios e práticas de sustentabilidade para a presente contratação</w:t>
      </w:r>
      <w:r w:rsidRPr="00DC3A3A">
        <w:rPr>
          <w:rFonts w:ascii="Times New Roman" w:hAnsi="Times New Roman" w:cs="Times New Roman"/>
          <w:sz w:val="24"/>
          <w:szCs w:val="24"/>
        </w:rPr>
        <w:t>.</w:t>
      </w:r>
    </w:p>
    <w:p w:rsidR="00B574B2" w:rsidRPr="00DC3A3A" w:rsidRDefault="00B574B2" w:rsidP="00DC3A3A">
      <w:pPr>
        <w:pStyle w:val="textoalinhadoesquerda"/>
        <w:spacing w:before="0" w:beforeAutospacing="0" w:after="0" w:afterAutospacing="0"/>
        <w:jc w:val="both"/>
      </w:pPr>
      <w:r w:rsidRPr="00DC3A3A">
        <w:rPr>
          <w:b/>
          <w:color w:val="000000"/>
        </w:rPr>
        <w:lastRenderedPageBreak/>
        <w:t>Recomendação PGF:</w:t>
      </w:r>
      <w:r w:rsidRPr="00DC3A3A">
        <w:t xml:space="preserve"> Item 79. No caso concreto, não houve maiores justificativas a respeito da escolha pela empreitada por preço global/unitário. Assim sendo, recomenda-se que sejam trazidas ao processo maiores justificativas para o regime de execução escolhido para a presente contratação.</w:t>
      </w:r>
    </w:p>
    <w:p w:rsidR="00B574B2" w:rsidRPr="00DC3A3A" w:rsidRDefault="00B574B2" w:rsidP="00DC3A3A">
      <w:pPr>
        <w:pStyle w:val="textojustificado"/>
        <w:spacing w:before="0" w:beforeAutospacing="0" w:after="0" w:afterAutospacing="0"/>
        <w:jc w:val="both"/>
        <w:rPr>
          <w:color w:val="000000"/>
        </w:rPr>
      </w:pPr>
      <w:r w:rsidRPr="00DC3A3A">
        <w:rPr>
          <w:b/>
          <w:color w:val="000000"/>
        </w:rPr>
        <w:t>Resposta da CPL</w:t>
      </w:r>
      <w:r w:rsidRPr="00DC3A3A">
        <w:rPr>
          <w:b/>
        </w:rPr>
        <w:t xml:space="preserve">: </w:t>
      </w:r>
      <w:r w:rsidRPr="00DC3A3A">
        <w:t xml:space="preserve">Conforme Despacho do SEATA </w:t>
      </w:r>
      <w:r w:rsidRPr="00DC3A3A">
        <w:rPr>
          <w:highlight w:val="yellow"/>
        </w:rPr>
        <w:t>SEI XXXX</w:t>
      </w:r>
      <w:r w:rsidRPr="00DC3A3A">
        <w:t xml:space="preserve">, </w:t>
      </w:r>
      <w:r w:rsidRPr="00DC3A3A">
        <w:rPr>
          <w:color w:val="000000"/>
        </w:rPr>
        <w:t>Conforme </w:t>
      </w:r>
      <w:r w:rsidRPr="00DC3A3A">
        <w:rPr>
          <w:rStyle w:val="Forte"/>
          <w:color w:val="000000"/>
        </w:rPr>
        <w:t xml:space="preserve">Cláusula 2.5 do Termo de Referência </w:t>
      </w:r>
      <w:proofErr w:type="spellStart"/>
      <w:r w:rsidRPr="00DC3A3A">
        <w:rPr>
          <w:rStyle w:val="Forte"/>
          <w:color w:val="000000"/>
        </w:rPr>
        <w:t>Seata</w:t>
      </w:r>
      <w:proofErr w:type="spellEnd"/>
      <w:r w:rsidRPr="00DC3A3A">
        <w:rPr>
          <w:rStyle w:val="Forte"/>
          <w:color w:val="000000"/>
        </w:rPr>
        <w:t xml:space="preserve"> (</w:t>
      </w:r>
      <w:hyperlink r:id="rId10" w:tgtFrame="_blank" w:history="1">
        <w:r w:rsidRPr="00DC3A3A">
          <w:rPr>
            <w:rStyle w:val="Hyperlink"/>
            <w:b/>
            <w:bCs/>
          </w:rPr>
          <w:t>2434033</w:t>
        </w:r>
      </w:hyperlink>
      <w:r w:rsidRPr="00DC3A3A">
        <w:rPr>
          <w:rStyle w:val="Forte"/>
          <w:color w:val="000000"/>
        </w:rPr>
        <w:t>)</w:t>
      </w:r>
      <w:r w:rsidRPr="00DC3A3A">
        <w:rPr>
          <w:color w:val="000000"/>
        </w:rPr>
        <w:t>, o regime de execução a ser adotado para a presente contratação será a Empreitada por Preço Unitário. O aludido regime é recomendo nas contratações de obra ou do serviço por preço certo de unidades determinadas, correndo o pagamento apenas dos serviços efetivamente executados. A empreitada por preço unitário é mais adequada para as situações em que os quantitativos que compõem o objeto não podem ser previamente definidos com grande precisão.</w:t>
      </w:r>
    </w:p>
    <w:p w:rsidR="00B574B2" w:rsidRPr="00DC3A3A" w:rsidRDefault="00B574B2" w:rsidP="00DC3A3A">
      <w:pPr>
        <w:pStyle w:val="textojustificadorecuoprimeiralinha"/>
        <w:spacing w:before="0" w:beforeAutospacing="0" w:after="0" w:afterAutospacing="0"/>
        <w:jc w:val="both"/>
        <w:rPr>
          <w:color w:val="000000"/>
        </w:rPr>
      </w:pPr>
      <w:r w:rsidRPr="00DC3A3A">
        <w:rPr>
          <w:color w:val="000000"/>
        </w:rPr>
        <w:t>Ademais, conforme inciso "b" do Despacho de Aprovação n. 00080/2020/COLCA/PFFUNASA/PGF/AGU </w:t>
      </w:r>
      <w:r w:rsidRPr="00DC3A3A">
        <w:rPr>
          <w:rStyle w:val="Forte"/>
          <w:color w:val="000000"/>
        </w:rPr>
        <w:t>(</w:t>
      </w:r>
      <w:hyperlink r:id="rId11" w:tgtFrame="_blank" w:history="1">
        <w:r w:rsidRPr="00DC3A3A">
          <w:rPr>
            <w:rStyle w:val="Hyperlink"/>
            <w:b/>
            <w:bCs/>
          </w:rPr>
          <w:t>2505926</w:t>
        </w:r>
      </w:hyperlink>
      <w:r w:rsidRPr="00DC3A3A">
        <w:rPr>
          <w:rStyle w:val="Forte"/>
          <w:color w:val="000000"/>
        </w:rPr>
        <w:t>),</w:t>
      </w:r>
      <w:r w:rsidRPr="00DC3A3A">
        <w:rPr>
          <w:color w:val="000000"/>
        </w:rPr>
        <w:t xml:space="preserve"> o regime de execução por preço unitário parece ser o mais adequado para a contratação em voga, in </w:t>
      </w:r>
      <w:proofErr w:type="spellStart"/>
      <w:r w:rsidRPr="00DC3A3A">
        <w:rPr>
          <w:color w:val="000000"/>
        </w:rPr>
        <w:t>verbis</w:t>
      </w:r>
      <w:proofErr w:type="spellEnd"/>
      <w:r w:rsidRPr="00DC3A3A">
        <w:rPr>
          <w:color w:val="000000"/>
        </w:rPr>
        <w:t>:</w:t>
      </w:r>
    </w:p>
    <w:p w:rsidR="00B574B2" w:rsidRPr="00E444FB" w:rsidRDefault="00B574B2" w:rsidP="00E444FB">
      <w:pPr>
        <w:pStyle w:val="citacao"/>
        <w:spacing w:before="0" w:beforeAutospacing="0" w:after="0" w:afterAutospacing="0"/>
        <w:jc w:val="both"/>
        <w:rPr>
          <w:color w:val="000000"/>
        </w:rPr>
      </w:pPr>
      <w:proofErr w:type="gramStart"/>
      <w:r w:rsidRPr="00DC3A3A">
        <w:rPr>
          <w:color w:val="000000"/>
        </w:rPr>
        <w:t>b) Quanto</w:t>
      </w:r>
      <w:proofErr w:type="gramEnd"/>
      <w:r w:rsidRPr="00DC3A3A">
        <w:rPr>
          <w:color w:val="000000"/>
        </w:rPr>
        <w:t xml:space="preserve"> ao regime de execução, entende-se que na empreitada por preço unitário, em que o preço é fixado por unidade determinada, os pagamentos correspondem à medição dos serviços efetivamente executados, de modo que os riscos dos contratantes em relação a diferenças de quantitativos são menores. Tal regime é mais apropriado para os casos em que não se conhecem de antemão, com adequado nível de precisão, os quantitativos totais da obra ou serviço: a execução das “unidades” se dará de acordo com a necessidade observada, com a realização de medições periódicas a fim de quantificar os serviços efetivamente executados e os correspondentes valores devidos (TCU. Acórdão 1978/2013- Plenário, TC 007.109/2013-0, relator Ministro Valmir Campelo, 31.7.2013). Dessa forma, o regime de execução por preço unitário parece ser o mais adequado para a contratação em voga.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DC3A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54B">
        <w:rPr>
          <w:rFonts w:ascii="Times New Roman" w:hAnsi="Times New Roman" w:cs="Times New Roman"/>
          <w:color w:val="000000"/>
          <w:sz w:val="24"/>
          <w:szCs w:val="24"/>
        </w:rPr>
        <w:t xml:space="preserve">Item </w:t>
      </w:r>
      <w:r w:rsidRPr="00DC3A3A">
        <w:rPr>
          <w:rFonts w:ascii="Times New Roman" w:hAnsi="Times New Roman" w:cs="Times New Roman"/>
          <w:sz w:val="24"/>
          <w:szCs w:val="24"/>
        </w:rPr>
        <w:t>81. Dito isso, consta dos autos que foram utilizadas as minutas padronizadas de edital e ata de registro de preços elaboradas e disponibilizadas pela Advocacia-Geral da União. Contudo, não consta nos autos a minuta do Contrato, o que deverá ser suprido pela área competente, inclusive, adotando obrigatoriamente o modelo da AGU.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DC3A3A">
        <w:rPr>
          <w:rFonts w:ascii="Times New Roman" w:hAnsi="Times New Roman" w:cs="Times New Roman"/>
          <w:b/>
          <w:sz w:val="24"/>
          <w:szCs w:val="24"/>
        </w:rPr>
        <w:t>:</w:t>
      </w:r>
      <w:r w:rsidRPr="00DC3A3A">
        <w:rPr>
          <w:rFonts w:ascii="Times New Roman" w:hAnsi="Times New Roman" w:cs="Times New Roman"/>
          <w:sz w:val="24"/>
          <w:szCs w:val="24"/>
        </w:rPr>
        <w:t xml:space="preserve"> Foi inserida a Minuta do Contrato e encaminhada para a PGF, conforme </w:t>
      </w:r>
      <w:r w:rsidRPr="00DC3A3A">
        <w:rPr>
          <w:rFonts w:ascii="Times New Roman" w:hAnsi="Times New Roman" w:cs="Times New Roman"/>
          <w:sz w:val="24"/>
          <w:szCs w:val="24"/>
          <w:highlight w:val="yellow"/>
        </w:rPr>
        <w:t>SEI XXX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4FB" w:rsidRPr="003D154B" w:rsidRDefault="00E444FB" w:rsidP="00E4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54B">
        <w:rPr>
          <w:rFonts w:ascii="Times New Roman" w:hAnsi="Times New Roman" w:cs="Times New Roman"/>
          <w:b/>
          <w:sz w:val="24"/>
          <w:szCs w:val="24"/>
        </w:rPr>
        <w:t>DO PARECER PFE</w:t>
      </w:r>
    </w:p>
    <w:p w:rsidR="00E444FB" w:rsidRPr="003D154B" w:rsidRDefault="00E444FB" w:rsidP="00E4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4B">
        <w:rPr>
          <w:rFonts w:ascii="Times New Roman" w:hAnsi="Times New Roman" w:cs="Times New Roman"/>
          <w:sz w:val="24"/>
          <w:szCs w:val="24"/>
        </w:rPr>
        <w:t>Após análise dos autos e em atenção ao exposto pela Procuradoria Federal</w:t>
      </w:r>
    </w:p>
    <w:p w:rsidR="00E444FB" w:rsidRPr="00E444FB" w:rsidRDefault="00962D83" w:rsidP="00E4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4B">
        <w:rPr>
          <w:rFonts w:ascii="Times New Roman" w:hAnsi="Times New Roman" w:cs="Times New Roman"/>
          <w:sz w:val="24"/>
          <w:szCs w:val="24"/>
        </w:rPr>
        <w:t>Especializada – PFE no COTA</w:t>
      </w:r>
      <w:r w:rsidR="00E444FB" w:rsidRPr="003D154B">
        <w:rPr>
          <w:rFonts w:ascii="Times New Roman" w:hAnsi="Times New Roman" w:cs="Times New Roman"/>
          <w:sz w:val="24"/>
          <w:szCs w:val="24"/>
        </w:rPr>
        <w:t xml:space="preserve"> Nº 0080/2020/COLCA/PFFUNA/PGF/AGU (SEI</w:t>
      </w:r>
      <w:r w:rsidR="00EE5A34" w:rsidRPr="003D154B">
        <w:rPr>
          <w:rFonts w:ascii="Times New Roman" w:hAnsi="Times New Roman" w:cs="Times New Roman"/>
          <w:sz w:val="24"/>
          <w:szCs w:val="24"/>
        </w:rPr>
        <w:t xml:space="preserve"> 2531968</w:t>
      </w:r>
      <w:r w:rsidR="00E444FB" w:rsidRPr="003D154B">
        <w:rPr>
          <w:rFonts w:ascii="Times New Roman" w:hAnsi="Times New Roman" w:cs="Times New Roman"/>
          <w:sz w:val="24"/>
          <w:szCs w:val="24"/>
        </w:rPr>
        <w:t>), com as recomendações a serem atendidas, seguem comentários e providências pertinentes: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3A3A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As recomendações da PGF foram cumpridas, desta forma solicitamos, por intermédio da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Coordenação Geral de Recursos Logísticos, autorização da autoridade competente para continuidade dos trâmites.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Atenciosamente,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4B2" w:rsidRPr="00DC3A3A" w:rsidRDefault="00B574B2" w:rsidP="00DC3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Carmen Lúcia Bairros dos Santos</w:t>
      </w:r>
    </w:p>
    <w:p w:rsidR="00B574B2" w:rsidRPr="00DC3A3A" w:rsidRDefault="00B574B2" w:rsidP="00DC3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3A">
        <w:rPr>
          <w:rFonts w:ascii="Times New Roman" w:hAnsi="Times New Roman" w:cs="Times New Roman"/>
          <w:sz w:val="24"/>
          <w:szCs w:val="24"/>
        </w:rPr>
        <w:t>Presidente da Comissão Permanente de Licitações</w:t>
      </w:r>
    </w:p>
    <w:p w:rsidR="00B574B2" w:rsidRPr="00DC3A3A" w:rsidRDefault="00B574B2" w:rsidP="00DC3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26F2" w:rsidRPr="00DC3A3A" w:rsidRDefault="00E426F2" w:rsidP="00DC3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26F2" w:rsidRPr="00DC3A3A" w:rsidSect="00106C2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5BEAB8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218677C"/>
    <w:multiLevelType w:val="multilevel"/>
    <w:tmpl w:val="D6786D2A"/>
    <w:name w:val="WWNum832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14" w:hanging="40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1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24" w:hanging="1440"/>
      </w:pPr>
      <w:rPr>
        <w:rFonts w:hint="default"/>
      </w:rPr>
    </w:lvl>
  </w:abstractNum>
  <w:abstractNum w:abstractNumId="2" w15:restartNumberingAfterBreak="0">
    <w:nsid w:val="4559325F"/>
    <w:multiLevelType w:val="multilevel"/>
    <w:tmpl w:val="3C981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3" w15:restartNumberingAfterBreak="0">
    <w:nsid w:val="61D43CAE"/>
    <w:multiLevelType w:val="multilevel"/>
    <w:tmpl w:val="264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32"/>
    <w:rsid w:val="00011445"/>
    <w:rsid w:val="00022FD8"/>
    <w:rsid w:val="00086B64"/>
    <w:rsid w:val="000931E5"/>
    <w:rsid w:val="000F30F6"/>
    <w:rsid w:val="000F46BF"/>
    <w:rsid w:val="00106C26"/>
    <w:rsid w:val="0011793D"/>
    <w:rsid w:val="00134100"/>
    <w:rsid w:val="0015687C"/>
    <w:rsid w:val="001578E4"/>
    <w:rsid w:val="0016432E"/>
    <w:rsid w:val="00167A57"/>
    <w:rsid w:val="0017442C"/>
    <w:rsid w:val="001D599B"/>
    <w:rsid w:val="001D7C70"/>
    <w:rsid w:val="00210DB3"/>
    <w:rsid w:val="00222577"/>
    <w:rsid w:val="00225312"/>
    <w:rsid w:val="00263C00"/>
    <w:rsid w:val="00276D07"/>
    <w:rsid w:val="002A11D1"/>
    <w:rsid w:val="002E6EC8"/>
    <w:rsid w:val="00304B80"/>
    <w:rsid w:val="003173A3"/>
    <w:rsid w:val="003343A9"/>
    <w:rsid w:val="00343E9B"/>
    <w:rsid w:val="0035514A"/>
    <w:rsid w:val="00356CC9"/>
    <w:rsid w:val="0035726D"/>
    <w:rsid w:val="003B575A"/>
    <w:rsid w:val="003D154B"/>
    <w:rsid w:val="003D35A8"/>
    <w:rsid w:val="003D3E70"/>
    <w:rsid w:val="003D4DEB"/>
    <w:rsid w:val="003F1309"/>
    <w:rsid w:val="003F3003"/>
    <w:rsid w:val="00420E4F"/>
    <w:rsid w:val="0042761E"/>
    <w:rsid w:val="0044247E"/>
    <w:rsid w:val="0044285F"/>
    <w:rsid w:val="0045277F"/>
    <w:rsid w:val="00456062"/>
    <w:rsid w:val="00457832"/>
    <w:rsid w:val="00463E11"/>
    <w:rsid w:val="004737FB"/>
    <w:rsid w:val="004B22DE"/>
    <w:rsid w:val="004E63D2"/>
    <w:rsid w:val="00527625"/>
    <w:rsid w:val="005361EF"/>
    <w:rsid w:val="0054248E"/>
    <w:rsid w:val="005512CD"/>
    <w:rsid w:val="00552745"/>
    <w:rsid w:val="005578D8"/>
    <w:rsid w:val="0058749E"/>
    <w:rsid w:val="00597C6A"/>
    <w:rsid w:val="005B0F32"/>
    <w:rsid w:val="005B5AE9"/>
    <w:rsid w:val="005D392D"/>
    <w:rsid w:val="005E3A24"/>
    <w:rsid w:val="00601CCF"/>
    <w:rsid w:val="00634F8E"/>
    <w:rsid w:val="00647EBB"/>
    <w:rsid w:val="00667F6B"/>
    <w:rsid w:val="0068372C"/>
    <w:rsid w:val="006A5122"/>
    <w:rsid w:val="006A62B9"/>
    <w:rsid w:val="006B14AC"/>
    <w:rsid w:val="006B578A"/>
    <w:rsid w:val="006B5B00"/>
    <w:rsid w:val="006C03E1"/>
    <w:rsid w:val="006F2952"/>
    <w:rsid w:val="006F74FE"/>
    <w:rsid w:val="00711210"/>
    <w:rsid w:val="0071381D"/>
    <w:rsid w:val="00714AB6"/>
    <w:rsid w:val="0071658F"/>
    <w:rsid w:val="00720A3C"/>
    <w:rsid w:val="007310FE"/>
    <w:rsid w:val="0073712F"/>
    <w:rsid w:val="00756CC5"/>
    <w:rsid w:val="007570C9"/>
    <w:rsid w:val="007A3CFB"/>
    <w:rsid w:val="007C0363"/>
    <w:rsid w:val="007C4FF9"/>
    <w:rsid w:val="007D39FA"/>
    <w:rsid w:val="007E0F14"/>
    <w:rsid w:val="007E615E"/>
    <w:rsid w:val="00821646"/>
    <w:rsid w:val="008327D6"/>
    <w:rsid w:val="00837628"/>
    <w:rsid w:val="00846731"/>
    <w:rsid w:val="008520E1"/>
    <w:rsid w:val="00867CF6"/>
    <w:rsid w:val="008B023A"/>
    <w:rsid w:val="008B2D12"/>
    <w:rsid w:val="008C3C9E"/>
    <w:rsid w:val="008C4836"/>
    <w:rsid w:val="008C5482"/>
    <w:rsid w:val="008D5602"/>
    <w:rsid w:val="008E2362"/>
    <w:rsid w:val="00905EF9"/>
    <w:rsid w:val="00926C04"/>
    <w:rsid w:val="0094775A"/>
    <w:rsid w:val="00962D83"/>
    <w:rsid w:val="00971413"/>
    <w:rsid w:val="0099253D"/>
    <w:rsid w:val="009A7C53"/>
    <w:rsid w:val="009D755A"/>
    <w:rsid w:val="009F072E"/>
    <w:rsid w:val="009F44DD"/>
    <w:rsid w:val="00A052CC"/>
    <w:rsid w:val="00A31DED"/>
    <w:rsid w:val="00A33CCD"/>
    <w:rsid w:val="00A62B28"/>
    <w:rsid w:val="00A94672"/>
    <w:rsid w:val="00A96C91"/>
    <w:rsid w:val="00AB4770"/>
    <w:rsid w:val="00AF74D2"/>
    <w:rsid w:val="00B32A52"/>
    <w:rsid w:val="00B415CD"/>
    <w:rsid w:val="00B44B87"/>
    <w:rsid w:val="00B574B2"/>
    <w:rsid w:val="00B67493"/>
    <w:rsid w:val="00B72B16"/>
    <w:rsid w:val="00B829EA"/>
    <w:rsid w:val="00B877A7"/>
    <w:rsid w:val="00BA69EB"/>
    <w:rsid w:val="00BD585E"/>
    <w:rsid w:val="00BF5BDF"/>
    <w:rsid w:val="00C0649D"/>
    <w:rsid w:val="00C347C4"/>
    <w:rsid w:val="00C40685"/>
    <w:rsid w:val="00C4697B"/>
    <w:rsid w:val="00C46B20"/>
    <w:rsid w:val="00C50E57"/>
    <w:rsid w:val="00C81289"/>
    <w:rsid w:val="00C81EA9"/>
    <w:rsid w:val="00C9126E"/>
    <w:rsid w:val="00C97A96"/>
    <w:rsid w:val="00CC55F8"/>
    <w:rsid w:val="00D0064A"/>
    <w:rsid w:val="00D604F8"/>
    <w:rsid w:val="00DC3A3A"/>
    <w:rsid w:val="00DF64B8"/>
    <w:rsid w:val="00DF7CA7"/>
    <w:rsid w:val="00E05226"/>
    <w:rsid w:val="00E369F5"/>
    <w:rsid w:val="00E426F2"/>
    <w:rsid w:val="00E444FB"/>
    <w:rsid w:val="00E6392A"/>
    <w:rsid w:val="00E721E5"/>
    <w:rsid w:val="00E81F4C"/>
    <w:rsid w:val="00ED0200"/>
    <w:rsid w:val="00EE4D7B"/>
    <w:rsid w:val="00EE5A34"/>
    <w:rsid w:val="00EF5481"/>
    <w:rsid w:val="00F13A08"/>
    <w:rsid w:val="00F4026A"/>
    <w:rsid w:val="00F57B01"/>
    <w:rsid w:val="00F61986"/>
    <w:rsid w:val="00F65DE8"/>
    <w:rsid w:val="00F90033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B676"/>
  <w15:chartTrackingRefBased/>
  <w15:docId w15:val="{22BFFDD4-7C9C-431E-94E4-0B63BF56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4B2"/>
  </w:style>
  <w:style w:type="paragraph" w:styleId="Ttulo1">
    <w:name w:val="heading 1"/>
    <w:basedOn w:val="Normal"/>
    <w:next w:val="Normal"/>
    <w:link w:val="Ttulo1Char"/>
    <w:uiPriority w:val="9"/>
    <w:qFormat/>
    <w:rsid w:val="005E3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47EBB"/>
    <w:rPr>
      <w:i/>
      <w:iCs/>
    </w:rPr>
  </w:style>
  <w:style w:type="character" w:styleId="Forte">
    <w:name w:val="Strong"/>
    <w:basedOn w:val="Fontepargpadro"/>
    <w:uiPriority w:val="22"/>
    <w:qFormat/>
    <w:rsid w:val="00647EBB"/>
    <w:rPr>
      <w:b/>
      <w:bCs/>
    </w:rPr>
  </w:style>
  <w:style w:type="paragraph" w:customStyle="1" w:styleId="textojustificado">
    <w:name w:val="texto_justificado"/>
    <w:basedOn w:val="Normal"/>
    <w:rsid w:val="0064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3A24"/>
    <w:pPr>
      <w:spacing w:after="0" w:line="240" w:lineRule="auto"/>
      <w:ind w:left="720"/>
      <w:contextualSpacing/>
    </w:pPr>
    <w:rPr>
      <w:rFonts w:ascii="Arial" w:eastAsia="Times New Roman" w:hAnsi="Arial" w:cs="Tahoma"/>
      <w:sz w:val="20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5E3A24"/>
    <w:pPr>
      <w:numPr>
        <w:numId w:val="1"/>
      </w:num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E3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343E9B"/>
    <w:rPr>
      <w:color w:val="0000FF"/>
      <w:u w:val="single"/>
    </w:rPr>
  </w:style>
  <w:style w:type="paragraph" w:customStyle="1" w:styleId="itemnivel2">
    <w:name w:val="item_nivel2"/>
    <w:basedOn w:val="Normal"/>
    <w:rsid w:val="0059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6B578A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kern w:val="1"/>
      <w:sz w:val="20"/>
      <w:szCs w:val="24"/>
      <w:lang w:eastAsia="hi-IN" w:bidi="hi-IN"/>
    </w:rPr>
  </w:style>
  <w:style w:type="paragraph" w:customStyle="1" w:styleId="itemnivel3">
    <w:name w:val="item_nivel3"/>
    <w:basedOn w:val="Normal"/>
    <w:rsid w:val="004E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3D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4">
    <w:name w:val="paragrafo_numerado_nivel4"/>
    <w:basedOn w:val="Normal"/>
    <w:rsid w:val="007E61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61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7E61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3B57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funasa.gov.br/controlador.php?acao=protocolo_visualizar&amp;id_protocolo=1897769&amp;id_procedimento_atual=1056884&amp;infra_sistema=100000100&amp;infra_unidade_atual=110000589&amp;infra_hash=74295cdd21e11fa790cfaa39869a9bdd224172f0c0bc00c4f64271221c4eaad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i.funasa.gov.br/controlador.php?acao=protocolo_visualizar&amp;id_protocolo=1897622&amp;id_procedimento_atual=1056884&amp;infra_sistema=100000100&amp;infra_unidade_atual=110000589&amp;infra_hash=507b457f38c29b22dc89d5d00a59d05e21792fa9f7c9a52bedd55aef82c9f5e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i.funasa.gov.br/controlador.php?acao=protocolo_visualizar&amp;id_protocolo=1897764&amp;id_procedimento_atual=1056884&amp;infra_sistema=100000100&amp;infra_unidade_atual=110000589&amp;infra_hash=d55207f24ec3cbbc9a37699f646e54ac0f821811f6091474a9a1dc6b48b28948" TargetMode="External"/><Relationship Id="rId11" Type="http://schemas.openxmlformats.org/officeDocument/2006/relationships/hyperlink" Target="https://sei.funasa.gov.br/sei/controlador.php?acao=protocolo_visualizar&amp;id_protocolo=2762530&amp;id_procedimento_atual=1056884&amp;infra_sistema=100000100&amp;infra_unidade_atual=110000589&amp;infra_hash=619d2faffd626718cd06d1d6703642c78aa6e2f68d42ad4a9e3b3187d35314f7" TargetMode="External"/><Relationship Id="rId5" Type="http://schemas.openxmlformats.org/officeDocument/2006/relationships/hyperlink" Target="https://sei.funasa.gov.br/sei/controlador.php?acao=protocolo_visualizar&amp;id_protocolo=1185201&amp;id_procedimento_atual=1056884&amp;infra_sistema=100000100&amp;infra_unidade_atual=110000589&amp;infra_hash=a6c1acd0e3a1923d7c8ad8b96fa4ed76552760970d1f0ee5c6660d88327b1ee9" TargetMode="External"/><Relationship Id="rId10" Type="http://schemas.openxmlformats.org/officeDocument/2006/relationships/hyperlink" Target="https://sei.funasa.gov.br/sei/controlador.php?acao=protocolo_visualizar&amp;id_protocolo=2685788&amp;id_procedimento_atual=1056884&amp;infra_sistema=100000100&amp;infra_unidade_atual=110000589&amp;infra_hash=e82c9f6196005955823c0cdaa79e26d1d559a57ef584fc6d35dbb7f39d9f49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funasa.gov.br/sei/controlador.php?acao=protocolo_visualizar&amp;id_protocolo=2685788&amp;id_procedimento_atual=1056884&amp;infra_sistema=100000100&amp;infra_unidade_atual=110000589&amp;infra_hash=e82c9f6196005955823c0cdaa79e26d1d559a57ef584fc6d35dbb7f39d9f494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4343</Words>
  <Characters>23455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Lucia Bairros dos Santos</dc:creator>
  <cp:keywords/>
  <dc:description/>
  <cp:lastModifiedBy>Amanda Silva</cp:lastModifiedBy>
  <cp:revision>7</cp:revision>
  <dcterms:created xsi:type="dcterms:W3CDTF">2020-12-03T10:27:00Z</dcterms:created>
  <dcterms:modified xsi:type="dcterms:W3CDTF">2020-12-03T19:16:00Z</dcterms:modified>
</cp:coreProperties>
</file>