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22" w:rsidRDefault="000C0B22" w:rsidP="000C0B22">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06/11/2017 15:33:12</w:t>
      </w:r>
    </w:p>
    <w:p w:rsidR="000C0B22" w:rsidRDefault="000C0B22" w:rsidP="000C0B22">
      <w:pPr>
        <w:pStyle w:val="tex3"/>
        <w:jc w:val="both"/>
        <w:rPr>
          <w:rFonts w:ascii="Verdana" w:hAnsi="Verdana"/>
          <w:color w:val="000000"/>
          <w:sz w:val="17"/>
          <w:szCs w:val="17"/>
        </w:rPr>
      </w:pPr>
      <w:r>
        <w:rPr>
          <w:rFonts w:ascii="Verdana" w:hAnsi="Verdana"/>
          <w:color w:val="000000"/>
          <w:sz w:val="17"/>
          <w:szCs w:val="17"/>
        </w:rPr>
        <w:t xml:space="preserve">1. Está correto o entendimento que o serviço de monitoração poderá ser realizado a partir das instalações da Contratada? De acordo com o item 6.4.1 do edital: 6.4.1 Os serviços devem ser executados nos seguintes regimes e horários abaixo: Item Descrição dos Serviços DIAS Horário 1 Prestação de serviços de atividades de execução continuada referente a monitoramento, operação e suporte ao ambiente de infraestrutura de redes da Funasa Segunda a Domingo e Feriados 24 horas 2 Prestação de serviços relativos a tarefas operacionais demandadas pela Coordenação Geral de Modernização e Tecnologia da Informação – CGMTI. Segunda a Sexta 07:00 às 19:00 6.4.2 Os serviços deverão funcionar dentro do horário estabelecido na tabela acima. O funcionamento, bem como os registros de início e encerramento das atividades, devem compor um Registro de Funcionamento a ser entregue à CONTRATANTE, como parte do Relatório de Atividades; 6.4.3 Os serviços de Monitoramento de Infraestrutura poderão ser prestados remotamente, conforme definido pela CONTRATANTE, exceto no caso de: 6.4.3.1 Tarefas de Sustentação que, por sua natureza, exijam a presença de técnicos da CONTRATADA nas instalações da CONTRATANTE, dentro dos horários definidos na OS ou na descrição da tarefa; 6.4.3.2 Indisponibilidade dos serviços de acesso remoto à rede da CONTRATANTE cuja sustentação seja de responsabilidade da CONTRATADA; 6.4.3.3 Situações de crise ou que apresentem riscos à disponibilidade de algum Serviço Finalístico de TI, quando a CONTRATANTE poderá exigir a atuação in loco dos técnicos em quantitativo suficiente para a estabilização deste Serviço. 2. Está correto o entendimento que o fornecimento de softwares para a prestação dos serviços será de responsabilidade da Funasa? Sim, está correto o entendimento, porém o software de gestão de atendimento deverá ser a cargo da Contratada. Ademais informamos que caso a empresa entenda necessário utilização de algum outro software, para viabilizar um melhor atendimento do objeto, a Funasa entende viável a análise da proposta, de acordo com os itens 3.4.21 e 3.4.22 do presente Edital. 3. Quais os níveis de monitoração que a Funasa executa com a ferramenta </w:t>
      </w:r>
      <w:proofErr w:type="spellStart"/>
      <w:r>
        <w:rPr>
          <w:rFonts w:ascii="Verdana" w:hAnsi="Verdana"/>
          <w:color w:val="000000"/>
          <w:sz w:val="17"/>
          <w:szCs w:val="17"/>
        </w:rPr>
        <w:t>Zabbix</w:t>
      </w:r>
      <w:proofErr w:type="spellEnd"/>
      <w:r>
        <w:rPr>
          <w:rFonts w:ascii="Verdana" w:hAnsi="Verdana"/>
          <w:color w:val="000000"/>
          <w:sz w:val="17"/>
          <w:szCs w:val="17"/>
        </w:rPr>
        <w:t xml:space="preserve">? Os níveis de recursos de máquina (memória, </w:t>
      </w:r>
      <w:proofErr w:type="spellStart"/>
      <w:r>
        <w:rPr>
          <w:rFonts w:ascii="Verdana" w:hAnsi="Verdana"/>
          <w:color w:val="000000"/>
          <w:sz w:val="17"/>
          <w:szCs w:val="17"/>
        </w:rPr>
        <w:t>cpu</w:t>
      </w:r>
      <w:proofErr w:type="spellEnd"/>
      <w:r>
        <w:rPr>
          <w:rFonts w:ascii="Verdana" w:hAnsi="Verdana"/>
          <w:color w:val="000000"/>
          <w:sz w:val="17"/>
          <w:szCs w:val="17"/>
        </w:rPr>
        <w:t xml:space="preserve">, disco e rede), serviços (porta, aplicações, </w:t>
      </w:r>
      <w:proofErr w:type="spellStart"/>
      <w:r>
        <w:rPr>
          <w:rFonts w:ascii="Verdana" w:hAnsi="Verdana"/>
          <w:color w:val="000000"/>
          <w:sz w:val="17"/>
          <w:szCs w:val="17"/>
        </w:rPr>
        <w:t>urls</w:t>
      </w:r>
      <w:proofErr w:type="spellEnd"/>
      <w:r>
        <w:rPr>
          <w:rFonts w:ascii="Verdana" w:hAnsi="Verdana"/>
          <w:color w:val="000000"/>
          <w:sz w:val="17"/>
          <w:szCs w:val="17"/>
        </w:rPr>
        <w:t xml:space="preserve">), ativos de rede (porta, conectividade, pacotes), links (conectividade, banda, tempo de </w:t>
      </w:r>
      <w:proofErr w:type="spellStart"/>
      <w:r>
        <w:rPr>
          <w:rFonts w:ascii="Verdana" w:hAnsi="Verdana"/>
          <w:color w:val="000000"/>
          <w:sz w:val="17"/>
          <w:szCs w:val="17"/>
        </w:rPr>
        <w:t>uptime</w:t>
      </w:r>
      <w:proofErr w:type="spellEnd"/>
      <w:r>
        <w:rPr>
          <w:rFonts w:ascii="Verdana" w:hAnsi="Verdana"/>
          <w:color w:val="000000"/>
          <w:sz w:val="17"/>
          <w:szCs w:val="17"/>
        </w:rPr>
        <w:t xml:space="preserve">). 4. Quem será o responsável por prover o link entre a Funasa e a Contratada? O entendimento da Funasa é que qualquer meio de comunicação fora do ambiente da Funasa, entre a contratante e a contratada deverá ser de responsabilidade da Contratada. 5. Em relação as atividades de execução continuada, a tabela deste item corresponde aos serviços relativos a tarefas operacionais demandadas pela CGMTI (ITEM 2 da solução)? Esclarecemos que as atividades de execução continuada (item 1) poderão ser correlatas aos serviços operacionais que serão prestados pelo Item 2 da Solução, porém não são serviços distintos, existindo apenas uma relação entre os itens. 6. Existe algum item que não seja elegível de monitoração? Caso a resposta seja afirmativa, qual? Os serviços de monitoração de acordo com as atividades descritas no Anexo II – Atividades de execução continuada. 7. Está correto o entendimento que não haverá deslocamentos para outras localidades da Funasa? De acordo com o item 6.4.5. “Os serviços deverão ser prestados em Brasília e poderão ser realizados remotamente nas Superintendências Estaduais, distribuídas geograficamente nos estados em território </w:t>
      </w:r>
      <w:proofErr w:type="gramStart"/>
      <w:r>
        <w:rPr>
          <w:rFonts w:ascii="Verdana" w:hAnsi="Verdana"/>
          <w:color w:val="000000"/>
          <w:sz w:val="17"/>
          <w:szCs w:val="17"/>
        </w:rPr>
        <w:t>nacional;”</w:t>
      </w:r>
      <w:proofErr w:type="gramEnd"/>
      <w:r>
        <w:rPr>
          <w:rFonts w:ascii="Verdana" w:hAnsi="Verdana"/>
          <w:color w:val="000000"/>
          <w:sz w:val="17"/>
          <w:szCs w:val="17"/>
        </w:rPr>
        <w:t xml:space="preserve"> 8. A prestação de serviços relativos a tarefas operacionais demandadas pela CGMTI, serão realizados de segunda a sexta das 07:00 às 19:00. Existem atividades pontuais fora deste horário? Se sim, qual o volume? Serão tarefas pontuais, emergenciais ou que demandam esforços temporários, as quais não temos o volume prévio definido. 9. Qual a configuração necessária para disponibilização do ambiente de homologação e produção dos sistemas em uso na Funasa? De acordo com o item 6.4.11 do Edital, A Funasa disponibilizará acesso aos ambientes de desenvolvimento e homologação para a prestação de serviços pela empresa contratada. Dessa maneira, a Funasa será responsável pela configuração de tais ambientes. 10. Quais itens serão monitorados no ambiente de produção, desenvolvimento e qualidade? Os itens de monitoração de ambiente estão definidos no Anexo II do Edital. 11. Quem será o responsável pela gestão de SLM do ambiente dos fornecedores? A Gestão será realizada entre as partes Contratada e Contratante. Assim, caberá a contratante a fiscalização dos indicadores de nível de serviços previstos no Edital e disponibilizados pela Contratada. </w:t>
      </w:r>
      <w:proofErr w:type="spellStart"/>
      <w:r>
        <w:rPr>
          <w:rFonts w:ascii="Verdana" w:hAnsi="Verdana"/>
          <w:color w:val="000000"/>
          <w:sz w:val="17"/>
          <w:szCs w:val="17"/>
        </w:rPr>
        <w:t>Att</w:t>
      </w:r>
      <w:proofErr w:type="spellEnd"/>
      <w:r>
        <w:rPr>
          <w:rFonts w:ascii="Verdana" w:hAnsi="Verdana"/>
          <w:color w:val="000000"/>
          <w:sz w:val="17"/>
          <w:szCs w:val="17"/>
        </w:rPr>
        <w:t>,</w:t>
      </w:r>
    </w:p>
    <w:p w:rsidR="000C0B22" w:rsidRDefault="000C0B22" w:rsidP="000C0B22">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06/11/2017 15:33:12</w:t>
      </w:r>
    </w:p>
    <w:p w:rsidR="000C0B22" w:rsidRDefault="000C0B22" w:rsidP="000C0B22">
      <w:pPr>
        <w:pStyle w:val="tex3"/>
        <w:jc w:val="both"/>
        <w:rPr>
          <w:rFonts w:ascii="Verdana" w:hAnsi="Verdana"/>
          <w:color w:val="000000"/>
          <w:sz w:val="17"/>
          <w:szCs w:val="17"/>
        </w:rPr>
      </w:pPr>
      <w:r>
        <w:rPr>
          <w:rFonts w:ascii="Verdana" w:hAnsi="Verdana"/>
          <w:color w:val="000000"/>
          <w:sz w:val="17"/>
          <w:szCs w:val="17"/>
        </w:rPr>
        <w:t xml:space="preserve">1. Está correto o entendimento que o serviço de monitoração poderá ser realizado a partir das instalações da Contratada? De acordo com o item 6.4.1 do edital: 6.4.1 Os serviços devem ser executados nos seguintes regimes e horários abaixo: Item Descrição dos Serviços DIAS Horário 1 Prestação de serviços de atividades de execução continuada referente a monitoramento, operação e suporte ao ambiente de infraestrutura de redes da Funasa Segunda a Domingo e Feriados 24 horas 2 Prestação de serviços relativos a tarefas operacionais demandadas pela Coordenação Geral de Modernização e Tecnologia da Informação – CGMTI. Segunda a Sexta 07:00 às 19:00 6.4.2 Os serviços deverão funcionar dentro do horário estabelecido na tabela acima. O funcionamento, bem como os registros de início e encerramento das atividades, devem compor um Registro de Funcionamento a ser entregue à CONTRATANTE, como parte do Relatório de Atividades; 6.4.3 Os serviços de Monitoramento de Infraestrutura poderão ser prestados remotamente, conforme </w:t>
      </w:r>
      <w:r>
        <w:rPr>
          <w:rFonts w:ascii="Verdana" w:hAnsi="Verdana"/>
          <w:color w:val="000000"/>
          <w:sz w:val="17"/>
          <w:szCs w:val="17"/>
        </w:rPr>
        <w:lastRenderedPageBreak/>
        <w:t xml:space="preserve">definido pela CONTRATANTE, exceto no caso de: 6.4.3.1 Tarefas de Sustentação que, por sua natureza, exijam a presença de técnicos da CONTRATADA nas instalações da CONTRATANTE, dentro dos horários definidos na OS ou na descrição da tarefa; 6.4.3.2 Indisponibilidade dos serviços de acesso remoto à rede da CONTRATANTE cuja sustentação seja de responsabilidade da CONTRATADA; 6.4.3.3 Situações de crise ou que apresentem riscos à disponibilidade de algum Serviço Finalístico de TI, quando a CONTRATANTE poderá exigir a atuação in loco dos técnicos em quantitativo suficiente para a estabilização deste Serviço. 2. Está correto o entendimento que o fornecimento de softwares para a prestação dos serviços será de responsabilidade da Funasa? Sim, está correto o entendimento, porém o software de gestão de atendimento deverá ser a cargo da Contratada. Ademais informamos que caso a empresa entenda necessário utilização de algum outro software, para viabilizar um melhor atendimento do objeto, a Funasa entende viável a análise da proposta, de acordo com os itens 3.4.21 e 3.4.22 do presente Edital. 3. Quais os níveis de monitoração que a Funasa executa com a ferramenta </w:t>
      </w:r>
      <w:proofErr w:type="spellStart"/>
      <w:r>
        <w:rPr>
          <w:rFonts w:ascii="Verdana" w:hAnsi="Verdana"/>
          <w:color w:val="000000"/>
          <w:sz w:val="17"/>
          <w:szCs w:val="17"/>
        </w:rPr>
        <w:t>Zabbix</w:t>
      </w:r>
      <w:proofErr w:type="spellEnd"/>
      <w:r>
        <w:rPr>
          <w:rFonts w:ascii="Verdana" w:hAnsi="Verdana"/>
          <w:color w:val="000000"/>
          <w:sz w:val="17"/>
          <w:szCs w:val="17"/>
        </w:rPr>
        <w:t xml:space="preserve">? Os níveis de recursos de máquina (memória, </w:t>
      </w:r>
      <w:proofErr w:type="spellStart"/>
      <w:r>
        <w:rPr>
          <w:rFonts w:ascii="Verdana" w:hAnsi="Verdana"/>
          <w:color w:val="000000"/>
          <w:sz w:val="17"/>
          <w:szCs w:val="17"/>
        </w:rPr>
        <w:t>cpu</w:t>
      </w:r>
      <w:proofErr w:type="spellEnd"/>
      <w:r>
        <w:rPr>
          <w:rFonts w:ascii="Verdana" w:hAnsi="Verdana"/>
          <w:color w:val="000000"/>
          <w:sz w:val="17"/>
          <w:szCs w:val="17"/>
        </w:rPr>
        <w:t xml:space="preserve">, disco e rede), serviços (porta, aplicações, </w:t>
      </w:r>
      <w:proofErr w:type="spellStart"/>
      <w:r>
        <w:rPr>
          <w:rFonts w:ascii="Verdana" w:hAnsi="Verdana"/>
          <w:color w:val="000000"/>
          <w:sz w:val="17"/>
          <w:szCs w:val="17"/>
        </w:rPr>
        <w:t>urls</w:t>
      </w:r>
      <w:proofErr w:type="spellEnd"/>
      <w:r>
        <w:rPr>
          <w:rFonts w:ascii="Verdana" w:hAnsi="Verdana"/>
          <w:color w:val="000000"/>
          <w:sz w:val="17"/>
          <w:szCs w:val="17"/>
        </w:rPr>
        <w:t xml:space="preserve">), ativos de rede (porta, conectividade, pacotes), links (conectividade, banda, tempo de </w:t>
      </w:r>
      <w:proofErr w:type="spellStart"/>
      <w:r>
        <w:rPr>
          <w:rFonts w:ascii="Verdana" w:hAnsi="Verdana"/>
          <w:color w:val="000000"/>
          <w:sz w:val="17"/>
          <w:szCs w:val="17"/>
        </w:rPr>
        <w:t>uptime</w:t>
      </w:r>
      <w:proofErr w:type="spellEnd"/>
      <w:r>
        <w:rPr>
          <w:rFonts w:ascii="Verdana" w:hAnsi="Verdana"/>
          <w:color w:val="000000"/>
          <w:sz w:val="17"/>
          <w:szCs w:val="17"/>
        </w:rPr>
        <w:t xml:space="preserve">). 4. Quem será o responsável por prover o link entre a Funasa e a Contratada? O entendimento da Funasa é que qualquer meio de comunicação fora do ambiente da Funasa, entre a contratante e a contratada deverá ser de responsabilidade da Contratada. 5. Em relação as atividades de execução continuada, a tabela deste item corresponde aos serviços relativos a tarefas operacionais demandadas pela CGMTI (ITEM 2 da solução)? Esclarecemos que as atividades de execução continuada (item 1) poderão ser correlatas aos serviços operacionais que serão prestados pelo Item 2 da Solução, porém não são serviços distintos, existindo apenas uma relação entre os itens. 6. Existe algum item que não seja elegível de monitoração? Caso a resposta seja afirmativa, qual? Os serviços de monitoração de acordo com as atividades descritas no Anexo II – Atividades de execução continuada. 7. Está correto o entendimento que não haverá deslocamentos para outras localidades da Funasa? De acordo com o item 6.4.5. “Os serviços deverão ser prestados em Brasília e poderão ser realizados remotamente nas Superintendências Estaduais, distribuídas geograficamente nos estados em território </w:t>
      </w:r>
      <w:proofErr w:type="gramStart"/>
      <w:r>
        <w:rPr>
          <w:rFonts w:ascii="Verdana" w:hAnsi="Verdana"/>
          <w:color w:val="000000"/>
          <w:sz w:val="17"/>
          <w:szCs w:val="17"/>
        </w:rPr>
        <w:t>nacional;”</w:t>
      </w:r>
      <w:proofErr w:type="gramEnd"/>
      <w:r>
        <w:rPr>
          <w:rFonts w:ascii="Verdana" w:hAnsi="Verdana"/>
          <w:color w:val="000000"/>
          <w:sz w:val="17"/>
          <w:szCs w:val="17"/>
        </w:rPr>
        <w:t xml:space="preserve"> 8. A prestação de serviços relativos a tarefas operacionais demandadas pela CGMTI, serão realizados de segunda a sexta das 07:00 às 19:00. Existem atividades pontuais fora deste horário? Se sim, qual o volume? Serão tarefas pontuais, emergenciais ou que demandam esforços temporários, as quais não temos o volume prévio definido. 9. Qual a configuração necessária para disponibilização do ambiente de homologação e produção dos sistemas em uso na Funasa? De acordo com o item 6.4.11 do Edital, A Funasa disponibilizará acesso aos ambientes de desenvolvimento e homologação para a prestação de serviços pela empresa contratada. Dessa maneira, a Funasa será responsável pela configuração de tais ambientes. 10. Quais itens serão monitorados no ambiente de produção, desenvolvimento e qualidade? Os itens de monitoração de ambiente estão definidos no Anexo II do Edital. 11. Quem será o responsável pela gestão de SLM do ambiente dos fornecedores? A Gestão será realizada entre as partes Contratada e Contratante. Assim, caberá a contratante a fiscalização dos indicadores de nível de serviços previstos no Edital e disponibilizados pela Contratada. </w:t>
      </w:r>
      <w:proofErr w:type="spellStart"/>
      <w:r>
        <w:rPr>
          <w:rFonts w:ascii="Verdana" w:hAnsi="Verdana"/>
          <w:color w:val="000000"/>
          <w:sz w:val="17"/>
          <w:szCs w:val="17"/>
        </w:rPr>
        <w:t>Att</w:t>
      </w:r>
      <w:proofErr w:type="spellEnd"/>
      <w:r>
        <w:rPr>
          <w:rFonts w:ascii="Verdana" w:hAnsi="Verdana"/>
          <w:color w:val="000000"/>
          <w:sz w:val="17"/>
          <w:szCs w:val="17"/>
        </w:rPr>
        <w:t>,</w:t>
      </w:r>
    </w:p>
    <w:p w:rsidR="000C0B22" w:rsidRDefault="000C0B22" w:rsidP="000C0B22">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18/10/2017 14:35:08</w:t>
      </w:r>
    </w:p>
    <w:p w:rsidR="000C0B22" w:rsidRDefault="000C0B22" w:rsidP="000C0B22">
      <w:pPr>
        <w:pStyle w:val="tex3"/>
        <w:jc w:val="both"/>
        <w:rPr>
          <w:rFonts w:ascii="Verdana" w:hAnsi="Verdana"/>
          <w:color w:val="000000"/>
          <w:sz w:val="17"/>
          <w:szCs w:val="17"/>
        </w:rPr>
      </w:pPr>
      <w:r>
        <w:rPr>
          <w:rFonts w:ascii="Verdana" w:hAnsi="Verdana"/>
          <w:color w:val="000000"/>
          <w:sz w:val="17"/>
          <w:szCs w:val="17"/>
        </w:rPr>
        <w:t xml:space="preserve">- Em relação ao item 10.1.4. da Habilitação – qualificação Econômico-Financeira, letra d.3), onde consta: “d.3) declaração do licitante, acompanhada da relação de compromissos assumidos, conforme modelo constante do Anexo, de que um doze avos dos contratos firmados com a Administração Pública ou com a iniciativa privada vigentes na data apresentação da proposta não é superior ao patrimônio líquido do licitante que poderá ser atualizado na forma descrita na alínea "c", observados os seguintes requisitos: ...” Não localizamos no edital o modelo de declaração ao qual o item se refere. Ele é enviado separadamente do edital? Existe algum outro anexo ou documento relativo à licitação que não se encontra no edital e deva ser retirado de outra forma, além do site </w:t>
      </w:r>
      <w:proofErr w:type="spellStart"/>
      <w:r>
        <w:rPr>
          <w:rFonts w:ascii="Verdana" w:hAnsi="Verdana"/>
          <w:color w:val="000000"/>
          <w:sz w:val="17"/>
          <w:szCs w:val="17"/>
        </w:rPr>
        <w:t>Comprasnet</w:t>
      </w:r>
      <w:proofErr w:type="spellEnd"/>
      <w:r>
        <w:rPr>
          <w:rFonts w:ascii="Verdana" w:hAnsi="Verdana"/>
          <w:color w:val="000000"/>
          <w:sz w:val="17"/>
          <w:szCs w:val="17"/>
        </w:rPr>
        <w:t>?</w:t>
      </w:r>
    </w:p>
    <w:p w:rsidR="000C0B22" w:rsidRDefault="000C0B22" w:rsidP="000C0B22">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18/10/2017 14:35:08</w:t>
      </w:r>
    </w:p>
    <w:p w:rsidR="000C0B22" w:rsidRDefault="000C0B22" w:rsidP="000C0B22">
      <w:pPr>
        <w:pStyle w:val="tex3"/>
        <w:jc w:val="both"/>
        <w:rPr>
          <w:rFonts w:ascii="Verdana" w:hAnsi="Verdana"/>
          <w:color w:val="000000"/>
          <w:sz w:val="17"/>
          <w:szCs w:val="17"/>
        </w:rPr>
      </w:pPr>
      <w:r>
        <w:rPr>
          <w:rFonts w:ascii="Verdana" w:hAnsi="Verdana"/>
          <w:color w:val="000000"/>
          <w:sz w:val="17"/>
          <w:szCs w:val="17"/>
        </w:rPr>
        <w:t xml:space="preserve">Realmente não consta no anexo o modelo mencionado, mas os Senhores podem formular tal declaração com as suas palavras, bastando ficar elucidado que </w:t>
      </w:r>
      <w:proofErr w:type="gramStart"/>
      <w:r>
        <w:rPr>
          <w:rFonts w:ascii="Verdana" w:hAnsi="Verdana"/>
          <w:color w:val="000000"/>
          <w:sz w:val="17"/>
          <w:szCs w:val="17"/>
        </w:rPr>
        <w:t>o nível de comprometimento com contratos já firmados não ultrapassam</w:t>
      </w:r>
      <w:proofErr w:type="gramEnd"/>
      <w:r>
        <w:rPr>
          <w:rFonts w:ascii="Verdana" w:hAnsi="Verdana"/>
          <w:color w:val="000000"/>
          <w:sz w:val="17"/>
          <w:szCs w:val="17"/>
        </w:rPr>
        <w:t xml:space="preserve"> o estipulado no Edital. Não existem outros anexos, fora os que constam no Edital.</w:t>
      </w:r>
    </w:p>
    <w:p w:rsidR="000C0B22" w:rsidRDefault="000C0B22" w:rsidP="000C0B22">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17/10/2017 16:12:14</w:t>
      </w:r>
    </w:p>
    <w:p w:rsidR="000C0B22" w:rsidRDefault="000C0B22" w:rsidP="000C0B22">
      <w:pPr>
        <w:pStyle w:val="tex3"/>
        <w:jc w:val="both"/>
        <w:rPr>
          <w:rFonts w:ascii="Verdana" w:hAnsi="Verdana"/>
          <w:color w:val="000000"/>
          <w:sz w:val="17"/>
          <w:szCs w:val="17"/>
        </w:rPr>
      </w:pPr>
      <w:r>
        <w:rPr>
          <w:rFonts w:ascii="Verdana" w:hAnsi="Verdana"/>
          <w:color w:val="000000"/>
          <w:sz w:val="17"/>
          <w:szCs w:val="17"/>
        </w:rPr>
        <w:t xml:space="preserve">No que tange as exigências </w:t>
      </w:r>
      <w:proofErr w:type="spellStart"/>
      <w:r>
        <w:rPr>
          <w:rFonts w:ascii="Verdana" w:hAnsi="Verdana"/>
          <w:color w:val="000000"/>
          <w:sz w:val="17"/>
          <w:szCs w:val="17"/>
        </w:rPr>
        <w:t>editalícias</w:t>
      </w:r>
      <w:proofErr w:type="spellEnd"/>
      <w:r>
        <w:rPr>
          <w:rFonts w:ascii="Verdana" w:hAnsi="Verdana"/>
          <w:color w:val="000000"/>
          <w:sz w:val="17"/>
          <w:szCs w:val="17"/>
        </w:rPr>
        <w:t xml:space="preserve">, muitas já esclarecidas e ratificadas pelo Grupo de avaliação deste pleito na FUNASA, ainda cabe explorar, elucidar, qual a fundamentação de ordem técnica, para a exigência a seguir: “13.1) Ao menos 1 (um) atestado de capacidade técnico-operacional, com volume igual ou superior a 50% desta contratação, 25.177,90 (Vinte e cinco mil, cento e </w:t>
      </w:r>
      <w:r>
        <w:rPr>
          <w:rFonts w:ascii="Verdana" w:hAnsi="Verdana"/>
          <w:color w:val="000000"/>
          <w:sz w:val="17"/>
          <w:szCs w:val="17"/>
        </w:rPr>
        <w:lastRenderedPageBreak/>
        <w:t xml:space="preserve">setenta e sete </w:t>
      </w:r>
      <w:proofErr w:type="spellStart"/>
      <w:r>
        <w:rPr>
          <w:rFonts w:ascii="Verdana" w:hAnsi="Verdana"/>
          <w:color w:val="000000"/>
          <w:sz w:val="17"/>
          <w:szCs w:val="17"/>
        </w:rPr>
        <w:t>UST´s</w:t>
      </w:r>
      <w:proofErr w:type="spellEnd"/>
      <w:r>
        <w:rPr>
          <w:rFonts w:ascii="Verdana" w:hAnsi="Verdana"/>
          <w:color w:val="000000"/>
          <w:sz w:val="17"/>
          <w:szCs w:val="17"/>
        </w:rPr>
        <w:t xml:space="preserve"> e noventa) ou 110.782,76 (cento e dez mil, setecentos e oitenta e duas HST e setenta e seis) horas de serviço técnico ou horas homem, emitido por pessoa jurídica de direito público ou privado, que comprove que a empresa licitante tenha executado ou esteja executando serviços de características técnicas iguais ou semelhantes à presente contratação, em administração de redes locais, geograficamente distribuídas em 26 estados, em ambiente de no mínimo 7.013 (sete mil e treze) objetos de diretórios (50% do número total de objetos de diretórios estimados da FUNASA, conforme Anexo III – Ambiente Tecnológico do Termo de Referência), pelo período mínimo de 12 (doze) meses, comprovando a execução dos seguintes serviços:” Considerando que está EXPLICITO na exigência que a empresa concorrente deva ter atendido ou atender o objeto da licitação “...prestação de serviços de monitoramento, operação e suporte a infraestrutura de redes para atender a FUNASA...” em nada mais, nem menos, que TODOS OS ESTADOS BRASILEIROS, ou seja, as 26 unidades federadas. O TCU, bem como o “bom senso” que o processo licitatório deve auferir, exigi sim, buscar que se selecione a melhor oferta, ou seja, comprovar a habilidade da licitante em gestão de mão de obra, e não a aptidão relativa à atividade a ser contratada de forma tão especifica, restringindo a competição e em nada contribuindo para a certeza de que a administração pública irá obter qualidade nos serviços contratados, visto que abrangência territorial, não está relacionada com qualidade técnica ao que será contratado. Vejamos o demonstrado no Informativo de decisões proferidas pelos Colegiados do TCU, relativas à área de Licitação e Contratos, Número 277 - Sessões: 8 e 9/Março/2016. 3. Nas licitações para contratação de serviços continuados com dedicação exclusiva de mão de obra, os atestados de capacidade técnica devem comprovar a aptidão da licitante na gestão de mão de obra, e não na execução de serviços idênticos aos do objeto licitado, sendo imprescindível motivar tecnicamente as situações excepcionais. Representação formulada por empresa licitante apontara possíveis irregularidades em pregão eletrônico conduzido pelo Ministério do Esporte, destinado à contratação de empresa especializada na prestação de serviços terceirizados nas categorias de secretário executivo, secretário executivo bilíngue e técnico em secretariado. Contestara a representante, basicamente, sua inabilitação em virtude de suposto desatendimento dos requisitos de qualificação técnica, que exigiam, segundo a interpretação do órgão licitante, a comprovação da execução de serviços compatíveis com o objeto descrito no edital (secretariado técnico, executivo e bilíngue). Analisando o ponto, relembrou o relator que a jurisprudência do TCU “vem se firmando no sentido de que, nas contratações de serviços de terceirização (serviços contínuos prestados mediante dedicação exclusiva da mão de obra), os atestados de capacidade técnica devem, em regra, comprovar a habilidade da licitante na gestão de mão de obra, a exemplo dos Acórdãos 1.443/2014-TCU-Plenário e 744/2015-TCU-2ª Câmara”. Nesse sentido, transcreveu alerta expedido quando da prolação desse último acórdão no seguinte sentido: “1.7.1. nos certames para contratar serviços terceirizados, em regra, os atestados de capacidade técnica devem comprovar a habilidade da licitante em gestão de mão de obra, e não a aptidão relativa à atividade a ser contratada, como ocorrido no pregão eletrônico (...);No caso em análise, prosseguiu o relator, “verifica-se que pelo menos um dos atestados apresentados pela representante – o atestado emitido pelo Serviço de Limpeza Urbana do Governo do Distrito Federal, acompanhado de cópia do contrato firmado e de seus aditivos – atenderia, em princípio, aos requisitos de qualificação técnica, tendo em vista demonstrar capacidade da licitante na gestão de mão de obra no quantitativo mínimo exigido – trinta postos, conforme item 8.6.3 do edital – e pelo período mínimo exigido – três anos, conforme item 8.6.2”. Nada obstante, consignou, “por ocasião da análise dos atestados de qualificação técnica, a pregoeira só aceitou, como já frisado, serviços idênticos aos licitados, ou seja, só foram aceitos atestados que demonstrassem a execução de serviços anteriores de secretariado, ao invés de verificar a capacidade de gestão de mão de obra das licitantes, conforme jurisprudência deste Tribunal, não tendo sido apresentado nenhum argumento a justificar, no caso concreto, excepcionar o entendimento esposado por esta Corte de Contas”. Nesses termos, acolheu o Plenário a proposta do relator, para considerar parcialmente procedente a Representação e determinar ao Ministério do Esporte a adoção das medidas destinadas à anulação da fase de habilitação e dos atos que a sucederam, para que sejam reexaminados os atestados apresentados em conformidade com o entendimento do TCU, cientificando o órgão, entre outros aspectos, da irregularidade consistente em “exigir, em licitação para serviços continuados com dedicação exclusiva de mão de obra, que os atestados de capacidade técnica comprovem serviços idênticos, em vez da aptidão para gestão de mão de obra, sem a necessária demonstração técnica dessa necessidade”. Acórdão 553/2016 Plenário, Representação, Relator Ministro Vital do Rêgo. EXIGIR que a Licitante comprove ter clientes em 26 unidades da federação, a título “poético”, traria, quiçá, uma harmonia ou mesmo representatividade “cultural”, uma vez que, os procedimentos de atendimento são padronizados e, atender em diferentes estados desta nação poderia sim trazer um conforto auricular, pois aos diferentes sotaques oportunizaríamos a integração cultural. Não identificamos a razoabilidade nesta exigência, nem mesmo comprovação de “experiência” que traga a FUNASA o comprometimento técnico da concorrente. Onde se justificaria, neste cenário, a comprovação do desempenho de atividade pertinente e compatível com as características, quantidades e prazos com o objeto da licitação, disposto no art. 30, II da Lei nº 8.666/93? Acreditamos que a flexibilização destes requisitos traria maior competitividade, sem macular a capacidade técnico-operacional, profissional ou mesmo de cunho estrutural econômico do proponente, pois o prejuízo social, econômico e administrativo à Administração não pode ser </w:t>
      </w:r>
      <w:r>
        <w:rPr>
          <w:rFonts w:ascii="Verdana" w:hAnsi="Verdana"/>
          <w:color w:val="000000"/>
          <w:sz w:val="17"/>
          <w:szCs w:val="17"/>
        </w:rPr>
        <w:lastRenderedPageBreak/>
        <w:t>demonstrado quando flexibilizada tal exigência, no intuito, de ampliar a concorrência. Frente ao exposto, entendemos que a exigência de quantitativo do item 13.1 não fundamenta o perfil do objeto deste PE 22/2017, nem mesmo comprova que o atendimento será de melhor qualidade e credibilidade se o proponente trouxer ao Certame provas de que atende TODOS OS 26 ESTADOS da federação, uma vez que, a qualidade e características técnicas para a prestação dos serviços segue regras e padrões pré-estabelecidos pelas boas práticas em TI, além das aqui dispostas pelo certame e contratante. Imperioso ressaltar, que nossa contribuição dar-se-á a partir do fundamento de que NÃO SE FAZ NECESSÁRIA a exigência quantitativa do item 13.1, pois se a Licitante comprovar experiência, qualidade e know-how em atender com estrutura tecnológica e profissionais capacitados, não será a diversidade de localidades atendidas que trará a FUNASA a proporcionalidade entre necessidade e oferta de serviços qualificados. Esta exigência (item 13.1) NÃO nivela os competidores, nem mesmo comprova capacidade técnica em operacionalizar o serviço contratado ou minimiza os riscos de ineficiência na prestação dos serviços por incapacidade operacional. Vejamos: Precedentes desta Corte Superior. 8. Recurso especial provido. (</w:t>
      </w:r>
      <w:proofErr w:type="spellStart"/>
      <w:r>
        <w:rPr>
          <w:rFonts w:ascii="Verdana" w:hAnsi="Verdana"/>
          <w:color w:val="000000"/>
          <w:sz w:val="17"/>
          <w:szCs w:val="17"/>
        </w:rPr>
        <w:t>REsp</w:t>
      </w:r>
      <w:proofErr w:type="spellEnd"/>
      <w:r>
        <w:rPr>
          <w:rFonts w:ascii="Verdana" w:hAnsi="Verdana"/>
          <w:color w:val="000000"/>
          <w:sz w:val="17"/>
          <w:szCs w:val="17"/>
        </w:rPr>
        <w:t xml:space="preserve"> 1257886 / PE - RECURSO ESPECIAL 2011/0125591-4. Rel. Min. Mauro Campbell Marques. T2 - Segunda Turma; </w:t>
      </w:r>
      <w:proofErr w:type="spellStart"/>
      <w:r>
        <w:rPr>
          <w:rFonts w:ascii="Verdana" w:hAnsi="Verdana"/>
          <w:color w:val="000000"/>
          <w:sz w:val="17"/>
          <w:szCs w:val="17"/>
        </w:rPr>
        <w:t>julg</w:t>
      </w:r>
      <w:proofErr w:type="spellEnd"/>
      <w:r>
        <w:rPr>
          <w:rFonts w:ascii="Verdana" w:hAnsi="Verdana"/>
          <w:color w:val="000000"/>
          <w:sz w:val="17"/>
          <w:szCs w:val="17"/>
        </w:rPr>
        <w:t xml:space="preserve">. </w:t>
      </w:r>
      <w:proofErr w:type="gramStart"/>
      <w:r>
        <w:rPr>
          <w:rFonts w:ascii="Verdana" w:hAnsi="Verdana"/>
          <w:color w:val="000000"/>
          <w:sz w:val="17"/>
          <w:szCs w:val="17"/>
        </w:rPr>
        <w:t>em</w:t>
      </w:r>
      <w:proofErr w:type="gramEnd"/>
      <w:r>
        <w:rPr>
          <w:rFonts w:ascii="Verdana" w:hAnsi="Verdana"/>
          <w:color w:val="000000"/>
          <w:sz w:val="17"/>
          <w:szCs w:val="17"/>
        </w:rPr>
        <w:t xml:space="preserve"> 03/11/2011; </w:t>
      </w:r>
      <w:proofErr w:type="spellStart"/>
      <w:r>
        <w:rPr>
          <w:rFonts w:ascii="Verdana" w:hAnsi="Verdana"/>
          <w:color w:val="000000"/>
          <w:sz w:val="17"/>
          <w:szCs w:val="17"/>
        </w:rPr>
        <w:t>publ</w:t>
      </w:r>
      <w:proofErr w:type="spellEnd"/>
      <w:r>
        <w:rPr>
          <w:rFonts w:ascii="Verdana" w:hAnsi="Verdana"/>
          <w:color w:val="000000"/>
          <w:sz w:val="17"/>
          <w:szCs w:val="17"/>
        </w:rPr>
        <w:t xml:space="preserve">. em </w:t>
      </w:r>
      <w:proofErr w:type="spellStart"/>
      <w:r>
        <w:rPr>
          <w:rFonts w:ascii="Verdana" w:hAnsi="Verdana"/>
          <w:color w:val="000000"/>
          <w:sz w:val="17"/>
          <w:szCs w:val="17"/>
        </w:rPr>
        <w:t>DJe</w:t>
      </w:r>
      <w:proofErr w:type="spellEnd"/>
      <w:r>
        <w:rPr>
          <w:rFonts w:ascii="Verdana" w:hAnsi="Verdana"/>
          <w:color w:val="000000"/>
          <w:sz w:val="17"/>
          <w:szCs w:val="17"/>
        </w:rPr>
        <w:t xml:space="preserve"> 11/11/2011), deixa de corroborar para a ampliação da concorrência e economia ao erário, porque engessa sem qualificar eficientemente o certame. Entendemos que Administração pode exigir o cumprimento de determinados requisitos em prol de assegurar a participação somente de licitantes que efetivamente tenham condições de cumprir com as obrigações do contrato, NO ENTANTO, restringir a participação e competição, através da exigência de que a concorrente comprove atuação em TODO O TERIITORIO NACIONAL, uma vez que, 26 ESTADOS, CONNSTITUEM A TOTALIDADE DOS ESTADOS FEDERADOS, num pais com o continente de 8.516.000 km², onde o que consta no objeto desta contratação não trata de conhecimento de solo, vegetação, perfil cultural,...MAS DE SERVIÇOS DE PERFIL TENICO bastante aclarado nos termos do Edital, bem como, nos procedimentos e regras de boas </w:t>
      </w:r>
      <w:proofErr w:type="spellStart"/>
      <w:r>
        <w:rPr>
          <w:rFonts w:ascii="Verdana" w:hAnsi="Verdana"/>
          <w:color w:val="000000"/>
          <w:sz w:val="17"/>
          <w:szCs w:val="17"/>
        </w:rPr>
        <w:t>praticas</w:t>
      </w:r>
      <w:proofErr w:type="spellEnd"/>
      <w:r>
        <w:rPr>
          <w:rFonts w:ascii="Verdana" w:hAnsi="Verdana"/>
          <w:color w:val="000000"/>
          <w:sz w:val="17"/>
          <w:szCs w:val="17"/>
        </w:rPr>
        <w:t xml:space="preserve"> em TI, ITIL e demais </w:t>
      </w:r>
      <w:proofErr w:type="spellStart"/>
      <w:r>
        <w:rPr>
          <w:rFonts w:ascii="Verdana" w:hAnsi="Verdana"/>
          <w:color w:val="000000"/>
          <w:sz w:val="17"/>
          <w:szCs w:val="17"/>
        </w:rPr>
        <w:t>duretrizes</w:t>
      </w:r>
      <w:proofErr w:type="spellEnd"/>
      <w:r>
        <w:rPr>
          <w:rFonts w:ascii="Verdana" w:hAnsi="Verdana"/>
          <w:color w:val="000000"/>
          <w:sz w:val="17"/>
          <w:szCs w:val="17"/>
        </w:rPr>
        <w:t xml:space="preserve"> de qualidade de serviços, perfil deste edital. Certos de seu parecer favorável, antecipadamente, agradecemos pelo pronto atendimento.</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17/10/2017 16:12:14</w:t>
      </w: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Inicialmente cabe esclarecer que a licitação se refere a contratação de empresa especializada na prestação de serviços de monitoramento, operação e suporte a infraestrutura de redes da FUNASA, restando claro que não se trata de “mão de obra” ou “posto de serviço”. Os serviços deverão ser prestados na Funasa Presidência a qual possui 26 Superintendências Estaduais, diante disso, os serviços nos estados poderão ser prestados remotamente. Referente a solicitação de comprovação de execução dos serviços em 26 estados, entende-se que a empresa deverá comprovar ser capaz de fornecer os serviços de características técnicas em ambiente tecnológico em 50% da estrutura de TI da Funasa. Diante disso, esclarecemos que não há necessidade de comprovação de habilitação técnica nos 26 estados, apenas que a empresa executou, ou executa, os serviços em território nacional independente de estado ou região.</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Esclarecimento </w:t>
      </w:r>
      <w:r w:rsidRPr="000C0B22">
        <w:rPr>
          <w:rFonts w:ascii="Verdana" w:eastAsia="Times New Roman" w:hAnsi="Verdana" w:cs="Times New Roman"/>
          <w:color w:val="CC0033"/>
          <w:sz w:val="17"/>
          <w:szCs w:val="17"/>
          <w:lang w:eastAsia="pt-BR"/>
        </w:rPr>
        <w:t>17/10/2017 16:06:56</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Com relação ao disposto no item 13.1.1.25, onde se determina que o somatório de atestados será permitido apenas para a composição dos quantitativos e não dos requisitos, é correto o entendimento, nos termos da melhor doutrina e Acórdãos nº 1.983/2014, nº 1.231/2012 e nº 1.890/2006-Plenário do TCU, e com a finalidade de ampliar a competitividade do certame, que será admitido o somatório de atestados para comprovar os itens requisitados (13.1 e subitens), desde que executados em períodos concomitantes?</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17/10/2017 16:06:56</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Esclarecemos que será permitido o somatório de atestados para composição dos quantitativos e não para comprovar os itens requisitados. O entendimento é de utilizar vários atestados para compor o somatório de cada item requisitado, sendo assim, não é correto o entendimento de somatório de comprovação de serviços a serem prestados.</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Esclarecimento </w:t>
      </w:r>
      <w:r w:rsidRPr="000C0B22">
        <w:rPr>
          <w:rFonts w:ascii="Verdana" w:eastAsia="Times New Roman" w:hAnsi="Verdana" w:cs="Times New Roman"/>
          <w:color w:val="CC0033"/>
          <w:sz w:val="17"/>
          <w:szCs w:val="17"/>
          <w:lang w:eastAsia="pt-BR"/>
        </w:rPr>
        <w:t>17/10/2017 16:06:01</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 xml:space="preserve">De acordo com a redação dada ao item 13 do Termo de Referência, para fins de comprovação da capacidade técnica, foi adotado um critério de proporcionalidade de 50% para os volumes de UST, HST e objetos de diretório. Deste modo, por coerência com o disposto nesta cláusula, e nos itens 13.1, 13.1.1.6, 13.1.1.9, 13.1.1.11, bem como pelo art. 30 da Lei Federal n. 8.666/93 e Acórdãos 2.383/2007 e 1284/2003 do TCU, é correto o entendimento que </w:t>
      </w:r>
      <w:proofErr w:type="gramStart"/>
      <w:r w:rsidRPr="000C0B22">
        <w:rPr>
          <w:rFonts w:ascii="Verdana" w:eastAsia="Times New Roman" w:hAnsi="Verdana" w:cs="Times New Roman"/>
          <w:color w:val="000000"/>
          <w:sz w:val="17"/>
          <w:szCs w:val="17"/>
          <w:lang w:eastAsia="pt-BR"/>
        </w:rPr>
        <w:t>deve-se</w:t>
      </w:r>
      <w:proofErr w:type="gramEnd"/>
      <w:r w:rsidRPr="000C0B22">
        <w:rPr>
          <w:rFonts w:ascii="Verdana" w:eastAsia="Times New Roman" w:hAnsi="Verdana" w:cs="Times New Roman"/>
          <w:color w:val="000000"/>
          <w:sz w:val="17"/>
          <w:szCs w:val="17"/>
          <w:lang w:eastAsia="pt-BR"/>
        </w:rPr>
        <w:t xml:space="preserve"> comprovar a execução de </w:t>
      </w:r>
      <w:r w:rsidRPr="000C0B22">
        <w:rPr>
          <w:rFonts w:ascii="Verdana" w:eastAsia="Times New Roman" w:hAnsi="Verdana" w:cs="Times New Roman"/>
          <w:color w:val="000000"/>
          <w:sz w:val="17"/>
          <w:szCs w:val="17"/>
          <w:lang w:eastAsia="pt-BR"/>
        </w:rPr>
        <w:lastRenderedPageBreak/>
        <w:t>serviços geograficamente distribuídos em quantidade igual ou superior à 13 estados (50% do total de 26 estados)?</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17/10/2017 16:06:01</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 xml:space="preserve">Não está correto o entendimento. Como consta no item 13 do Termo de Referência a comprovação deverá ser de ambiente de no mínimo 7.013 objetos de diretórios, referente a 50% do número total de objetos de diretórios estimados da FUNASA, conforme Anexo III – Ambiente Tecnológico do Termo de Referência, </w:t>
      </w:r>
      <w:proofErr w:type="spellStart"/>
      <w:r w:rsidRPr="000C0B22">
        <w:rPr>
          <w:rFonts w:ascii="Verdana" w:eastAsia="Times New Roman" w:hAnsi="Verdana" w:cs="Times New Roman"/>
          <w:color w:val="000000"/>
          <w:sz w:val="17"/>
          <w:szCs w:val="17"/>
          <w:lang w:eastAsia="pt-BR"/>
        </w:rPr>
        <w:t>independente</w:t>
      </w:r>
      <w:proofErr w:type="spellEnd"/>
      <w:r w:rsidRPr="000C0B22">
        <w:rPr>
          <w:rFonts w:ascii="Verdana" w:eastAsia="Times New Roman" w:hAnsi="Verdana" w:cs="Times New Roman"/>
          <w:color w:val="000000"/>
          <w:sz w:val="17"/>
          <w:szCs w:val="17"/>
          <w:lang w:eastAsia="pt-BR"/>
        </w:rPr>
        <w:t xml:space="preserve"> de qual estado ou região foi executado.</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Pr>
          <w:rFonts w:ascii="Verdana" w:eastAsia="Times New Roman" w:hAnsi="Verdana" w:cs="Times New Roman"/>
          <w:b/>
          <w:bCs/>
          <w:color w:val="000000"/>
          <w:sz w:val="17"/>
          <w:szCs w:val="17"/>
          <w:lang w:eastAsia="pt-BR"/>
        </w:rPr>
        <w:t>E</w:t>
      </w:r>
      <w:r w:rsidRPr="000C0B22">
        <w:rPr>
          <w:rFonts w:ascii="Verdana" w:eastAsia="Times New Roman" w:hAnsi="Verdana" w:cs="Times New Roman"/>
          <w:b/>
          <w:bCs/>
          <w:color w:val="000000"/>
          <w:sz w:val="17"/>
          <w:szCs w:val="17"/>
          <w:lang w:eastAsia="pt-BR"/>
        </w:rPr>
        <w:t>sclarecimento </w:t>
      </w:r>
      <w:r w:rsidRPr="000C0B22">
        <w:rPr>
          <w:rFonts w:ascii="Verdana" w:eastAsia="Times New Roman" w:hAnsi="Verdana" w:cs="Times New Roman"/>
          <w:color w:val="CC0033"/>
          <w:sz w:val="17"/>
          <w:szCs w:val="17"/>
          <w:lang w:eastAsia="pt-BR"/>
        </w:rPr>
        <w:t>17/10/2017 16:00:08</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Referente ao pregão supracitado, gostaríamos que nos informasse se o serviço que está sendo licitado, há no momento alguma empresa prestando este serviço? Em caso positivo, pedimos informar a data de finalização do contrato atual e a razão social da mesma?</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17/10/2017 16:00:08</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 xml:space="preserve">Esclarecemos que os serviços estão sendo prestados pela empresa </w:t>
      </w:r>
      <w:proofErr w:type="spellStart"/>
      <w:r w:rsidRPr="000C0B22">
        <w:rPr>
          <w:rFonts w:ascii="Verdana" w:eastAsia="Times New Roman" w:hAnsi="Verdana" w:cs="Times New Roman"/>
          <w:color w:val="000000"/>
          <w:sz w:val="17"/>
          <w:szCs w:val="17"/>
          <w:lang w:eastAsia="pt-BR"/>
        </w:rPr>
        <w:t>Cast</w:t>
      </w:r>
      <w:proofErr w:type="spellEnd"/>
      <w:r w:rsidRPr="000C0B22">
        <w:rPr>
          <w:rFonts w:ascii="Verdana" w:eastAsia="Times New Roman" w:hAnsi="Verdana" w:cs="Times New Roman"/>
          <w:color w:val="000000"/>
          <w:sz w:val="17"/>
          <w:szCs w:val="17"/>
          <w:lang w:eastAsia="pt-BR"/>
        </w:rPr>
        <w:t xml:space="preserve"> Informática S/A, até a data de 07/03/2018 ou até que se conclua o novo certame licitatório. Maiores informações poderão ser acessadas através do endereço: http://pesquisa.in.gov.br/imprensa/jsp/visualiza/index.jsp?jornal=3&amp;pagina=86&amp;data=23/05/2017</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Esclarecimento </w:t>
      </w:r>
      <w:r w:rsidRPr="000C0B22">
        <w:rPr>
          <w:rFonts w:ascii="Verdana" w:eastAsia="Times New Roman" w:hAnsi="Verdana" w:cs="Times New Roman"/>
          <w:color w:val="CC0033"/>
          <w:sz w:val="17"/>
          <w:szCs w:val="17"/>
          <w:lang w:eastAsia="pt-BR"/>
        </w:rPr>
        <w:t>06/10/2017 13:46:47</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À CPL Gostaríamos de saber qual o valor orçado por item, uma vez que não consta no Edital.</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06/10/2017 13:46:47</w:t>
      </w:r>
    </w:p>
    <w:p w:rsidR="000C0B22" w:rsidRDefault="000C0B22" w:rsidP="000C0B22">
      <w:pPr>
        <w:pStyle w:val="tex3b"/>
        <w:rPr>
          <w:rFonts w:ascii="Verdana" w:hAnsi="Verdana"/>
          <w:b/>
          <w:bCs/>
          <w:color w:val="000000"/>
          <w:sz w:val="17"/>
          <w:szCs w:val="17"/>
        </w:rPr>
      </w:pPr>
      <w:r w:rsidRPr="000C0B22">
        <w:rPr>
          <w:rFonts w:ascii="Verdana" w:hAnsi="Verdana"/>
          <w:color w:val="000000"/>
          <w:sz w:val="17"/>
          <w:szCs w:val="17"/>
        </w:rPr>
        <w:t xml:space="preserve">Sra. Licitante, </w:t>
      </w:r>
      <w:proofErr w:type="gramStart"/>
      <w:r w:rsidRPr="000C0B22">
        <w:rPr>
          <w:rFonts w:ascii="Verdana" w:hAnsi="Verdana"/>
          <w:color w:val="000000"/>
          <w:sz w:val="17"/>
          <w:szCs w:val="17"/>
        </w:rPr>
        <w:t>Seguem</w:t>
      </w:r>
      <w:proofErr w:type="gramEnd"/>
      <w:r w:rsidRPr="000C0B22">
        <w:rPr>
          <w:rFonts w:ascii="Verdana" w:hAnsi="Verdana"/>
          <w:color w:val="000000"/>
          <w:sz w:val="17"/>
          <w:szCs w:val="17"/>
        </w:rPr>
        <w:t xml:space="preserve"> os valores estimados: Item 1 – valor anual R$ 650.320,20 Item 2 – 49.553,80 UST R$ 2.179.376,12 Atenciosamente, Carmen Santos Presidente da CPL</w:t>
      </w:r>
      <w:r w:rsidRPr="000C0B22">
        <w:rPr>
          <w:rFonts w:ascii="Verdana" w:hAnsi="Verdana"/>
          <w:b/>
          <w:bCs/>
          <w:color w:val="000000"/>
          <w:sz w:val="17"/>
          <w:szCs w:val="17"/>
        </w:rPr>
        <w:t xml:space="preserve"> </w:t>
      </w:r>
    </w:p>
    <w:p w:rsidR="000C0B22" w:rsidRPr="000C0B22" w:rsidRDefault="000C0B22" w:rsidP="000C0B22">
      <w:pPr>
        <w:pStyle w:val="tex3b"/>
        <w:rPr>
          <w:rFonts w:ascii="Verdana" w:hAnsi="Verdana"/>
          <w:b/>
          <w:bCs/>
          <w:color w:val="000000"/>
          <w:sz w:val="17"/>
          <w:szCs w:val="17"/>
        </w:rPr>
      </w:pPr>
      <w:r w:rsidRPr="000C0B22">
        <w:rPr>
          <w:rFonts w:ascii="Verdana" w:hAnsi="Verdana"/>
          <w:b/>
          <w:bCs/>
          <w:color w:val="000000"/>
          <w:sz w:val="17"/>
          <w:szCs w:val="17"/>
        </w:rPr>
        <w:t>Esclarecimento </w:t>
      </w:r>
      <w:r w:rsidRPr="000C0B22">
        <w:rPr>
          <w:rFonts w:ascii="Verdana" w:hAnsi="Verdana"/>
          <w:color w:val="CC0033"/>
          <w:sz w:val="17"/>
          <w:szCs w:val="17"/>
        </w:rPr>
        <w:t>06/10/2017 13:45:55</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À CPL Gostaríamos de saber se será aceito Consórcio de empresas para participação desse certame?</w:t>
      </w: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/Funasa/Presidência</w:t>
      </w:r>
    </w:p>
    <w:p w:rsidR="000C0B22" w:rsidRPr="000C0B22" w:rsidRDefault="000C0B22" w:rsidP="000C0B22">
      <w:pPr>
        <w:spacing w:before="100" w:beforeAutospacing="1" w:after="100" w:afterAutospacing="1" w:line="240" w:lineRule="auto"/>
        <w:rPr>
          <w:rFonts w:ascii="Verdana" w:eastAsia="Times New Roman" w:hAnsi="Verdana" w:cs="Times New Roman"/>
          <w:b/>
          <w:bCs/>
          <w:color w:val="000000"/>
          <w:sz w:val="17"/>
          <w:szCs w:val="17"/>
          <w:lang w:eastAsia="pt-BR"/>
        </w:rPr>
      </w:pPr>
      <w:r w:rsidRPr="000C0B22">
        <w:rPr>
          <w:rFonts w:ascii="Verdana" w:eastAsia="Times New Roman" w:hAnsi="Verdana" w:cs="Times New Roman"/>
          <w:b/>
          <w:bCs/>
          <w:color w:val="000000"/>
          <w:sz w:val="17"/>
          <w:szCs w:val="17"/>
          <w:lang w:eastAsia="pt-BR"/>
        </w:rPr>
        <w:t>Resposta </w:t>
      </w:r>
      <w:r w:rsidRPr="000C0B22">
        <w:rPr>
          <w:rFonts w:ascii="Verdana" w:eastAsia="Times New Roman" w:hAnsi="Verdana" w:cs="Times New Roman"/>
          <w:color w:val="CC0033"/>
          <w:sz w:val="17"/>
          <w:szCs w:val="17"/>
          <w:lang w:eastAsia="pt-BR"/>
        </w:rPr>
        <w:t>06/10/2017 13:45:55</w:t>
      </w: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0C0B22">
        <w:rPr>
          <w:rFonts w:ascii="Verdana" w:eastAsia="Times New Roman" w:hAnsi="Verdana" w:cs="Times New Roman"/>
          <w:color w:val="000000"/>
          <w:sz w:val="17"/>
          <w:szCs w:val="17"/>
          <w:lang w:eastAsia="pt-BR"/>
        </w:rPr>
        <w:t xml:space="preserve">Sra. Licitante, </w:t>
      </w:r>
      <w:proofErr w:type="gramStart"/>
      <w:r w:rsidRPr="000C0B22">
        <w:rPr>
          <w:rFonts w:ascii="Verdana" w:eastAsia="Times New Roman" w:hAnsi="Verdana" w:cs="Times New Roman"/>
          <w:color w:val="000000"/>
          <w:sz w:val="17"/>
          <w:szCs w:val="17"/>
          <w:lang w:eastAsia="pt-BR"/>
        </w:rPr>
        <w:t>Não</w:t>
      </w:r>
      <w:proofErr w:type="gramEnd"/>
      <w:r w:rsidRPr="000C0B22">
        <w:rPr>
          <w:rFonts w:ascii="Verdana" w:eastAsia="Times New Roman" w:hAnsi="Verdana" w:cs="Times New Roman"/>
          <w:color w:val="000000"/>
          <w:sz w:val="17"/>
          <w:szCs w:val="17"/>
          <w:lang w:eastAsia="pt-BR"/>
        </w:rPr>
        <w:t xml:space="preserve"> há óbice à participação de consórcios no Pregão Eletrônico nº 22/2017. Atenciosamente, Carmen Santos Presidente da CPL/Funasa/Presidência</w:t>
      </w: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bookmarkStart w:id="0" w:name="_GoBack"/>
      <w:bookmarkEnd w:id="0"/>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0C0B22" w:rsidRPr="000C0B22" w:rsidRDefault="000C0B22" w:rsidP="000C0B22">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0C0B22" w:rsidRDefault="000C0B22" w:rsidP="000C0B22">
      <w:pPr>
        <w:pStyle w:val="tex3"/>
        <w:jc w:val="both"/>
        <w:rPr>
          <w:rFonts w:ascii="Verdana" w:hAnsi="Verdana"/>
          <w:color w:val="000000"/>
          <w:sz w:val="17"/>
          <w:szCs w:val="17"/>
        </w:rPr>
      </w:pPr>
    </w:p>
    <w:p w:rsidR="00577266" w:rsidRDefault="00577266"/>
    <w:sectPr w:rsidR="00577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22"/>
    <w:rsid w:val="000C0B22"/>
    <w:rsid w:val="00577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B1CA"/>
  <w15:chartTrackingRefBased/>
  <w15:docId w15:val="{1DDF3675-E4C3-4360-BE51-E6AE42EA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3b">
    <w:name w:val="tex3b"/>
    <w:basedOn w:val="Normal"/>
    <w:rsid w:val="000C0B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0C0B22"/>
  </w:style>
  <w:style w:type="paragraph" w:customStyle="1" w:styleId="tex3">
    <w:name w:val="tex3"/>
    <w:basedOn w:val="Normal"/>
    <w:rsid w:val="000C0B2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3150">
      <w:bodyDiv w:val="1"/>
      <w:marLeft w:val="0"/>
      <w:marRight w:val="0"/>
      <w:marTop w:val="0"/>
      <w:marBottom w:val="0"/>
      <w:divBdr>
        <w:top w:val="none" w:sz="0" w:space="0" w:color="auto"/>
        <w:left w:val="none" w:sz="0" w:space="0" w:color="auto"/>
        <w:bottom w:val="none" w:sz="0" w:space="0" w:color="auto"/>
        <w:right w:val="none" w:sz="0" w:space="0" w:color="auto"/>
      </w:divBdr>
    </w:div>
    <w:div w:id="278686943">
      <w:bodyDiv w:val="1"/>
      <w:marLeft w:val="0"/>
      <w:marRight w:val="0"/>
      <w:marTop w:val="0"/>
      <w:marBottom w:val="0"/>
      <w:divBdr>
        <w:top w:val="none" w:sz="0" w:space="0" w:color="auto"/>
        <w:left w:val="none" w:sz="0" w:space="0" w:color="auto"/>
        <w:bottom w:val="none" w:sz="0" w:space="0" w:color="auto"/>
        <w:right w:val="none" w:sz="0" w:space="0" w:color="auto"/>
      </w:divBdr>
    </w:div>
    <w:div w:id="346369960">
      <w:bodyDiv w:val="1"/>
      <w:marLeft w:val="0"/>
      <w:marRight w:val="0"/>
      <w:marTop w:val="0"/>
      <w:marBottom w:val="0"/>
      <w:divBdr>
        <w:top w:val="none" w:sz="0" w:space="0" w:color="auto"/>
        <w:left w:val="none" w:sz="0" w:space="0" w:color="auto"/>
        <w:bottom w:val="none" w:sz="0" w:space="0" w:color="auto"/>
        <w:right w:val="none" w:sz="0" w:space="0" w:color="auto"/>
      </w:divBdr>
    </w:div>
    <w:div w:id="426999104">
      <w:bodyDiv w:val="1"/>
      <w:marLeft w:val="0"/>
      <w:marRight w:val="0"/>
      <w:marTop w:val="0"/>
      <w:marBottom w:val="0"/>
      <w:divBdr>
        <w:top w:val="none" w:sz="0" w:space="0" w:color="auto"/>
        <w:left w:val="none" w:sz="0" w:space="0" w:color="auto"/>
        <w:bottom w:val="none" w:sz="0" w:space="0" w:color="auto"/>
        <w:right w:val="none" w:sz="0" w:space="0" w:color="auto"/>
      </w:divBdr>
    </w:div>
    <w:div w:id="529685110">
      <w:bodyDiv w:val="1"/>
      <w:marLeft w:val="0"/>
      <w:marRight w:val="0"/>
      <w:marTop w:val="0"/>
      <w:marBottom w:val="0"/>
      <w:divBdr>
        <w:top w:val="none" w:sz="0" w:space="0" w:color="auto"/>
        <w:left w:val="none" w:sz="0" w:space="0" w:color="auto"/>
        <w:bottom w:val="none" w:sz="0" w:space="0" w:color="auto"/>
        <w:right w:val="none" w:sz="0" w:space="0" w:color="auto"/>
      </w:divBdr>
    </w:div>
    <w:div w:id="662195720">
      <w:bodyDiv w:val="1"/>
      <w:marLeft w:val="0"/>
      <w:marRight w:val="0"/>
      <w:marTop w:val="0"/>
      <w:marBottom w:val="0"/>
      <w:divBdr>
        <w:top w:val="none" w:sz="0" w:space="0" w:color="auto"/>
        <w:left w:val="none" w:sz="0" w:space="0" w:color="auto"/>
        <w:bottom w:val="none" w:sz="0" w:space="0" w:color="auto"/>
        <w:right w:val="none" w:sz="0" w:space="0" w:color="auto"/>
      </w:divBdr>
    </w:div>
    <w:div w:id="827092353">
      <w:bodyDiv w:val="1"/>
      <w:marLeft w:val="0"/>
      <w:marRight w:val="0"/>
      <w:marTop w:val="0"/>
      <w:marBottom w:val="0"/>
      <w:divBdr>
        <w:top w:val="none" w:sz="0" w:space="0" w:color="auto"/>
        <w:left w:val="none" w:sz="0" w:space="0" w:color="auto"/>
        <w:bottom w:val="none" w:sz="0" w:space="0" w:color="auto"/>
        <w:right w:val="none" w:sz="0" w:space="0" w:color="auto"/>
      </w:divBdr>
    </w:div>
    <w:div w:id="850408712">
      <w:bodyDiv w:val="1"/>
      <w:marLeft w:val="0"/>
      <w:marRight w:val="0"/>
      <w:marTop w:val="0"/>
      <w:marBottom w:val="0"/>
      <w:divBdr>
        <w:top w:val="none" w:sz="0" w:space="0" w:color="auto"/>
        <w:left w:val="none" w:sz="0" w:space="0" w:color="auto"/>
        <w:bottom w:val="none" w:sz="0" w:space="0" w:color="auto"/>
        <w:right w:val="none" w:sz="0" w:space="0" w:color="auto"/>
      </w:divBdr>
    </w:div>
    <w:div w:id="935556380">
      <w:bodyDiv w:val="1"/>
      <w:marLeft w:val="0"/>
      <w:marRight w:val="0"/>
      <w:marTop w:val="0"/>
      <w:marBottom w:val="0"/>
      <w:divBdr>
        <w:top w:val="none" w:sz="0" w:space="0" w:color="auto"/>
        <w:left w:val="none" w:sz="0" w:space="0" w:color="auto"/>
        <w:bottom w:val="none" w:sz="0" w:space="0" w:color="auto"/>
        <w:right w:val="none" w:sz="0" w:space="0" w:color="auto"/>
      </w:divBdr>
    </w:div>
    <w:div w:id="1336690045">
      <w:bodyDiv w:val="1"/>
      <w:marLeft w:val="0"/>
      <w:marRight w:val="0"/>
      <w:marTop w:val="0"/>
      <w:marBottom w:val="0"/>
      <w:divBdr>
        <w:top w:val="none" w:sz="0" w:space="0" w:color="auto"/>
        <w:left w:val="none" w:sz="0" w:space="0" w:color="auto"/>
        <w:bottom w:val="none" w:sz="0" w:space="0" w:color="auto"/>
        <w:right w:val="none" w:sz="0" w:space="0" w:color="auto"/>
      </w:divBdr>
    </w:div>
    <w:div w:id="1696733391">
      <w:bodyDiv w:val="1"/>
      <w:marLeft w:val="0"/>
      <w:marRight w:val="0"/>
      <w:marTop w:val="0"/>
      <w:marBottom w:val="0"/>
      <w:divBdr>
        <w:top w:val="none" w:sz="0" w:space="0" w:color="auto"/>
        <w:left w:val="none" w:sz="0" w:space="0" w:color="auto"/>
        <w:bottom w:val="none" w:sz="0" w:space="0" w:color="auto"/>
        <w:right w:val="none" w:sz="0" w:space="0" w:color="auto"/>
      </w:divBdr>
    </w:div>
    <w:div w:id="1758018975">
      <w:bodyDiv w:val="1"/>
      <w:marLeft w:val="0"/>
      <w:marRight w:val="0"/>
      <w:marTop w:val="0"/>
      <w:marBottom w:val="0"/>
      <w:divBdr>
        <w:top w:val="none" w:sz="0" w:space="0" w:color="auto"/>
        <w:left w:val="none" w:sz="0" w:space="0" w:color="auto"/>
        <w:bottom w:val="none" w:sz="0" w:space="0" w:color="auto"/>
        <w:right w:val="none" w:sz="0" w:space="0" w:color="auto"/>
      </w:divBdr>
    </w:div>
    <w:div w:id="1962375758">
      <w:bodyDiv w:val="1"/>
      <w:marLeft w:val="0"/>
      <w:marRight w:val="0"/>
      <w:marTop w:val="0"/>
      <w:marBottom w:val="0"/>
      <w:divBdr>
        <w:top w:val="none" w:sz="0" w:space="0" w:color="auto"/>
        <w:left w:val="none" w:sz="0" w:space="0" w:color="auto"/>
        <w:bottom w:val="none" w:sz="0" w:space="0" w:color="auto"/>
        <w:right w:val="none" w:sz="0" w:space="0" w:color="auto"/>
      </w:divBdr>
    </w:div>
    <w:div w:id="2013792758">
      <w:bodyDiv w:val="1"/>
      <w:marLeft w:val="0"/>
      <w:marRight w:val="0"/>
      <w:marTop w:val="0"/>
      <w:marBottom w:val="0"/>
      <w:divBdr>
        <w:top w:val="none" w:sz="0" w:space="0" w:color="auto"/>
        <w:left w:val="none" w:sz="0" w:space="0" w:color="auto"/>
        <w:bottom w:val="none" w:sz="0" w:space="0" w:color="auto"/>
        <w:right w:val="none" w:sz="0" w:space="0" w:color="auto"/>
      </w:divBdr>
    </w:div>
    <w:div w:id="2015953641">
      <w:bodyDiv w:val="1"/>
      <w:marLeft w:val="0"/>
      <w:marRight w:val="0"/>
      <w:marTop w:val="0"/>
      <w:marBottom w:val="0"/>
      <w:divBdr>
        <w:top w:val="none" w:sz="0" w:space="0" w:color="auto"/>
        <w:left w:val="none" w:sz="0" w:space="0" w:color="auto"/>
        <w:bottom w:val="none" w:sz="0" w:space="0" w:color="auto"/>
        <w:right w:val="none" w:sz="0" w:space="0" w:color="auto"/>
      </w:divBdr>
    </w:div>
    <w:div w:id="2045978502">
      <w:bodyDiv w:val="1"/>
      <w:marLeft w:val="0"/>
      <w:marRight w:val="0"/>
      <w:marTop w:val="0"/>
      <w:marBottom w:val="0"/>
      <w:divBdr>
        <w:top w:val="none" w:sz="0" w:space="0" w:color="auto"/>
        <w:left w:val="none" w:sz="0" w:space="0" w:color="auto"/>
        <w:bottom w:val="none" w:sz="0" w:space="0" w:color="auto"/>
        <w:right w:val="none" w:sz="0" w:space="0" w:color="auto"/>
      </w:divBdr>
    </w:div>
    <w:div w:id="208066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3754</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2021-08-30T18:42:00Z</dcterms:created>
  <dcterms:modified xsi:type="dcterms:W3CDTF">2021-08-30T18:48:00Z</dcterms:modified>
</cp:coreProperties>
</file>