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20" w:before="200" w:lineRule="auto"/>
        <w:jc w:val="center"/>
        <w:rPr>
          <w:rFonts w:ascii="Montserrat" w:cs="Montserrat" w:eastAsia="Montserrat" w:hAnsi="Montserrat"/>
          <w:b w:val="1"/>
          <w:color w:val="ff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PROGRAMA FUNARTE DE APOIO A AÇÕES CONTINUADAS 2025</w:t>
      </w:r>
      <w:r w:rsidDel="00000000" w:rsidR="00000000" w:rsidRPr="00000000">
        <w:rPr>
          <w:rFonts w:ascii="Montserrat" w:cs="Montserrat" w:eastAsia="Montserrat" w:hAnsi="Montserrat"/>
          <w:b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spacing w:after="120" w:before="20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ARTES VISUAIS </w:t>
      </w:r>
    </w:p>
    <w:p w:rsidR="00000000" w:rsidDel="00000000" w:rsidP="00000000" w:rsidRDefault="00000000" w:rsidRPr="00000000" w14:paraId="00000003">
      <w:pPr>
        <w:widowControl w:val="0"/>
        <w:spacing w:after="120" w:before="20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ANEXO IX - DOS CRITÉRIOS E METODOLOGIA DE AVALIAÇÃO E SELEÇÃO DE PROJETO </w:t>
      </w:r>
    </w:p>
    <w:p w:rsidR="00000000" w:rsidDel="00000000" w:rsidP="00000000" w:rsidRDefault="00000000" w:rsidRPr="00000000" w14:paraId="00000005">
      <w:pPr>
        <w:spacing w:after="20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1. Durante a análise, a Comissão de Seleção classificará os projetos, de acordo com os critérios e pontuações abaixo: </w:t>
      </w:r>
    </w:p>
    <w:p w:rsidR="00000000" w:rsidDel="00000000" w:rsidP="00000000" w:rsidRDefault="00000000" w:rsidRPr="00000000" w14:paraId="00000006">
      <w:pPr>
        <w:spacing w:after="240" w:before="240" w:lineRule="auto"/>
        <w:ind w:left="72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1.1 Mérito Artístico e Relevância Cultural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– </w:t>
      </w: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highlight w:val="white"/>
          <w:rtl w:val="0"/>
        </w:rPr>
        <w:t xml:space="preserve">0 a 4 pontos | Peso: 3 | Total: 12 pontos</w:t>
        <w:br w:type="textWrapping"/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Avaliação da proposta conceitual e estética bem como sua relevância e impacto na dinamização da vida cultural dos territórios. Serão considerados: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before="24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Consistência conceitual e desenvolvimento da linguagem artística, em suas múltiplas vertentes;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Capacidade de gerar impacto sociocultural e de mobilizar o território(s)/localidade(s) onde se realiza;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Potencial de articulação e ampliação de redes, locais, nacionais e/ou internacionais;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Articulação das ações contidas no plano anual de atividades, contemplando pelo menos um dos seguintes eixos: criação, difusão, pesquisa, reflexão, memória ou formação.</w:t>
        <w:br w:type="textWrapping"/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1.2 Trajetória do Espaço, Grupo/Coletivo ou Evento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– </w:t>
      </w: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highlight w:val="white"/>
          <w:rtl w:val="0"/>
        </w:rPr>
        <w:t xml:space="preserve">0 a 4 pontos | Peso: 3 | Total: 12 pontos </w:t>
        <w:br w:type="textWrapping"/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Consideração da história e da contribuição cultural da iniciativa: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before="24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Relevância e continuidade das ações já realizadas;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Reconhecimento público e institucional;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Alcance e impacto das atividades no território de atuação.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Diversidade de eixos de atuação da iniciativa, tais como: criação, formação, acesso, difusão, internacionalização, dentre outros.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ind w:left="72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1.3 Capacidade Técnica e Viabilidade de Execução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– </w:t>
      </w: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highlight w:val="white"/>
          <w:rtl w:val="0"/>
        </w:rPr>
        <w:t xml:space="preserve">0 a 4 pontos | Peso: 2 | Total: 8 pontos</w:t>
        <w:br w:type="textWrapping"/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Análise da viabilidade da execução do projeto, considerando: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before="24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Capacidade técnica da equipe envolvida na realização da proposta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Clareza e coerência na elaboração do plano anual de atividades;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Adequação da planilha orçamentária aos custos reais de cada item, considerando também os recursos declarados provenientes de outras fontes;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Relação equilibrada entre atividades finalísticas, despesas e remunerações. </w:t>
        <w:br w:type="textWrapping"/>
      </w:r>
    </w:p>
    <w:p w:rsidR="00000000" w:rsidDel="00000000" w:rsidP="00000000" w:rsidRDefault="00000000" w:rsidRPr="00000000" w14:paraId="00000015">
      <w:pPr>
        <w:spacing w:after="240" w:before="240" w:lineRule="auto"/>
        <w:ind w:left="720" w:firstLine="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1.4. Ações Afirmativas e Democratização do acesso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– </w:t>
      </w: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highlight w:val="white"/>
          <w:rtl w:val="0"/>
        </w:rPr>
        <w:t xml:space="preserve">0 a 4 pontos | Peso: 2 | Total: 8 pontos</w:t>
        <w:br w:type="textWrapping"/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Avaliação das estratégias de acessibilidade, de promoção do acesso de pessoas trans e travestis, da equidade de gênero e raça, bem como da adoção de medidas e práticas socioambientais.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before="24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Implementação de ações efetivas de combate ao capacitismo e promoção de acessibilidade física, comunicacional e atitudinal;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Empregabilidade, protagonismo e participação de pessoas com deficiência, pessoas trans e outros grupos em situação de vulnerabilidade social;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Promoção da diversidade e equidade de gênero, étnico-racial, geracional, regional, territorial e local, tanto nos temas abordados quanto na composição das equipes;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Promoção da cultura do acesso, por meio de ações voltadas à mediação artística e formação de públicos.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24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Adoção de medidas voltadas à mitigação de impactos e à implementação de boas práticas relacionadas à convivência responsável com as questões ambientais.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A atribuição de pontos para cada critério estabelecido no item 1 obedecerá à seguinte gradação: </w:t>
      </w:r>
      <w:r w:rsidDel="00000000" w:rsidR="00000000" w:rsidRPr="00000000">
        <w:rPr>
          <w:rtl w:val="0"/>
        </w:rPr>
      </w:r>
    </w:p>
    <w:tbl>
      <w:tblPr>
        <w:tblStyle w:val="Table1"/>
        <w:tblW w:w="7605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790"/>
        <w:gridCol w:w="4815"/>
        <w:tblGridChange w:id="0">
          <w:tblGrid>
            <w:gridCol w:w="2790"/>
            <w:gridCol w:w="481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spacing w:after="40" w:before="40" w:lineRule="auto"/>
              <w:jc w:val="both"/>
              <w:rPr>
                <w:rFonts w:ascii="Montserrat" w:cs="Montserrat" w:eastAsia="Montserrat" w:hAnsi="Montserrat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  <w:rtl w:val="0"/>
              </w:rPr>
              <w:t xml:space="preserve">PONTUAÇÃO</w:t>
            </w: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spacing w:after="40" w:before="40" w:lineRule="auto"/>
              <w:jc w:val="both"/>
              <w:rPr>
                <w:rFonts w:ascii="Montserrat" w:cs="Montserrat" w:eastAsia="Montserrat" w:hAnsi="Montserrat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highlight w:val="white"/>
                <w:rtl w:val="0"/>
              </w:rPr>
              <w:t xml:space="preserve">DESCRIÇÃO DO CRITÉRIO</w:t>
            </w: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spacing w:after="40" w:before="40" w:lineRule="auto"/>
              <w:jc w:val="both"/>
              <w:rPr>
                <w:rFonts w:ascii="Montserrat" w:cs="Montserrat" w:eastAsia="Montserrat" w:hAnsi="Montserrat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highlight w:val="white"/>
                <w:rtl w:val="0"/>
              </w:rPr>
              <w:t xml:space="preserve">0 ponto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spacing w:after="40" w:before="40" w:lineRule="auto"/>
              <w:jc w:val="both"/>
              <w:rPr>
                <w:rFonts w:ascii="Montserrat" w:cs="Montserrat" w:eastAsia="Montserrat" w:hAnsi="Montserrat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highlight w:val="white"/>
                <w:rtl w:val="0"/>
              </w:rPr>
              <w:t xml:space="preserve">Não atende ao critério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spacing w:after="40" w:before="40" w:lineRule="auto"/>
              <w:jc w:val="both"/>
              <w:rPr>
                <w:rFonts w:ascii="Montserrat" w:cs="Montserrat" w:eastAsia="Montserrat" w:hAnsi="Montserrat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highlight w:val="white"/>
                <w:rtl w:val="0"/>
              </w:rPr>
              <w:t xml:space="preserve">0,1 a 1,9 ponto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spacing w:after="40" w:before="40" w:lineRule="auto"/>
              <w:jc w:val="both"/>
              <w:rPr>
                <w:rFonts w:ascii="Montserrat" w:cs="Montserrat" w:eastAsia="Montserrat" w:hAnsi="Montserrat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highlight w:val="white"/>
                <w:rtl w:val="0"/>
              </w:rPr>
              <w:t xml:space="preserve">Atende insuficientemente ao critério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spacing w:after="40" w:before="40" w:lineRule="auto"/>
              <w:jc w:val="both"/>
              <w:rPr>
                <w:rFonts w:ascii="Montserrat" w:cs="Montserrat" w:eastAsia="Montserrat" w:hAnsi="Montserrat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highlight w:val="white"/>
                <w:rtl w:val="0"/>
              </w:rPr>
              <w:t xml:space="preserve">2 a 2,9 pontos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spacing w:after="40" w:before="40" w:lineRule="auto"/>
              <w:jc w:val="both"/>
              <w:rPr>
                <w:rFonts w:ascii="Montserrat" w:cs="Montserrat" w:eastAsia="Montserrat" w:hAnsi="Montserrat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highlight w:val="white"/>
                <w:rtl w:val="0"/>
              </w:rPr>
              <w:t xml:space="preserve">Atende parcialmente ao critério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spacing w:after="40" w:before="40" w:lineRule="auto"/>
              <w:jc w:val="both"/>
              <w:rPr>
                <w:rFonts w:ascii="Montserrat" w:cs="Montserrat" w:eastAsia="Montserrat" w:hAnsi="Montserrat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highlight w:val="white"/>
                <w:rtl w:val="0"/>
              </w:rPr>
              <w:t xml:space="preserve">3 a 3,9 pontos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spacing w:after="40" w:before="40" w:lineRule="auto"/>
              <w:jc w:val="both"/>
              <w:rPr>
                <w:rFonts w:ascii="Montserrat" w:cs="Montserrat" w:eastAsia="Montserrat" w:hAnsi="Montserrat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highlight w:val="white"/>
                <w:rtl w:val="0"/>
              </w:rPr>
              <w:t xml:space="preserve">Atende satisfatoriamente ao critério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spacing w:after="40" w:before="40" w:lineRule="auto"/>
              <w:jc w:val="both"/>
              <w:rPr>
                <w:rFonts w:ascii="Montserrat" w:cs="Montserrat" w:eastAsia="Montserrat" w:hAnsi="Montserrat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highlight w:val="white"/>
                <w:rtl w:val="0"/>
              </w:rPr>
              <w:t xml:space="preserve">4 pontos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spacing w:after="40" w:before="40" w:lineRule="auto"/>
              <w:jc w:val="both"/>
              <w:rPr>
                <w:rFonts w:ascii="Montserrat" w:cs="Montserrat" w:eastAsia="Montserrat" w:hAnsi="Montserrat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highlight w:val="white"/>
                <w:rtl w:val="0"/>
              </w:rPr>
              <w:t xml:space="preserve">Atende plenamente ao critério </w:t>
            </w:r>
          </w:p>
        </w:tc>
      </w:tr>
    </w:tbl>
    <w:p w:rsidR="00000000" w:rsidDel="00000000" w:rsidP="00000000" w:rsidRDefault="00000000" w:rsidRPr="00000000" w14:paraId="00000028">
      <w:pPr>
        <w:spacing w:after="200" w:lineRule="auto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br w:type="textWrapping"/>
        <w:t xml:space="preserve">2.1. A pontuação máxima de cada projeto será de 40 pontos, conforme estabelecido no item 1. </w:t>
      </w:r>
    </w:p>
    <w:p w:rsidR="00000000" w:rsidDel="00000000" w:rsidP="00000000" w:rsidRDefault="00000000" w:rsidRPr="00000000" w14:paraId="00000029">
      <w:pPr>
        <w:spacing w:after="200" w:lineRule="auto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2.2. Os projetos que não atingirem a pontuação mínima de 20 pontos serão desclassificados. </w:t>
      </w:r>
    </w:p>
    <w:p w:rsidR="00000000" w:rsidDel="00000000" w:rsidP="00000000" w:rsidRDefault="00000000" w:rsidRPr="00000000" w14:paraId="0000002A">
      <w:pPr>
        <w:spacing w:after="200" w:lineRule="auto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2.3. A análise consistirá apenas na atribuição de notas para as propostas, não havendo emissão de parecer.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440"/>
        </w:tabs>
        <w:spacing w:after="200" w:before="240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4876800" cy="723265"/>
          <wp:effectExtent b="0" l="0" r="0" t="0"/>
          <wp:docPr descr="Uma imagem contendo Logotipo&#10;&#10;O conteúdo gerado por IA pode estar incorreto." id="2089839628" name="image1.png"/>
          <a:graphic>
            <a:graphicData uri="http://schemas.openxmlformats.org/drawingml/2006/picture">
              <pic:pic>
                <pic:nvPicPr>
                  <pic:cNvPr descr="Uma imagem contendo 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12334" l="0" r="0" t="12333"/>
                  <a:stretch>
                    <a:fillRect/>
                  </a:stretch>
                </pic:blipFill>
                <pic:spPr>
                  <a:xfrm>
                    <a:off x="0" y="0"/>
                    <a:ext cx="4876800" cy="723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92831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92831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92831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uiPriority w:val="9"/>
    <w:rsid w:val="0089283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uiPriority w:val="9"/>
    <w:semiHidden w:val="1"/>
    <w:rsid w:val="0089283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uiPriority w:val="9"/>
    <w:semiHidden w:val="1"/>
    <w:rsid w:val="0089283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uiPriority w:val="9"/>
    <w:semiHidden w:val="1"/>
    <w:rsid w:val="0089283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uiPriority w:val="9"/>
    <w:semiHidden w:val="1"/>
    <w:rsid w:val="00892831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uiPriority w:val="9"/>
    <w:semiHidden w:val="1"/>
    <w:rsid w:val="0089283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92831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9283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92831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uiPriority w:val="10"/>
    <w:rsid w:val="0089283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uiPriority w:val="11"/>
    <w:rsid w:val="0089283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9283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92831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92831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92831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9283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92831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92831"/>
    <w:rPr>
      <w:b w:val="1"/>
      <w:bCs w:val="1"/>
      <w:smallCaps w:val="1"/>
      <w:color w:val="0f4761" w:themeColor="accent1" w:themeShade="0000BF"/>
      <w:spacing w:val="5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0669EA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669EA"/>
  </w:style>
  <w:style w:type="paragraph" w:styleId="Rodap">
    <w:name w:val="footer"/>
    <w:basedOn w:val="Normal"/>
    <w:link w:val="RodapChar"/>
    <w:uiPriority w:val="99"/>
    <w:unhideWhenUsed w:val="1"/>
    <w:rsid w:val="000669EA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669EA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0OKrPKk+qBVKD1KO7Lw/7bZtzg==">CgMxLjA4AHIhMW1jRGl5cWNJNG16ZlJsdjNYdENITXBTNjUwRlJVS1dM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2025-06-18T18:52:00Z</dcterms:created>
  <dc:creator>Izabel Machado da Costa</dc:creator>
</cp:coreProperties>
</file>