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/>
        <w:drawing>
          <wp:inline distB="0" distT="0" distL="0" distR="0">
            <wp:extent cx="3723810" cy="5619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3810" cy="561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FUNARTE ABERTA 2025</w:t>
      </w:r>
    </w:p>
    <w:p w:rsidR="00000000" w:rsidDel="00000000" w:rsidP="00000000" w:rsidRDefault="00000000" w:rsidRPr="00000000" w14:paraId="00000003">
      <w:pPr>
        <w:tabs>
          <w:tab w:val="left" w:leader="none" w:pos="6804"/>
        </w:tabs>
        <w:spacing w:after="20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OCUPAÇÃO DOS ESPAÇOS CULTURAIS DA FUNARTE RJ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2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57" w:lineRule="auto"/>
        <w:ind w:left="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ROTEIRO PARA APRESENTAÇÃO 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7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7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1. O(A) proponente (Pessoa Física) poderá optar por apresentar o projeto de forma oral ou na Língua Brasileira de Sinais, em formato de vídeo, com o limite máximo de 15 (quinze) minutos de duração.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7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1.1. Os itens do Projeto Completo que podem ser apresentados de forma oral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7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• Resumo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left="27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as informações e objetivos gerais do projeto, descrevendo o que se pretende realizar, quais as atividades previstas e os resultados esperados.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Descrição detalhada da(s) atividade(s) e ação(ões)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ind w:left="18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cada ação que o projeto pretende envolver (por exemplo: se haverá e quais são as apresentações, oficinas, ensaios, entre outras); descreve as áreas e linguagens artísticas das 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Público-alvo predominante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ind w:left="18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o público-alvo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Propostas de ações afirmativas e/ou de acessibilidade</w:t>
      </w:r>
    </w:p>
    <w:p w:rsidR="00000000" w:rsidDel="00000000" w:rsidP="00000000" w:rsidRDefault="00000000" w:rsidRPr="00000000" w14:paraId="00000011">
      <w:pPr>
        <w:spacing w:after="120" w:line="276" w:lineRule="auto"/>
        <w:ind w:left="18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quais ações afirmativas e/ou acessibilidade o projeto prevê, se for o caso.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1.2. Formato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proponente deverá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2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7" w:lineRule="auto"/>
        <w:jc w:val="both"/>
        <w:rPr>
          <w:rFonts w:ascii="Calibri" w:cs="Calibri" w:eastAsia="Calibri" w:hAnsi="Calibri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2PJYWQznIMiZgaM9hxRWbc3OA==">CgMxLjA4AHIhMTNWRG9hOFdDR2FvOTR1a0ZmOHJmY3BHWnJkODJPcjJs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2024-09-03T22:24:00Z</dcterms:created>
  <dc:creator>Raquel Costa Chaves</dc:creator>
</cp:coreProperties>
</file>