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-1.9999999999999998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– ESPAÇOS ARTÍSTICOS</w:t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AVALIAÇÃO DOS PROJETOS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espacosartisticos@funarte.gov.br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, identificando no assunto “Recurso da Avaliação – PROGRAMA FUNARTE DE APOIO a AÇÕES CONTINUADAS 2023 – GRUPOS E COLETIVOS ARTÍSTICOS.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pacosartisticos@funarte.gov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T4U1V8FnY+c8UWYXfZpo07l8A==">CgMxLjA4AHIhMUFpWHpFTGdPM3hnUW8xWjVHLV9ESlZTa09JcjBtcjNL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