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TEATRO MYRIAM MUNIZ -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DE HABILITAÇÃO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recurso.myriammuniz@funarte.gov.br, identificando no assunto “Recurso da Habilitação – Edital Bolsa Funarte de Teatro Myriam Muniz”.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e9tkmgJoVQ67Rx2eqK6nylsvWw==">AMUW2mUMJL+0dobsTylp0E0nRWvknma+ZMwO1vJRph/esoyBRKI9MyUoMaBi9efi9vwPVKhhXAIqqArJXiUIXBEuhNIa9Kx0KjkHTJFq1zFTh/jztbH1uHM=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2023-11-07T13:24:00Z</dcterms:created>
  <dc:creator>FUNARTE_CIRCO</dc:creator>
</cp:coreProperties>
</file>