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99" w:rsidRDefault="009C0B99" w:rsidP="009C0B99">
      <w:pPr>
        <w:pStyle w:val="NormalWeb"/>
        <w:spacing w:line="270" w:lineRule="atLeast"/>
        <w:jc w:val="center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b/>
          <w:bCs/>
          <w:color w:val="333333"/>
          <w:sz w:val="21"/>
          <w:szCs w:val="21"/>
        </w:rPr>
        <w:t>NOTA TÉCNICA SOBRE A PEC Nº 215/2000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 A ASSOCIAÇÃO JUIZES PARA A DEMOCRACIA - AJD, entidade não governamental e sem fins corporativos, que tem por finalidade trabalhar pelo império dos valores próprios do Estado Democrático de Direito e pela defesa dos direitos das minorias, na perspectiva de emancipação social dos desfavorecidos,</w:t>
      </w:r>
      <w:proofErr w:type="gramStart"/>
      <w:r>
        <w:rPr>
          <w:rFonts w:ascii="Georgia" w:hAnsi="Georgia"/>
          <w:color w:val="333333"/>
          <w:sz w:val="21"/>
          <w:szCs w:val="21"/>
        </w:rPr>
        <w:t xml:space="preserve">  </w:t>
      </w:r>
      <w:proofErr w:type="gramEnd"/>
      <w:r>
        <w:rPr>
          <w:rFonts w:ascii="Georgia" w:hAnsi="Georgia"/>
          <w:color w:val="333333"/>
          <w:sz w:val="21"/>
          <w:szCs w:val="21"/>
        </w:rPr>
        <w:t>considerando as graves  consequências decorrentes dos termos da PEC 215/2000 em trâmite na Câmara dos Deputados, vem  apresentar a presente Nota Técnica, contrária à aprovação, em sua totalidade, sob os seguintes fundamentos:           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  <w:u w:val="single"/>
        </w:rPr>
        <w:t>Demarcar</w:t>
      </w:r>
      <w:r>
        <w:rPr>
          <w:rFonts w:ascii="Georgia" w:hAnsi="Georgia"/>
          <w:color w:val="333333"/>
          <w:sz w:val="21"/>
          <w:szCs w:val="21"/>
        </w:rPr>
        <w:t>,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  <w:u w:val="single"/>
        </w:rPr>
        <w:t>proteger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e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  <w:u w:val="single"/>
        </w:rPr>
        <w:t>fazer respeitar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os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  <w:u w:val="single"/>
        </w:rPr>
        <w:t>direitos originários dos índios sobre as terras que tradicionalmente ocupam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são deveres incondicionais do Poder Público, por determinação expressa da Constituição Federal, a teor do disposto em seu artigo 231, o qual reconhece expressamente os direitos à organização social, costumes, línguas, crenças e tradições dos índios e, por consequência, sua condição de pessoa humana.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 As terras tradicionalmente ocupadas pelos índios são, também por disposição constitucional, imprescindíveis à preservação dos recursos ambientais necessários ao bem-estar dos índios e à sua reprodução física e cultural, segundo seus usos, costumes e tradições.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 As terras tradicionalmente ocupadas pelos índios, sobre as quais têm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</w:rPr>
        <w:t>direitos</w:t>
      </w:r>
      <w:r>
        <w:rPr>
          <w:rStyle w:val="apple-converted-space"/>
          <w:rFonts w:ascii="Georgia" w:hAnsi="Georgi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  <w:u w:val="single"/>
        </w:rPr>
        <w:t>originários</w:t>
      </w:r>
      <w:r>
        <w:rPr>
          <w:rFonts w:ascii="Georgia" w:hAnsi="Georgia"/>
          <w:color w:val="333333"/>
          <w:sz w:val="21"/>
          <w:szCs w:val="21"/>
        </w:rPr>
        <w:t>,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color w:val="333333"/>
          <w:sz w:val="21"/>
          <w:szCs w:val="21"/>
          <w:u w:val="single"/>
        </w:rPr>
        <w:t>são bens da União</w:t>
      </w:r>
      <w:r>
        <w:rPr>
          <w:rFonts w:ascii="Georgia" w:hAnsi="Georgia"/>
          <w:color w:val="333333"/>
          <w:sz w:val="21"/>
          <w:szCs w:val="21"/>
        </w:rPr>
        <w:t>, a teor do artigo 20, XI da Constituição Federal,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color w:val="333333"/>
          <w:sz w:val="21"/>
          <w:szCs w:val="21"/>
          <w:u w:val="single"/>
        </w:rPr>
        <w:t>não bens dos estados da federação</w:t>
      </w:r>
      <w:r>
        <w:rPr>
          <w:rFonts w:ascii="Georgia" w:hAnsi="Georgia"/>
          <w:color w:val="333333"/>
          <w:sz w:val="21"/>
          <w:szCs w:val="21"/>
        </w:rPr>
        <w:t xml:space="preserve">, motivo pelo </w:t>
      </w:r>
      <w:proofErr w:type="spellStart"/>
      <w:r>
        <w:rPr>
          <w:rFonts w:ascii="Georgia" w:hAnsi="Georgia"/>
          <w:color w:val="333333"/>
          <w:sz w:val="21"/>
          <w:szCs w:val="21"/>
        </w:rPr>
        <w:t>qual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  <w:u w:val="single"/>
        </w:rPr>
        <w:t>falaciosa</w:t>
      </w:r>
      <w:proofErr w:type="spellEnd"/>
      <w:r>
        <w:rPr>
          <w:rFonts w:ascii="Georgia" w:hAnsi="Georgia"/>
          <w:b/>
          <w:bCs/>
          <w:i/>
          <w:iCs/>
          <w:color w:val="333333"/>
          <w:sz w:val="21"/>
          <w:szCs w:val="21"/>
          <w:u w:val="single"/>
        </w:rPr>
        <w:t xml:space="preserve"> a </w:t>
      </w:r>
      <w:proofErr w:type="spellStart"/>
      <w:r>
        <w:rPr>
          <w:rFonts w:ascii="Georgia" w:hAnsi="Georgia"/>
          <w:b/>
          <w:bCs/>
          <w:i/>
          <w:iCs/>
          <w:color w:val="333333"/>
          <w:sz w:val="21"/>
          <w:szCs w:val="21"/>
          <w:u w:val="single"/>
        </w:rPr>
        <w:t>justificação</w:t>
      </w:r>
      <w:r>
        <w:rPr>
          <w:rFonts w:ascii="Georgia" w:hAnsi="Georgia"/>
          <w:b/>
          <w:bCs/>
          <w:color w:val="333333"/>
          <w:sz w:val="21"/>
          <w:szCs w:val="21"/>
          <w:u w:val="single"/>
        </w:rPr>
        <w:t>à</w:t>
      </w:r>
      <w:proofErr w:type="spellEnd"/>
      <w:r>
        <w:rPr>
          <w:rFonts w:ascii="Georgia" w:hAnsi="Georgia"/>
          <w:b/>
          <w:bCs/>
          <w:color w:val="333333"/>
          <w:sz w:val="21"/>
          <w:szCs w:val="21"/>
          <w:u w:val="single"/>
        </w:rPr>
        <w:t xml:space="preserve"> PEC 215/2000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de que a demarcação de tais terras, sem nenhuma consulta ou consideração aos interesses e situações concretas dos estados-membros, importaria em verdadeira intervenção federal, sem autorização congressual.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 Tendo os índios, pois, direitos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  <w:u w:val="single"/>
        </w:rPr>
        <w:t>originários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 xml:space="preserve">sobre as terras que tradicionalmente ocupam, as quais integram o patrimônio da UNIÃO, por disposição constitucional - e não por decisão do Congresso Nacional -, a exigência de autorização ou ratificação da demarcação das terras indígenas pelo Congresso Nacional viola frontalmente o princípio da separação dos poderes, </w:t>
      </w:r>
      <w:proofErr w:type="gramStart"/>
      <w:r>
        <w:rPr>
          <w:rFonts w:ascii="Georgia" w:hAnsi="Georgia"/>
          <w:color w:val="333333"/>
          <w:sz w:val="21"/>
          <w:szCs w:val="21"/>
        </w:rPr>
        <w:t>insculpido</w:t>
      </w:r>
      <w:proofErr w:type="gramEnd"/>
      <w:r>
        <w:rPr>
          <w:rFonts w:ascii="Georgia" w:hAnsi="Georgia"/>
          <w:color w:val="333333"/>
          <w:sz w:val="21"/>
          <w:szCs w:val="21"/>
        </w:rPr>
        <w:t xml:space="preserve"> no artigo 2º da Constituição Federal, in </w:t>
      </w:r>
      <w:proofErr w:type="spellStart"/>
      <w:r>
        <w:rPr>
          <w:rFonts w:ascii="Georgia" w:hAnsi="Georgia"/>
          <w:color w:val="333333"/>
          <w:sz w:val="21"/>
          <w:szCs w:val="21"/>
        </w:rPr>
        <w:t>verbis</w:t>
      </w:r>
      <w:proofErr w:type="spellEnd"/>
      <w:r>
        <w:rPr>
          <w:rFonts w:ascii="Georgia" w:hAnsi="Georgia"/>
          <w:color w:val="333333"/>
          <w:sz w:val="21"/>
          <w:szCs w:val="21"/>
        </w:rPr>
        <w:t>: "</w:t>
      </w:r>
      <w:r>
        <w:rPr>
          <w:rFonts w:ascii="Georgia" w:hAnsi="Georgia"/>
          <w:i/>
          <w:iCs/>
          <w:color w:val="333333"/>
          <w:sz w:val="21"/>
          <w:szCs w:val="21"/>
        </w:rPr>
        <w:t>São Poderes da União, independentes e harmônicos entre si, o Legislativo, o Executivo e o Judiciário".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i/>
          <w:iCs/>
          <w:color w:val="333333"/>
          <w:sz w:val="21"/>
          <w:szCs w:val="21"/>
        </w:rPr>
        <w:t>           </w:t>
      </w:r>
      <w:r>
        <w:rPr>
          <w:rStyle w:val="apple-converted-space"/>
          <w:rFonts w:ascii="Georgia" w:hAnsi="Georgia"/>
          <w:i/>
          <w:iCs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 xml:space="preserve">Não fosse só isso, a demarcação de terras indígenas importa, </w:t>
      </w:r>
      <w:proofErr w:type="gramStart"/>
      <w:r>
        <w:rPr>
          <w:rFonts w:ascii="Georgia" w:hAnsi="Georgia"/>
          <w:color w:val="333333"/>
          <w:sz w:val="21"/>
          <w:szCs w:val="21"/>
        </w:rPr>
        <w:t>outrossim</w:t>
      </w:r>
      <w:proofErr w:type="gramEnd"/>
      <w:r>
        <w:rPr>
          <w:rFonts w:ascii="Georgia" w:hAnsi="Georgia"/>
          <w:color w:val="333333"/>
          <w:sz w:val="21"/>
          <w:szCs w:val="21"/>
        </w:rPr>
        <w:t xml:space="preserve">, </w:t>
      </w:r>
      <w:proofErr w:type="spellStart"/>
      <w:r>
        <w:rPr>
          <w:rFonts w:ascii="Georgia" w:hAnsi="Georgia"/>
          <w:color w:val="333333"/>
          <w:sz w:val="21"/>
          <w:szCs w:val="21"/>
        </w:rPr>
        <w:t>exclusivamene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no trabalho </w:t>
      </w:r>
      <w:proofErr w:type="spellStart"/>
      <w:r>
        <w:rPr>
          <w:rFonts w:ascii="Georgia" w:hAnsi="Georgia"/>
          <w:color w:val="333333"/>
          <w:sz w:val="21"/>
          <w:szCs w:val="21"/>
        </w:rPr>
        <w:t>de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  <w:u w:val="single"/>
        </w:rPr>
        <w:t>IDENTIFICAÇÃO</w:t>
      </w:r>
      <w:proofErr w:type="spellEnd"/>
      <w:r>
        <w:rPr>
          <w:rStyle w:val="apple-converted-space"/>
          <w:rFonts w:ascii="Georgia" w:hAnsi="Georgi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</w:rPr>
        <w:t>e</w:t>
      </w:r>
      <w:r>
        <w:rPr>
          <w:rStyle w:val="apple-converted-space"/>
          <w:rFonts w:ascii="Georgia" w:hAnsi="Georgia"/>
          <w:b/>
          <w:bCs/>
          <w:i/>
          <w:iCs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  <w:u w:val="single"/>
        </w:rPr>
        <w:t>LIMITAÇÃO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 xml:space="preserve">das terras tradicionalmente ocupadas, incumbência essa de ordem eminentemente técnica, a qual demanda imprescindivelmente a realização de profundos estudos antropológicos, bem como estudos complementares de natureza </w:t>
      </w:r>
      <w:proofErr w:type="spellStart"/>
      <w:r>
        <w:rPr>
          <w:rFonts w:ascii="Georgia" w:hAnsi="Georgia"/>
          <w:color w:val="333333"/>
          <w:sz w:val="21"/>
          <w:szCs w:val="21"/>
        </w:rPr>
        <w:t>etno</w:t>
      </w:r>
      <w:proofErr w:type="spellEnd"/>
      <w:r>
        <w:rPr>
          <w:rFonts w:ascii="Georgia" w:hAnsi="Georgia"/>
          <w:color w:val="333333"/>
          <w:sz w:val="21"/>
          <w:szCs w:val="21"/>
        </w:rPr>
        <w:t>-histórica, sociológica, jurídica, cartográfica, ambiental e o levantamento fundiário necessários à delimitação, atribuições técnico-administrativas imanentes às funções constitucionais do Poder Executivo.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            Premissa fundamental à </w:t>
      </w:r>
      <w:proofErr w:type="spellStart"/>
      <w:r>
        <w:rPr>
          <w:rFonts w:ascii="Georgia" w:hAnsi="Georgia"/>
          <w:color w:val="333333"/>
          <w:sz w:val="21"/>
          <w:szCs w:val="21"/>
        </w:rPr>
        <w:t>inafastável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conclusão de inconstitucionalidade da PEC 215/2000, é que terras indígenas não são "criadas" através da demarcação, elas são apenas "identificadas e delimitadas", mediante processo de cunho eminentemente administrativo,</w:t>
      </w:r>
      <w:proofErr w:type="gramStart"/>
      <w:r>
        <w:rPr>
          <w:rFonts w:ascii="Georgia" w:hAnsi="Georgia"/>
          <w:color w:val="333333"/>
          <w:sz w:val="21"/>
          <w:szCs w:val="21"/>
        </w:rPr>
        <w:t xml:space="preserve">  </w:t>
      </w:r>
      <w:proofErr w:type="gramEnd"/>
      <w:r>
        <w:rPr>
          <w:rFonts w:ascii="Georgia" w:hAnsi="Georgia"/>
          <w:color w:val="333333"/>
          <w:sz w:val="21"/>
          <w:szCs w:val="21"/>
        </w:rPr>
        <w:t>para que aqueles direitos, que são originários, bem como prévia e constitucionalmente reconhecidos, sejam assegurados.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lastRenderedPageBreak/>
        <w:t>            É de se ressalvar, ainda, que não se subtrai dos estados-membros da federação, nem dos Municípios, nem de qualquer outro interessado, a participação nos procedimentos administrativos de demarcação de terras indígenas, a teor do art. 2º, §8º do Decreto Federal nº 1775/96.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            Em contrapartida, condicionar o exercício de atribuição imanente ao Poder Executivo à convalidação do Congresso Nacional configura verdadeira usurpação de poder, em violação frontal à separação dos </w:t>
      </w:r>
      <w:proofErr w:type="spellStart"/>
      <w:proofErr w:type="gramStart"/>
      <w:r>
        <w:rPr>
          <w:rFonts w:ascii="Georgia" w:hAnsi="Georgia"/>
          <w:color w:val="333333"/>
          <w:sz w:val="21"/>
          <w:szCs w:val="21"/>
        </w:rPr>
        <w:t>Poderes,</w:t>
      </w:r>
      <w:proofErr w:type="gramEnd"/>
      <w:r>
        <w:rPr>
          <w:rFonts w:ascii="Georgia" w:hAnsi="Georgia"/>
          <w:b/>
          <w:bCs/>
          <w:color w:val="333333"/>
          <w:sz w:val="21"/>
          <w:szCs w:val="21"/>
        </w:rPr>
        <w:t>cláusula</w:t>
      </w:r>
      <w:proofErr w:type="spellEnd"/>
      <w:r>
        <w:rPr>
          <w:rFonts w:ascii="Georgia" w:hAnsi="Georgia"/>
          <w:b/>
          <w:bCs/>
          <w:color w:val="333333"/>
          <w:sz w:val="21"/>
          <w:szCs w:val="21"/>
        </w:rPr>
        <w:t xml:space="preserve"> pétrea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a teor do artigo 60, §4º, inc. III da Constituição Federal de 1988.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            A PEC 215/2000, se aprovada, importaria em retrocessos gravíssimos, </w:t>
      </w:r>
      <w:proofErr w:type="spellStart"/>
      <w:r>
        <w:rPr>
          <w:rFonts w:ascii="Georgia" w:hAnsi="Georgia"/>
          <w:color w:val="333333"/>
          <w:sz w:val="21"/>
          <w:szCs w:val="21"/>
        </w:rPr>
        <w:t>vulnerabilizando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direitos fundamentais do índio, enquanto ser humano, cuja dignidade deve ser preservada, respeitada sua cosmologia, não se olvidando que os </w:t>
      </w:r>
      <w:proofErr w:type="spellStart"/>
      <w:r>
        <w:rPr>
          <w:rFonts w:ascii="Georgia" w:hAnsi="Georgia"/>
          <w:color w:val="333333"/>
          <w:sz w:val="21"/>
          <w:szCs w:val="21"/>
        </w:rPr>
        <w:t>dirietos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fundamentais também ostentam blindagem constitucional, por serem alçados ao patamar de cláusulas pétreas, a teor do artigo 60, §4º, inc. IV da CF/88.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 A PEC 215/2000, se aprovada, importaria, ainda, em violação a documentos internacionais vigentes sobre a proteção dos índios e suas terras, quais sejam: a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</w:rPr>
        <w:t>Convenção nº 169 sobre Povos Indígenas e Tribais em Países Independentes da Organização Internacional do Trabalho (OIT, 1989)</w:t>
      </w:r>
      <w:r>
        <w:rPr>
          <w:rFonts w:ascii="Georgia" w:hAnsi="Georgia"/>
          <w:color w:val="333333"/>
          <w:sz w:val="21"/>
          <w:szCs w:val="21"/>
        </w:rPr>
        <w:t>, ratificada pelo Brasil por meio do Decreto nº 143 de 25 de julho de 2002; a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</w:rPr>
        <w:t>Declaração das Organizações Unidas sobre os Direitos dos Povos Indígenas (ONU, 2007);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e, a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b/>
          <w:bCs/>
          <w:i/>
          <w:iCs/>
          <w:color w:val="333333"/>
          <w:sz w:val="21"/>
          <w:szCs w:val="21"/>
        </w:rPr>
        <w:t>Convenção sobre a Proteção e Promoção da Diversidade das Expressões Culturais</w:t>
      </w:r>
      <w:r>
        <w:rPr>
          <w:rStyle w:val="apple-converted-space"/>
          <w:rFonts w:ascii="Georgia" w:hAnsi="Georgia"/>
          <w:color w:val="333333"/>
          <w:sz w:val="21"/>
          <w:szCs w:val="21"/>
        </w:rPr>
        <w:t> </w:t>
      </w:r>
      <w:r>
        <w:rPr>
          <w:rFonts w:ascii="Georgia" w:hAnsi="Georgia"/>
          <w:color w:val="333333"/>
          <w:sz w:val="21"/>
          <w:szCs w:val="21"/>
        </w:rPr>
        <w:t>da UNESCO, ratificada pelo Decreto nº 485, de 19 de dezembro de 2006.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       O direito ao não retrocesso esta assegurado na normativa internacional,</w:t>
      </w:r>
      <w:proofErr w:type="gramStart"/>
      <w:r>
        <w:rPr>
          <w:rFonts w:ascii="Georgia" w:hAnsi="Georgia"/>
          <w:color w:val="333333"/>
          <w:sz w:val="21"/>
          <w:szCs w:val="21"/>
        </w:rPr>
        <w:t xml:space="preserve">  </w:t>
      </w:r>
      <w:proofErr w:type="gramEnd"/>
      <w:r>
        <w:rPr>
          <w:rFonts w:ascii="Georgia" w:hAnsi="Georgia"/>
          <w:color w:val="333333"/>
          <w:sz w:val="21"/>
          <w:szCs w:val="21"/>
        </w:rPr>
        <w:t>o descumprimento das normas vigentes gera violência e, induvidosamente, a PEC só teria o condão de gerar mais violência e conflitos.</w:t>
      </w:r>
      <w:r>
        <w:rPr>
          <w:rFonts w:ascii="Georgia" w:hAnsi="Georgia"/>
          <w:b/>
          <w:bCs/>
          <w:color w:val="333333"/>
          <w:sz w:val="21"/>
          <w:szCs w:val="21"/>
        </w:rPr>
        <w:t>    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b/>
          <w:bCs/>
          <w:color w:val="333333"/>
          <w:sz w:val="21"/>
          <w:szCs w:val="21"/>
        </w:rPr>
        <w:t>      José Henrique Rodrigues Torres</w:t>
      </w:r>
    </w:p>
    <w:p w:rsidR="009C0B99" w:rsidRDefault="009C0B99" w:rsidP="009C0B99">
      <w:pPr>
        <w:pStyle w:val="NormalWeb"/>
        <w:spacing w:line="270" w:lineRule="atLeast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       Presidente do Conselho Executivo da Associação Juízes para Democracia</w:t>
      </w:r>
    </w:p>
    <w:p w:rsidR="009B42CB" w:rsidRDefault="009C0B99">
      <w:bookmarkStart w:id="0" w:name="_GoBack"/>
      <w:bookmarkEnd w:id="0"/>
    </w:p>
    <w:sectPr w:rsidR="009B4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99"/>
    <w:rsid w:val="001513D7"/>
    <w:rsid w:val="009C0B99"/>
    <w:rsid w:val="00D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C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C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Vieira Peixoto Cruz</dc:creator>
  <cp:lastModifiedBy>Gustavo Vieira Peixoto Cruz</cp:lastModifiedBy>
  <cp:revision>1</cp:revision>
  <dcterms:created xsi:type="dcterms:W3CDTF">2013-09-12T21:20:00Z</dcterms:created>
  <dcterms:modified xsi:type="dcterms:W3CDTF">2013-09-12T21:20:00Z</dcterms:modified>
</cp:coreProperties>
</file>