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5A3" w:rsidRPr="00CB65A3" w:rsidRDefault="00CB65A3" w:rsidP="00CB65A3">
      <w:pPr>
        <w:pStyle w:val="Ttulo"/>
        <w:rPr>
          <w:rFonts w:ascii="Calibri" w:hAnsi="Calibri" w:cs="Calibri"/>
        </w:rPr>
      </w:pPr>
      <w:r w:rsidRPr="00CB65A3">
        <w:rPr>
          <w:rFonts w:ascii="Calibri" w:hAnsi="Calibri" w:cs="Calibri"/>
        </w:rPr>
        <w:t>Anexo IV</w:t>
      </w:r>
    </w:p>
    <w:p w:rsidR="00CB65A3" w:rsidRPr="00CB65A3" w:rsidRDefault="00CB65A3" w:rsidP="00CB65A3">
      <w:pPr>
        <w:pStyle w:val="Ttulo"/>
        <w:rPr>
          <w:rFonts w:ascii="Calibri" w:hAnsi="Calibri" w:cs="Calibri"/>
        </w:rPr>
      </w:pPr>
      <w:r w:rsidRPr="00CB65A3">
        <w:rPr>
          <w:rFonts w:ascii="Calibri" w:hAnsi="Calibri" w:cs="Calibri"/>
        </w:rPr>
        <w:t>Metas Fiscais</w:t>
      </w:r>
    </w:p>
    <w:p w:rsidR="00CB65A3" w:rsidRPr="00CB65A3" w:rsidRDefault="00CB65A3" w:rsidP="00CB65A3">
      <w:pPr>
        <w:pStyle w:val="Ttulo"/>
        <w:rPr>
          <w:rFonts w:ascii="Calibri" w:hAnsi="Calibri" w:cs="Calibri"/>
          <w:sz w:val="24"/>
          <w:szCs w:val="23"/>
        </w:rPr>
      </w:pPr>
      <w:r w:rsidRPr="00CB65A3">
        <w:rPr>
          <w:rFonts w:ascii="Calibri" w:hAnsi="Calibri" w:cs="Calibri"/>
        </w:rPr>
        <w:t xml:space="preserve">IV.6 – </w:t>
      </w:r>
      <w:r w:rsidRPr="00CB65A3">
        <w:rPr>
          <w:rFonts w:ascii="Calibri" w:hAnsi="Calibri" w:cs="Calibri"/>
          <w:bCs/>
          <w:snapToGrid/>
        </w:rPr>
        <w:t>Projeções Atuariais para o Regime Geral de Previdência Social – RGPS</w:t>
      </w:r>
    </w:p>
    <w:p w:rsidR="00CB65A3" w:rsidRPr="00CB65A3" w:rsidRDefault="00CB65A3" w:rsidP="00CB65A3">
      <w:pPr>
        <w:pStyle w:val="Ttulo"/>
        <w:rPr>
          <w:rFonts w:ascii="Calibri" w:hAnsi="Calibri" w:cs="Calibri"/>
          <w:b w:val="0"/>
          <w:sz w:val="24"/>
          <w:szCs w:val="23"/>
        </w:rPr>
      </w:pPr>
      <w:r w:rsidRPr="00CB65A3">
        <w:rPr>
          <w:rFonts w:ascii="Calibri" w:hAnsi="Calibri" w:cs="Calibri"/>
          <w:b w:val="0"/>
          <w:sz w:val="24"/>
          <w:szCs w:val="23"/>
        </w:rPr>
        <w:t>(Art. 4</w:t>
      </w:r>
      <w:r w:rsidRPr="00CB65A3">
        <w:rPr>
          <w:rFonts w:ascii="Calibri" w:hAnsi="Calibri" w:cs="Calibri"/>
          <w:b w:val="0"/>
          <w:sz w:val="24"/>
          <w:szCs w:val="16"/>
          <w:u w:val="single"/>
          <w:vertAlign w:val="superscript"/>
        </w:rPr>
        <w:t>o</w:t>
      </w:r>
      <w:r w:rsidRPr="00CB65A3">
        <w:rPr>
          <w:rFonts w:ascii="Calibri" w:hAnsi="Calibri" w:cs="Calibri"/>
          <w:b w:val="0"/>
          <w:sz w:val="24"/>
          <w:szCs w:val="23"/>
        </w:rPr>
        <w:t xml:space="preserve">, </w:t>
      </w:r>
      <w:r w:rsidRPr="00CB65A3">
        <w:rPr>
          <w:rFonts w:ascii="Calibri" w:eastAsia="Arial Unicode MS" w:hAnsi="Calibri" w:cs="Calibri"/>
          <w:b w:val="0"/>
          <w:sz w:val="24"/>
          <w:szCs w:val="23"/>
        </w:rPr>
        <w:t xml:space="preserve">§ </w:t>
      </w:r>
      <w:r w:rsidRPr="00CB65A3">
        <w:rPr>
          <w:rFonts w:ascii="Calibri" w:hAnsi="Calibri" w:cs="Calibri"/>
          <w:b w:val="0"/>
          <w:sz w:val="24"/>
          <w:szCs w:val="23"/>
        </w:rPr>
        <w:t>2</w:t>
      </w:r>
      <w:r w:rsidRPr="00CB65A3">
        <w:rPr>
          <w:rFonts w:ascii="Calibri" w:hAnsi="Calibri" w:cs="Calibri"/>
          <w:b w:val="0"/>
          <w:sz w:val="24"/>
          <w:szCs w:val="16"/>
          <w:u w:val="single"/>
          <w:vertAlign w:val="superscript"/>
        </w:rPr>
        <w:t>o</w:t>
      </w:r>
      <w:r w:rsidRPr="00CB65A3">
        <w:rPr>
          <w:rFonts w:ascii="Calibri" w:hAnsi="Calibri" w:cs="Calibri"/>
          <w:b w:val="0"/>
          <w:sz w:val="24"/>
          <w:szCs w:val="16"/>
        </w:rPr>
        <w:t xml:space="preserve">, </w:t>
      </w:r>
      <w:r w:rsidRPr="00CB65A3">
        <w:rPr>
          <w:rFonts w:ascii="Calibri" w:hAnsi="Calibri" w:cs="Calibri"/>
          <w:b w:val="0"/>
          <w:sz w:val="24"/>
          <w:szCs w:val="23"/>
        </w:rPr>
        <w:t>inciso III, da Lei Complementar n</w:t>
      </w:r>
      <w:r w:rsidRPr="00CB65A3">
        <w:rPr>
          <w:rFonts w:ascii="Calibri" w:hAnsi="Calibri" w:cs="Calibri"/>
          <w:b w:val="0"/>
          <w:sz w:val="24"/>
          <w:szCs w:val="16"/>
          <w:u w:val="single"/>
          <w:vertAlign w:val="superscript"/>
        </w:rPr>
        <w:t>o</w:t>
      </w:r>
      <w:r w:rsidRPr="00CB65A3">
        <w:rPr>
          <w:rFonts w:ascii="Calibri" w:hAnsi="Calibri" w:cs="Calibri"/>
          <w:b w:val="0"/>
          <w:sz w:val="24"/>
          <w:szCs w:val="16"/>
        </w:rPr>
        <w:t xml:space="preserve"> </w:t>
      </w:r>
      <w:r w:rsidRPr="00CB65A3">
        <w:rPr>
          <w:rFonts w:ascii="Calibri" w:hAnsi="Calibri" w:cs="Calibri"/>
          <w:b w:val="0"/>
          <w:sz w:val="24"/>
          <w:szCs w:val="23"/>
        </w:rPr>
        <w:t>101, de 4 de maio de 2000)</w:t>
      </w:r>
    </w:p>
    <w:p w:rsidR="00CB65A3" w:rsidRPr="00CB65A3" w:rsidRDefault="00CB65A3" w:rsidP="00CB65A3">
      <w:pPr>
        <w:pStyle w:val="Ttulo2"/>
        <w:pBdr>
          <w:top w:val="single" w:sz="4" w:space="1" w:color="auto"/>
        </w:pBdr>
        <w:jc w:val="center"/>
        <w:rPr>
          <w:rFonts w:ascii="Calibri" w:hAnsi="Calibri" w:cs="Calibri"/>
          <w:b w:val="0"/>
        </w:rPr>
      </w:pPr>
    </w:p>
    <w:p w:rsidR="00403817" w:rsidRPr="005B09F6" w:rsidRDefault="00403817" w:rsidP="0079121C">
      <w:pPr>
        <w:pStyle w:val="Ttulo2"/>
        <w:rPr>
          <w:rFonts w:ascii="Calibri" w:hAnsi="Calibri"/>
          <w:sz w:val="24"/>
          <w:szCs w:val="24"/>
        </w:rPr>
      </w:pPr>
    </w:p>
    <w:p w:rsidR="00D15731" w:rsidRPr="005B09F6" w:rsidRDefault="00386695" w:rsidP="00386695">
      <w:pPr>
        <w:tabs>
          <w:tab w:val="left" w:pos="142"/>
        </w:tabs>
        <w:spacing w:after="240" w:line="360" w:lineRule="auto"/>
        <w:jc w:val="center"/>
        <w:rPr>
          <w:rFonts w:ascii="Calibri" w:hAnsi="Calibri" w:cs="Arial"/>
          <w:b/>
          <w:sz w:val="24"/>
          <w:szCs w:val="24"/>
          <w:lang w:eastAsia="pt-BR"/>
        </w:rPr>
      </w:pPr>
      <w:r w:rsidRPr="005B09F6">
        <w:rPr>
          <w:rFonts w:ascii="Calibri" w:hAnsi="Calibri" w:cs="Arial"/>
          <w:b/>
          <w:noProof/>
          <w:sz w:val="24"/>
          <w:szCs w:val="24"/>
          <w:lang w:eastAsia="pt-BR"/>
        </w:rPr>
        <w:drawing>
          <wp:inline distT="0" distB="0" distL="0" distR="0" wp14:anchorId="22610AD3" wp14:editId="7FE8F985">
            <wp:extent cx="1000805" cy="1094999"/>
            <wp:effectExtent l="0" t="0" r="8890" b="0"/>
            <wp:docPr id="2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11"/>
                    <pic:cNvPicPr>
                      <a:picLocks noChangeAspect="1"/>
                    </pic:cNvPicPr>
                  </pic:nvPicPr>
                  <pic:blipFill>
                    <a:blip r:embed="rId8"/>
                    <a:stretch>
                      <a:fillRect/>
                    </a:stretch>
                  </pic:blipFill>
                  <pic:spPr>
                    <a:xfrm>
                      <a:off x="0" y="0"/>
                      <a:ext cx="1000805" cy="1094999"/>
                    </a:xfrm>
                    <a:prstGeom prst="rect">
                      <a:avLst/>
                    </a:prstGeom>
                  </pic:spPr>
                </pic:pic>
              </a:graphicData>
            </a:graphic>
          </wp:inline>
        </w:drawing>
      </w:r>
    </w:p>
    <w:p w:rsidR="00D15731" w:rsidRPr="005B09F6" w:rsidRDefault="00D15731" w:rsidP="00E341F3">
      <w:pPr>
        <w:tabs>
          <w:tab w:val="left" w:pos="142"/>
        </w:tabs>
        <w:spacing w:after="240" w:line="360" w:lineRule="auto"/>
        <w:rPr>
          <w:rFonts w:ascii="Calibri" w:hAnsi="Calibri" w:cs="Arial"/>
          <w:b/>
          <w:sz w:val="24"/>
          <w:szCs w:val="24"/>
          <w:lang w:eastAsia="pt-BR"/>
        </w:rPr>
      </w:pPr>
    </w:p>
    <w:p w:rsidR="00D15731" w:rsidRPr="005B09F6" w:rsidRDefault="00D15731" w:rsidP="00E341F3">
      <w:pPr>
        <w:tabs>
          <w:tab w:val="left" w:pos="142"/>
        </w:tabs>
        <w:spacing w:after="240" w:line="360" w:lineRule="auto"/>
        <w:rPr>
          <w:rFonts w:ascii="Calibri" w:hAnsi="Calibri" w:cs="Arial"/>
          <w:b/>
          <w:sz w:val="24"/>
          <w:szCs w:val="24"/>
          <w:lang w:eastAsia="pt-BR"/>
        </w:rPr>
      </w:pPr>
    </w:p>
    <w:p w:rsidR="00D15731" w:rsidRPr="005B09F6" w:rsidRDefault="00D15731" w:rsidP="00E341F3">
      <w:pPr>
        <w:pStyle w:val="Corpodetexto"/>
        <w:tabs>
          <w:tab w:val="left" w:pos="142"/>
        </w:tabs>
        <w:spacing w:after="240" w:line="360" w:lineRule="auto"/>
        <w:jc w:val="center"/>
        <w:rPr>
          <w:rFonts w:ascii="Calibri" w:hAnsi="Calibri" w:cs="Arial"/>
          <w:b/>
          <w:szCs w:val="24"/>
          <w:lang w:eastAsia="pt-BR"/>
        </w:rPr>
      </w:pPr>
      <w:r w:rsidRPr="005B09F6">
        <w:rPr>
          <w:rFonts w:ascii="Calibri" w:hAnsi="Calibri" w:cs="Arial"/>
          <w:b/>
          <w:szCs w:val="24"/>
          <w:lang w:eastAsia="pt-BR"/>
        </w:rPr>
        <w:t xml:space="preserve">PROJEÇÕES </w:t>
      </w:r>
      <w:r w:rsidR="00343811" w:rsidRPr="005B09F6">
        <w:rPr>
          <w:rFonts w:ascii="Calibri" w:hAnsi="Calibri" w:cs="Arial"/>
          <w:b/>
          <w:szCs w:val="24"/>
          <w:lang w:eastAsia="pt-BR"/>
        </w:rPr>
        <w:t xml:space="preserve">FINANCEIRAS E </w:t>
      </w:r>
      <w:r w:rsidRPr="005B09F6">
        <w:rPr>
          <w:rFonts w:ascii="Calibri" w:hAnsi="Calibri" w:cs="Arial"/>
          <w:b/>
          <w:szCs w:val="24"/>
          <w:lang w:eastAsia="pt-BR"/>
        </w:rPr>
        <w:t>ATUARIAIS PARA O REGIME GERAL DE PREVIDÊNCIA SOCIAL - RGPS</w:t>
      </w:r>
    </w:p>
    <w:p w:rsidR="00D15731" w:rsidRPr="005B09F6" w:rsidRDefault="00D15731" w:rsidP="00E341F3">
      <w:pPr>
        <w:tabs>
          <w:tab w:val="left" w:pos="142"/>
        </w:tabs>
        <w:spacing w:after="240" w:line="360" w:lineRule="auto"/>
        <w:rPr>
          <w:rFonts w:ascii="Calibri" w:hAnsi="Calibri" w:cs="Arial"/>
          <w:b/>
          <w:sz w:val="24"/>
          <w:szCs w:val="24"/>
          <w:lang w:eastAsia="pt-BR"/>
        </w:rPr>
      </w:pPr>
    </w:p>
    <w:p w:rsidR="00D15731" w:rsidRPr="005B09F6" w:rsidRDefault="00D15731" w:rsidP="00E341F3">
      <w:pPr>
        <w:tabs>
          <w:tab w:val="left" w:pos="142"/>
        </w:tabs>
        <w:spacing w:after="240" w:line="360" w:lineRule="auto"/>
        <w:rPr>
          <w:rFonts w:ascii="Calibri" w:hAnsi="Calibri" w:cs="Arial"/>
          <w:b/>
          <w:sz w:val="24"/>
          <w:szCs w:val="24"/>
          <w:lang w:eastAsia="pt-BR"/>
        </w:rPr>
      </w:pPr>
    </w:p>
    <w:p w:rsidR="00107FC3" w:rsidRPr="005B09F6" w:rsidRDefault="00107FC3" w:rsidP="00E341F3">
      <w:pPr>
        <w:tabs>
          <w:tab w:val="left" w:pos="142"/>
        </w:tabs>
        <w:spacing w:after="240" w:line="360" w:lineRule="auto"/>
        <w:rPr>
          <w:rFonts w:ascii="Calibri" w:hAnsi="Calibri" w:cs="Arial"/>
          <w:b/>
          <w:sz w:val="24"/>
          <w:szCs w:val="24"/>
          <w:lang w:eastAsia="pt-BR"/>
        </w:rPr>
      </w:pPr>
    </w:p>
    <w:p w:rsidR="00D15731" w:rsidRPr="005B09F6" w:rsidRDefault="00386695" w:rsidP="00E341F3">
      <w:pPr>
        <w:tabs>
          <w:tab w:val="left" w:pos="142"/>
        </w:tabs>
        <w:spacing w:line="360" w:lineRule="auto"/>
        <w:jc w:val="center"/>
        <w:rPr>
          <w:rFonts w:ascii="Calibri" w:hAnsi="Calibri" w:cs="Arial"/>
          <w:b/>
          <w:sz w:val="24"/>
          <w:szCs w:val="24"/>
          <w:lang w:eastAsia="pt-BR"/>
        </w:rPr>
      </w:pPr>
      <w:r w:rsidRPr="005B09F6">
        <w:rPr>
          <w:rFonts w:ascii="Calibri" w:hAnsi="Calibri" w:cs="Arial"/>
          <w:b/>
          <w:sz w:val="24"/>
          <w:szCs w:val="24"/>
          <w:lang w:eastAsia="pt-BR"/>
        </w:rPr>
        <w:t xml:space="preserve">SECRETARIA DE </w:t>
      </w:r>
      <w:r w:rsidR="00D15731" w:rsidRPr="005B09F6">
        <w:rPr>
          <w:rFonts w:ascii="Calibri" w:hAnsi="Calibri" w:cs="Arial"/>
          <w:b/>
          <w:sz w:val="24"/>
          <w:szCs w:val="24"/>
          <w:lang w:eastAsia="pt-BR"/>
        </w:rPr>
        <w:t xml:space="preserve">PREVIDÊNCIA </w:t>
      </w:r>
      <w:r w:rsidRPr="005B09F6">
        <w:rPr>
          <w:rFonts w:ascii="Calibri" w:hAnsi="Calibri" w:cs="Arial"/>
          <w:b/>
          <w:sz w:val="24"/>
          <w:szCs w:val="24"/>
          <w:lang w:eastAsia="pt-BR"/>
        </w:rPr>
        <w:t>―</w:t>
      </w:r>
      <w:r w:rsidR="00D15731" w:rsidRPr="005B09F6">
        <w:rPr>
          <w:rFonts w:ascii="Calibri" w:hAnsi="Calibri" w:cs="Arial"/>
          <w:b/>
          <w:sz w:val="24"/>
          <w:szCs w:val="24"/>
          <w:lang w:eastAsia="pt-BR"/>
        </w:rPr>
        <w:t xml:space="preserve"> </w:t>
      </w:r>
      <w:r w:rsidRPr="005B09F6">
        <w:rPr>
          <w:rFonts w:ascii="Calibri" w:hAnsi="Calibri" w:cs="Arial"/>
          <w:b/>
          <w:sz w:val="24"/>
          <w:szCs w:val="24"/>
          <w:lang w:eastAsia="pt-BR"/>
        </w:rPr>
        <w:t>SPREV</w:t>
      </w:r>
    </w:p>
    <w:p w:rsidR="00D15731" w:rsidRPr="005B09F6" w:rsidRDefault="00386695" w:rsidP="00E341F3">
      <w:pPr>
        <w:tabs>
          <w:tab w:val="left" w:pos="142"/>
        </w:tabs>
        <w:spacing w:line="360" w:lineRule="auto"/>
        <w:jc w:val="center"/>
        <w:rPr>
          <w:rFonts w:ascii="Calibri" w:hAnsi="Calibri" w:cs="Arial"/>
          <w:b/>
          <w:sz w:val="24"/>
          <w:szCs w:val="24"/>
          <w:lang w:eastAsia="pt-BR"/>
        </w:rPr>
      </w:pPr>
      <w:r w:rsidRPr="005B09F6">
        <w:rPr>
          <w:rFonts w:ascii="Calibri" w:hAnsi="Calibri" w:cs="Arial"/>
          <w:b/>
          <w:sz w:val="24"/>
          <w:szCs w:val="24"/>
          <w:lang w:eastAsia="pt-BR"/>
        </w:rPr>
        <w:t>MINISTÉRIO DA FAZENDA ―</w:t>
      </w:r>
      <w:r w:rsidR="00D15731" w:rsidRPr="005B09F6">
        <w:rPr>
          <w:rFonts w:ascii="Calibri" w:hAnsi="Calibri" w:cs="Arial"/>
          <w:b/>
          <w:sz w:val="24"/>
          <w:szCs w:val="24"/>
          <w:lang w:eastAsia="pt-BR"/>
        </w:rPr>
        <w:t xml:space="preserve"> </w:t>
      </w:r>
      <w:r w:rsidRPr="005B09F6">
        <w:rPr>
          <w:rFonts w:ascii="Calibri" w:hAnsi="Calibri" w:cs="Arial"/>
          <w:b/>
          <w:sz w:val="24"/>
          <w:szCs w:val="24"/>
          <w:lang w:eastAsia="pt-BR"/>
        </w:rPr>
        <w:t>MF</w:t>
      </w:r>
    </w:p>
    <w:p w:rsidR="00D15731" w:rsidRPr="005B09F6" w:rsidRDefault="00D15731" w:rsidP="00E341F3">
      <w:pPr>
        <w:tabs>
          <w:tab w:val="left" w:pos="142"/>
        </w:tabs>
        <w:spacing w:line="360" w:lineRule="auto"/>
        <w:jc w:val="center"/>
        <w:rPr>
          <w:rFonts w:ascii="Calibri" w:hAnsi="Calibri" w:cs="Arial"/>
          <w:b/>
          <w:sz w:val="24"/>
          <w:szCs w:val="24"/>
          <w:lang w:eastAsia="pt-BR"/>
        </w:rPr>
      </w:pPr>
    </w:p>
    <w:p w:rsidR="00D15731" w:rsidRPr="005B09F6" w:rsidRDefault="00D15731" w:rsidP="00E341F3">
      <w:pPr>
        <w:tabs>
          <w:tab w:val="left" w:pos="142"/>
        </w:tabs>
        <w:spacing w:line="360" w:lineRule="auto"/>
        <w:jc w:val="center"/>
        <w:rPr>
          <w:rFonts w:ascii="Calibri" w:hAnsi="Calibri" w:cs="Arial"/>
          <w:b/>
          <w:sz w:val="24"/>
          <w:szCs w:val="24"/>
          <w:lang w:eastAsia="pt-BR"/>
        </w:rPr>
      </w:pPr>
      <w:r w:rsidRPr="005B09F6">
        <w:rPr>
          <w:rFonts w:ascii="Calibri" w:hAnsi="Calibri" w:cs="Arial"/>
          <w:b/>
          <w:sz w:val="24"/>
          <w:szCs w:val="24"/>
          <w:lang w:eastAsia="pt-BR"/>
        </w:rPr>
        <w:t xml:space="preserve">Brasília, </w:t>
      </w:r>
      <w:r w:rsidR="00217A9B" w:rsidRPr="005B09F6">
        <w:rPr>
          <w:rFonts w:ascii="Calibri" w:hAnsi="Calibri" w:cs="Arial"/>
          <w:b/>
          <w:sz w:val="24"/>
          <w:szCs w:val="24"/>
          <w:lang w:eastAsia="pt-BR"/>
        </w:rPr>
        <w:t>março</w:t>
      </w:r>
      <w:r w:rsidRPr="005B09F6">
        <w:rPr>
          <w:rFonts w:ascii="Calibri" w:hAnsi="Calibri" w:cs="Arial"/>
          <w:b/>
          <w:sz w:val="24"/>
          <w:szCs w:val="24"/>
          <w:lang w:eastAsia="pt-BR"/>
        </w:rPr>
        <w:t xml:space="preserve"> de </w:t>
      </w:r>
      <w:r w:rsidR="00E906AD" w:rsidRPr="005B09F6">
        <w:rPr>
          <w:rFonts w:ascii="Calibri" w:hAnsi="Calibri" w:cs="Arial"/>
          <w:b/>
          <w:sz w:val="24"/>
          <w:szCs w:val="24"/>
          <w:lang w:eastAsia="pt-BR"/>
        </w:rPr>
        <w:t>201</w:t>
      </w:r>
      <w:r w:rsidR="00217A9B" w:rsidRPr="005B09F6">
        <w:rPr>
          <w:rFonts w:ascii="Calibri" w:hAnsi="Calibri" w:cs="Arial"/>
          <w:b/>
          <w:sz w:val="24"/>
          <w:szCs w:val="24"/>
          <w:lang w:eastAsia="pt-BR"/>
        </w:rPr>
        <w:t>8</w:t>
      </w:r>
    </w:p>
    <w:p w:rsidR="00CB65A3" w:rsidRDefault="00CB65A3">
      <w:pPr>
        <w:rPr>
          <w:rFonts w:ascii="Calibri" w:hAnsi="Calibri" w:cs="Arial"/>
          <w:b/>
          <w:bCs/>
          <w:sz w:val="24"/>
          <w:szCs w:val="24"/>
        </w:rPr>
      </w:pPr>
      <w:r>
        <w:rPr>
          <w:rFonts w:ascii="Calibri" w:hAnsi="Calibri" w:cs="Arial"/>
          <w:b/>
          <w:bCs/>
          <w:sz w:val="24"/>
          <w:szCs w:val="24"/>
        </w:rPr>
        <w:br w:type="page"/>
      </w:r>
    </w:p>
    <w:p w:rsidR="00D15731" w:rsidRPr="005B09F6" w:rsidRDefault="00D15731" w:rsidP="00E341F3">
      <w:pPr>
        <w:tabs>
          <w:tab w:val="left" w:pos="142"/>
        </w:tabs>
        <w:spacing w:line="360" w:lineRule="auto"/>
        <w:jc w:val="center"/>
        <w:rPr>
          <w:rFonts w:ascii="Calibri" w:hAnsi="Calibri" w:cs="Arial"/>
          <w:b/>
          <w:bCs/>
          <w:sz w:val="24"/>
          <w:szCs w:val="24"/>
        </w:rPr>
      </w:pPr>
      <w:bookmarkStart w:id="0" w:name="_GoBack"/>
      <w:bookmarkEnd w:id="0"/>
      <w:r w:rsidRPr="005B09F6">
        <w:rPr>
          <w:rFonts w:ascii="Calibri" w:hAnsi="Calibri" w:cs="Arial"/>
          <w:b/>
          <w:bCs/>
          <w:sz w:val="24"/>
          <w:szCs w:val="24"/>
        </w:rPr>
        <w:t>ÍNDICE</w:t>
      </w:r>
    </w:p>
    <w:p w:rsidR="00D15731" w:rsidRPr="005B09F6" w:rsidRDefault="00D15731" w:rsidP="00E341F3">
      <w:pPr>
        <w:tabs>
          <w:tab w:val="left" w:pos="142"/>
        </w:tabs>
        <w:spacing w:line="360" w:lineRule="auto"/>
        <w:rPr>
          <w:rFonts w:ascii="Calibri" w:hAnsi="Calibri" w:cs="Arial"/>
          <w:b/>
          <w:sz w:val="24"/>
          <w:szCs w:val="24"/>
        </w:rPr>
      </w:pPr>
    </w:p>
    <w:bookmarkStart w:id="1" w:name="_Toc511311215"/>
    <w:bookmarkStart w:id="2" w:name="_Toc511460473"/>
    <w:p w:rsidR="00177DC1" w:rsidRPr="005B09F6" w:rsidRDefault="00D1573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cs="Arial"/>
          <w:szCs w:val="24"/>
        </w:rPr>
        <w:lastRenderedPageBreak/>
        <w:fldChar w:fldCharType="begin"/>
      </w:r>
      <w:r w:rsidRPr="005B09F6">
        <w:rPr>
          <w:rFonts w:ascii="Calibri" w:hAnsi="Calibri" w:cs="Arial"/>
          <w:szCs w:val="24"/>
        </w:rPr>
        <w:instrText xml:space="preserve"> TOC \o "1-3" </w:instrText>
      </w:r>
      <w:r w:rsidRPr="005B09F6">
        <w:rPr>
          <w:rFonts w:ascii="Calibri" w:hAnsi="Calibri" w:cs="Arial"/>
          <w:szCs w:val="24"/>
        </w:rPr>
        <w:fldChar w:fldCharType="separate"/>
      </w:r>
      <w:r w:rsidR="00177DC1" w:rsidRPr="005B09F6">
        <w:rPr>
          <w:rFonts w:ascii="Calibri" w:hAnsi="Calibri"/>
          <w:noProof/>
          <w:szCs w:val="24"/>
        </w:rPr>
        <w:t>1. CONSIDERAÇÕES INICIAIS</w:t>
      </w:r>
      <w:r w:rsidR="00177DC1" w:rsidRPr="005B09F6">
        <w:rPr>
          <w:rFonts w:ascii="Calibri" w:hAnsi="Calibri"/>
          <w:noProof/>
          <w:szCs w:val="24"/>
        </w:rPr>
        <w:tab/>
      </w:r>
      <w:r w:rsidR="00177DC1" w:rsidRPr="005B09F6">
        <w:rPr>
          <w:rFonts w:ascii="Calibri" w:hAnsi="Calibri"/>
          <w:noProof/>
          <w:szCs w:val="24"/>
        </w:rPr>
        <w:fldChar w:fldCharType="begin"/>
      </w:r>
      <w:r w:rsidR="00177DC1" w:rsidRPr="005B09F6">
        <w:rPr>
          <w:rFonts w:ascii="Calibri" w:hAnsi="Calibri"/>
          <w:noProof/>
          <w:szCs w:val="24"/>
        </w:rPr>
        <w:instrText xml:space="preserve"> PAGEREF _Toc479081331 \h </w:instrText>
      </w:r>
      <w:r w:rsidR="00177DC1" w:rsidRPr="005B09F6">
        <w:rPr>
          <w:rFonts w:ascii="Calibri" w:hAnsi="Calibri"/>
          <w:noProof/>
          <w:szCs w:val="24"/>
        </w:rPr>
      </w:r>
      <w:r w:rsidR="00177DC1" w:rsidRPr="005B09F6">
        <w:rPr>
          <w:rFonts w:ascii="Calibri" w:hAnsi="Calibri"/>
          <w:noProof/>
          <w:szCs w:val="24"/>
        </w:rPr>
        <w:fldChar w:fldCharType="separate"/>
      </w:r>
      <w:r w:rsidR="008D1275" w:rsidRPr="005B09F6">
        <w:rPr>
          <w:rFonts w:ascii="Calibri" w:hAnsi="Calibri"/>
          <w:noProof/>
          <w:szCs w:val="24"/>
        </w:rPr>
        <w:t>4</w:t>
      </w:r>
      <w:r w:rsidR="00177DC1" w:rsidRPr="005B09F6">
        <w:rPr>
          <w:rFonts w:ascii="Calibri" w:hAnsi="Calibri"/>
          <w:noProof/>
          <w:szCs w:val="24"/>
        </w:rPr>
        <w:fldChar w:fldCharType="end"/>
      </w:r>
    </w:p>
    <w:p w:rsidR="00177DC1" w:rsidRPr="005B09F6" w:rsidRDefault="00177DC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noProof/>
          <w:szCs w:val="24"/>
        </w:rPr>
        <w:t>2. PLANO DE BENEFÍCIOS DO REGIME GERAL DE PREVIDÊNCIA SOCIAL</w:t>
      </w:r>
      <w:r w:rsidRPr="005B09F6">
        <w:rPr>
          <w:rFonts w:ascii="Calibri" w:hAnsi="Calibri"/>
          <w:noProof/>
          <w:szCs w:val="24"/>
        </w:rPr>
        <w:tab/>
      </w:r>
      <w:r w:rsidRPr="005B09F6">
        <w:rPr>
          <w:rFonts w:ascii="Calibri" w:hAnsi="Calibri"/>
          <w:noProof/>
          <w:szCs w:val="24"/>
        </w:rPr>
        <w:fldChar w:fldCharType="begin"/>
      </w:r>
      <w:r w:rsidRPr="005B09F6">
        <w:rPr>
          <w:rFonts w:ascii="Calibri" w:hAnsi="Calibri"/>
          <w:noProof/>
          <w:szCs w:val="24"/>
        </w:rPr>
        <w:instrText xml:space="preserve"> PAGEREF _Toc479081332 \h </w:instrText>
      </w:r>
      <w:r w:rsidRPr="005B09F6">
        <w:rPr>
          <w:rFonts w:ascii="Calibri" w:hAnsi="Calibri"/>
          <w:noProof/>
          <w:szCs w:val="24"/>
        </w:rPr>
      </w:r>
      <w:r w:rsidRPr="005B09F6">
        <w:rPr>
          <w:rFonts w:ascii="Calibri" w:hAnsi="Calibri"/>
          <w:noProof/>
          <w:szCs w:val="24"/>
        </w:rPr>
        <w:fldChar w:fldCharType="separate"/>
      </w:r>
      <w:r w:rsidR="008D1275" w:rsidRPr="005B09F6">
        <w:rPr>
          <w:rFonts w:ascii="Calibri" w:hAnsi="Calibri"/>
          <w:noProof/>
          <w:szCs w:val="24"/>
        </w:rPr>
        <w:t>5</w:t>
      </w:r>
      <w:r w:rsidRPr="005B09F6">
        <w:rPr>
          <w:rFonts w:ascii="Calibri" w:hAnsi="Calibri"/>
          <w:noProof/>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2.1</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Aposentadoria por Idade</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_Toc479081333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6</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2.2</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Aposentadoria por tempo de contribuição</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_Toc479081334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7</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2.3</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Aposentadoria Especial</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_Toc479081335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8</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2.4</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Aposentadoria por Invalidez</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_Toc479081336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9</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2.5</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Auxílio-doença</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_Toc479081337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9</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2.6</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Salário-família</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_Toc479081338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10</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2.7</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Salário-maternidade</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_Toc479081339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11</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2.8</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Pensão por morte</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_Toc479081340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11</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2.9</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Auxílio-reclusão</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_Toc479081341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13</w:t>
      </w:r>
      <w:r w:rsidRPr="005B09F6">
        <w:rPr>
          <w:rFonts w:ascii="Calibri" w:hAnsi="Calibri"/>
          <w:noProof/>
          <w:sz w:val="24"/>
          <w:szCs w:val="24"/>
        </w:rPr>
        <w:fldChar w:fldCharType="end"/>
      </w:r>
    </w:p>
    <w:p w:rsidR="00177DC1" w:rsidRPr="005B09F6" w:rsidRDefault="00177DC1">
      <w:pPr>
        <w:pStyle w:val="Sumrio2"/>
        <w:tabs>
          <w:tab w:val="left" w:pos="10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2.10</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Auxílio-acidente</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_Toc479081342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14</w:t>
      </w:r>
      <w:r w:rsidRPr="005B09F6">
        <w:rPr>
          <w:rFonts w:ascii="Calibri" w:hAnsi="Calibri"/>
          <w:noProof/>
          <w:sz w:val="24"/>
          <w:szCs w:val="24"/>
        </w:rPr>
        <w:fldChar w:fldCharType="end"/>
      </w:r>
    </w:p>
    <w:p w:rsidR="00177DC1" w:rsidRPr="005B09F6" w:rsidRDefault="00177DC1">
      <w:pPr>
        <w:pStyle w:val="Sumrio2"/>
        <w:tabs>
          <w:tab w:val="left" w:pos="10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2.11</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Reabilitação Profissional</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_Toc479081343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15</w:t>
      </w:r>
      <w:r w:rsidRPr="005B09F6">
        <w:rPr>
          <w:rFonts w:ascii="Calibri" w:hAnsi="Calibri"/>
          <w:noProof/>
          <w:sz w:val="24"/>
          <w:szCs w:val="24"/>
        </w:rPr>
        <w:fldChar w:fldCharType="end"/>
      </w:r>
    </w:p>
    <w:p w:rsidR="00177DC1" w:rsidRPr="005B09F6" w:rsidRDefault="00177DC1">
      <w:pPr>
        <w:pStyle w:val="Sumrio2"/>
        <w:tabs>
          <w:tab w:val="left" w:pos="10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2.12</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Abono Anual</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_Toc479081344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15</w:t>
      </w:r>
      <w:r w:rsidRPr="005B09F6">
        <w:rPr>
          <w:rFonts w:ascii="Calibri" w:hAnsi="Calibri"/>
          <w:noProof/>
          <w:sz w:val="24"/>
          <w:szCs w:val="24"/>
        </w:rPr>
        <w:fldChar w:fldCharType="end"/>
      </w:r>
    </w:p>
    <w:p w:rsidR="00177DC1" w:rsidRPr="005B09F6" w:rsidRDefault="00177DC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noProof/>
          <w:szCs w:val="24"/>
        </w:rPr>
        <w:t>3. TENDÊNCIAS DEMOGRÁFICAS</w:t>
      </w:r>
      <w:r w:rsidRPr="005B09F6">
        <w:rPr>
          <w:rFonts w:ascii="Calibri" w:hAnsi="Calibri"/>
          <w:noProof/>
          <w:szCs w:val="24"/>
        </w:rPr>
        <w:tab/>
      </w:r>
      <w:r w:rsidRPr="005B09F6">
        <w:rPr>
          <w:rFonts w:ascii="Calibri" w:hAnsi="Calibri"/>
          <w:noProof/>
          <w:szCs w:val="24"/>
        </w:rPr>
        <w:fldChar w:fldCharType="begin"/>
      </w:r>
      <w:r w:rsidRPr="005B09F6">
        <w:rPr>
          <w:rFonts w:ascii="Calibri" w:hAnsi="Calibri"/>
          <w:noProof/>
          <w:szCs w:val="24"/>
        </w:rPr>
        <w:instrText xml:space="preserve"> PAGEREF _Toc479081345 \h </w:instrText>
      </w:r>
      <w:r w:rsidRPr="005B09F6">
        <w:rPr>
          <w:rFonts w:ascii="Calibri" w:hAnsi="Calibri"/>
          <w:noProof/>
          <w:szCs w:val="24"/>
        </w:rPr>
      </w:r>
      <w:r w:rsidRPr="005B09F6">
        <w:rPr>
          <w:rFonts w:ascii="Calibri" w:hAnsi="Calibri"/>
          <w:noProof/>
          <w:szCs w:val="24"/>
        </w:rPr>
        <w:fldChar w:fldCharType="separate"/>
      </w:r>
      <w:r w:rsidR="008D1275" w:rsidRPr="005B09F6">
        <w:rPr>
          <w:rFonts w:ascii="Calibri" w:hAnsi="Calibri"/>
          <w:noProof/>
          <w:szCs w:val="24"/>
        </w:rPr>
        <w:t>15</w:t>
      </w:r>
      <w:r w:rsidRPr="005B09F6">
        <w:rPr>
          <w:rFonts w:ascii="Calibri" w:hAnsi="Calibri"/>
          <w:noProof/>
          <w:szCs w:val="24"/>
        </w:rPr>
        <w:fldChar w:fldCharType="end"/>
      </w:r>
    </w:p>
    <w:p w:rsidR="00177DC1" w:rsidRPr="005B09F6" w:rsidRDefault="00177DC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noProof/>
          <w:szCs w:val="24"/>
        </w:rPr>
        <w:t>4. MODELO DE PROJEÇÕES FISCAIS DO REGIME GERAL DE PREVIDÊNCIA SOCIAL</w:t>
      </w:r>
      <w:r w:rsidRPr="005B09F6">
        <w:rPr>
          <w:rFonts w:ascii="Calibri" w:hAnsi="Calibri"/>
          <w:noProof/>
          <w:szCs w:val="24"/>
        </w:rPr>
        <w:tab/>
      </w:r>
      <w:r w:rsidRPr="005B09F6">
        <w:rPr>
          <w:rFonts w:ascii="Calibri" w:hAnsi="Calibri"/>
          <w:noProof/>
          <w:szCs w:val="24"/>
        </w:rPr>
        <w:fldChar w:fldCharType="begin"/>
      </w:r>
      <w:r w:rsidRPr="005B09F6">
        <w:rPr>
          <w:rFonts w:ascii="Calibri" w:hAnsi="Calibri"/>
          <w:noProof/>
          <w:szCs w:val="24"/>
        </w:rPr>
        <w:instrText xml:space="preserve"> PAGEREF _Toc479081346 \h </w:instrText>
      </w:r>
      <w:r w:rsidRPr="005B09F6">
        <w:rPr>
          <w:rFonts w:ascii="Calibri" w:hAnsi="Calibri"/>
          <w:noProof/>
          <w:szCs w:val="24"/>
        </w:rPr>
      </w:r>
      <w:r w:rsidRPr="005B09F6">
        <w:rPr>
          <w:rFonts w:ascii="Calibri" w:hAnsi="Calibri"/>
          <w:noProof/>
          <w:szCs w:val="24"/>
        </w:rPr>
        <w:fldChar w:fldCharType="separate"/>
      </w:r>
      <w:r w:rsidR="008D1275" w:rsidRPr="005B09F6">
        <w:rPr>
          <w:rFonts w:ascii="Calibri" w:hAnsi="Calibri"/>
          <w:noProof/>
          <w:szCs w:val="24"/>
        </w:rPr>
        <w:t>26</w:t>
      </w:r>
      <w:r w:rsidRPr="005B09F6">
        <w:rPr>
          <w:rFonts w:ascii="Calibri" w:hAnsi="Calibri"/>
          <w:noProof/>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4.1</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Abrangência do Modelo</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_Toc479081347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27</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4.2</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Lógica do Modelo</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_Toc479081348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28</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4.3</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Quantidades</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_Toc479081349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29</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4.4</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Preços</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_Toc479081350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35</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4.5</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Valores</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_Toc479081351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37</w:t>
      </w:r>
      <w:r w:rsidRPr="005B09F6">
        <w:rPr>
          <w:rFonts w:ascii="Calibri" w:hAnsi="Calibri"/>
          <w:noProof/>
          <w:sz w:val="24"/>
          <w:szCs w:val="24"/>
        </w:rPr>
        <w:fldChar w:fldCharType="end"/>
      </w:r>
    </w:p>
    <w:p w:rsidR="00177DC1" w:rsidRPr="005B09F6" w:rsidRDefault="00177DC1">
      <w:pPr>
        <w:pStyle w:val="Sumrio2"/>
        <w:tabs>
          <w:tab w:val="left" w:pos="800"/>
          <w:tab w:val="right" w:leader="dot" w:pos="9629"/>
        </w:tabs>
        <w:rPr>
          <w:rFonts w:ascii="Calibri" w:eastAsiaTheme="minorEastAsia" w:hAnsi="Calibri" w:cstheme="minorBidi"/>
          <w:b w:val="0"/>
          <w:noProof/>
          <w:sz w:val="24"/>
          <w:szCs w:val="24"/>
          <w:lang w:eastAsia="pt-BR"/>
        </w:rPr>
      </w:pPr>
      <w:r w:rsidRPr="005B09F6">
        <w:rPr>
          <w:rFonts w:ascii="Calibri" w:hAnsi="Calibri"/>
          <w:noProof/>
          <w:sz w:val="24"/>
          <w:szCs w:val="24"/>
        </w:rPr>
        <w:t>4.6</w:t>
      </w:r>
      <w:r w:rsidRPr="005B09F6">
        <w:rPr>
          <w:rFonts w:ascii="Calibri" w:eastAsiaTheme="minorEastAsia" w:hAnsi="Calibri" w:cstheme="minorBidi"/>
          <w:b w:val="0"/>
          <w:noProof/>
          <w:sz w:val="24"/>
          <w:szCs w:val="24"/>
          <w:lang w:eastAsia="pt-BR"/>
        </w:rPr>
        <w:tab/>
      </w:r>
      <w:r w:rsidRPr="005B09F6">
        <w:rPr>
          <w:rFonts w:ascii="Calibri" w:hAnsi="Calibri"/>
          <w:noProof/>
          <w:sz w:val="24"/>
          <w:szCs w:val="24"/>
        </w:rPr>
        <w:t>Dados Primários e Hipóteses de Projeção para o Cenário Base</w:t>
      </w:r>
      <w:r w:rsidRPr="005B09F6">
        <w:rPr>
          <w:rFonts w:ascii="Calibri" w:hAnsi="Calibri"/>
          <w:noProof/>
          <w:sz w:val="24"/>
          <w:szCs w:val="24"/>
        </w:rPr>
        <w:tab/>
      </w:r>
      <w:r w:rsidRPr="005B09F6">
        <w:rPr>
          <w:rFonts w:ascii="Calibri" w:hAnsi="Calibri"/>
          <w:noProof/>
          <w:sz w:val="24"/>
          <w:szCs w:val="24"/>
        </w:rPr>
        <w:fldChar w:fldCharType="begin"/>
      </w:r>
      <w:r w:rsidRPr="005B09F6">
        <w:rPr>
          <w:rFonts w:ascii="Calibri" w:hAnsi="Calibri"/>
          <w:noProof/>
          <w:sz w:val="24"/>
          <w:szCs w:val="24"/>
        </w:rPr>
        <w:instrText xml:space="preserve"> PAGEREF _Toc479081352 \h </w:instrText>
      </w:r>
      <w:r w:rsidRPr="005B09F6">
        <w:rPr>
          <w:rFonts w:ascii="Calibri" w:hAnsi="Calibri"/>
          <w:noProof/>
          <w:sz w:val="24"/>
          <w:szCs w:val="24"/>
        </w:rPr>
      </w:r>
      <w:r w:rsidRPr="005B09F6">
        <w:rPr>
          <w:rFonts w:ascii="Calibri" w:hAnsi="Calibri"/>
          <w:noProof/>
          <w:sz w:val="24"/>
          <w:szCs w:val="24"/>
        </w:rPr>
        <w:fldChar w:fldCharType="separate"/>
      </w:r>
      <w:r w:rsidR="008D1275" w:rsidRPr="005B09F6">
        <w:rPr>
          <w:rFonts w:ascii="Calibri" w:hAnsi="Calibri"/>
          <w:noProof/>
          <w:sz w:val="24"/>
          <w:szCs w:val="24"/>
        </w:rPr>
        <w:t>40</w:t>
      </w:r>
      <w:r w:rsidRPr="005B09F6">
        <w:rPr>
          <w:rFonts w:ascii="Calibri" w:hAnsi="Calibri"/>
          <w:noProof/>
          <w:sz w:val="24"/>
          <w:szCs w:val="24"/>
        </w:rPr>
        <w:fldChar w:fldCharType="end"/>
      </w:r>
    </w:p>
    <w:p w:rsidR="00177DC1" w:rsidRPr="005B09F6" w:rsidRDefault="00177DC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noProof/>
          <w:szCs w:val="24"/>
        </w:rPr>
        <w:t>Anexo – Lista de Siglas e Abreviaturas do Modelo de Projeção</w:t>
      </w:r>
      <w:r w:rsidRPr="005B09F6">
        <w:rPr>
          <w:rFonts w:ascii="Calibri" w:hAnsi="Calibri"/>
          <w:noProof/>
          <w:szCs w:val="24"/>
        </w:rPr>
        <w:tab/>
      </w:r>
      <w:r w:rsidRPr="005B09F6">
        <w:rPr>
          <w:rFonts w:ascii="Calibri" w:hAnsi="Calibri"/>
          <w:noProof/>
          <w:szCs w:val="24"/>
        </w:rPr>
        <w:fldChar w:fldCharType="begin"/>
      </w:r>
      <w:r w:rsidRPr="005B09F6">
        <w:rPr>
          <w:rFonts w:ascii="Calibri" w:hAnsi="Calibri"/>
          <w:noProof/>
          <w:szCs w:val="24"/>
        </w:rPr>
        <w:instrText xml:space="preserve"> PAGEREF _Toc479081353 \h </w:instrText>
      </w:r>
      <w:r w:rsidRPr="005B09F6">
        <w:rPr>
          <w:rFonts w:ascii="Calibri" w:hAnsi="Calibri"/>
          <w:noProof/>
          <w:szCs w:val="24"/>
        </w:rPr>
      </w:r>
      <w:r w:rsidRPr="005B09F6">
        <w:rPr>
          <w:rFonts w:ascii="Calibri" w:hAnsi="Calibri"/>
          <w:noProof/>
          <w:szCs w:val="24"/>
        </w:rPr>
        <w:fldChar w:fldCharType="separate"/>
      </w:r>
      <w:r w:rsidR="008D1275" w:rsidRPr="005B09F6">
        <w:rPr>
          <w:rFonts w:ascii="Calibri" w:hAnsi="Calibri"/>
          <w:noProof/>
          <w:szCs w:val="24"/>
        </w:rPr>
        <w:t>44</w:t>
      </w:r>
      <w:r w:rsidRPr="005B09F6">
        <w:rPr>
          <w:rFonts w:ascii="Calibri" w:hAnsi="Calibri"/>
          <w:noProof/>
          <w:szCs w:val="24"/>
        </w:rPr>
        <w:fldChar w:fldCharType="end"/>
      </w:r>
    </w:p>
    <w:p w:rsidR="00177DC1" w:rsidRPr="005B09F6" w:rsidRDefault="00177DC1">
      <w:pPr>
        <w:pStyle w:val="Sumrio1"/>
        <w:tabs>
          <w:tab w:val="right" w:leader="dot" w:pos="9629"/>
        </w:tabs>
        <w:rPr>
          <w:rFonts w:ascii="Calibri" w:eastAsiaTheme="minorEastAsia" w:hAnsi="Calibri" w:cstheme="minorBidi"/>
          <w:b w:val="0"/>
          <w:i w:val="0"/>
          <w:noProof/>
          <w:szCs w:val="24"/>
          <w:lang w:eastAsia="pt-BR"/>
        </w:rPr>
      </w:pPr>
      <w:r w:rsidRPr="005B09F6">
        <w:rPr>
          <w:rFonts w:ascii="Calibri" w:hAnsi="Calibri"/>
          <w:noProof/>
          <w:szCs w:val="24"/>
        </w:rPr>
        <w:t>5. PROJEÇÕES FISCAIS DO REGIME GERAL DE PREVIDÊNCIA SOCIAL</w:t>
      </w:r>
      <w:r w:rsidRPr="005B09F6">
        <w:rPr>
          <w:rFonts w:ascii="Calibri" w:hAnsi="Calibri"/>
          <w:noProof/>
          <w:szCs w:val="24"/>
        </w:rPr>
        <w:tab/>
      </w:r>
      <w:r w:rsidRPr="005B09F6">
        <w:rPr>
          <w:rFonts w:ascii="Calibri" w:hAnsi="Calibri"/>
          <w:noProof/>
          <w:szCs w:val="24"/>
        </w:rPr>
        <w:fldChar w:fldCharType="begin"/>
      </w:r>
      <w:r w:rsidRPr="005B09F6">
        <w:rPr>
          <w:rFonts w:ascii="Calibri" w:hAnsi="Calibri"/>
          <w:noProof/>
          <w:szCs w:val="24"/>
        </w:rPr>
        <w:instrText xml:space="preserve"> PAGEREF _Toc479081354 \h </w:instrText>
      </w:r>
      <w:r w:rsidRPr="005B09F6">
        <w:rPr>
          <w:rFonts w:ascii="Calibri" w:hAnsi="Calibri"/>
          <w:noProof/>
          <w:szCs w:val="24"/>
        </w:rPr>
      </w:r>
      <w:r w:rsidRPr="005B09F6">
        <w:rPr>
          <w:rFonts w:ascii="Calibri" w:hAnsi="Calibri"/>
          <w:noProof/>
          <w:szCs w:val="24"/>
        </w:rPr>
        <w:fldChar w:fldCharType="separate"/>
      </w:r>
      <w:r w:rsidR="008D1275" w:rsidRPr="005B09F6">
        <w:rPr>
          <w:rFonts w:ascii="Calibri" w:hAnsi="Calibri"/>
          <w:noProof/>
          <w:szCs w:val="24"/>
        </w:rPr>
        <w:t>46</w:t>
      </w:r>
      <w:r w:rsidRPr="005B09F6">
        <w:rPr>
          <w:rFonts w:ascii="Calibri" w:hAnsi="Calibri"/>
          <w:noProof/>
          <w:szCs w:val="24"/>
        </w:rPr>
        <w:fldChar w:fldCharType="end"/>
      </w:r>
    </w:p>
    <w:p w:rsidR="0073144E" w:rsidRPr="005B09F6" w:rsidRDefault="00D15731" w:rsidP="00511A13">
      <w:pPr>
        <w:pStyle w:val="Ttulo1"/>
        <w:rPr>
          <w:rFonts w:ascii="Calibri" w:hAnsi="Calibri"/>
          <w:sz w:val="24"/>
          <w:szCs w:val="24"/>
        </w:rPr>
      </w:pPr>
      <w:r w:rsidRPr="005B09F6">
        <w:rPr>
          <w:rFonts w:ascii="Calibri" w:hAnsi="Calibri"/>
          <w:sz w:val="24"/>
          <w:szCs w:val="24"/>
        </w:rPr>
        <w:fldChar w:fldCharType="end"/>
      </w:r>
      <w:bookmarkStart w:id="3" w:name="_Toc4303263"/>
      <w:bookmarkStart w:id="4" w:name="_Toc4831139"/>
      <w:bookmarkStart w:id="5" w:name="_Toc4831209"/>
    </w:p>
    <w:p w:rsidR="00E770DB" w:rsidRPr="005B09F6" w:rsidRDefault="00E770DB" w:rsidP="00E341F3">
      <w:pPr>
        <w:tabs>
          <w:tab w:val="left" w:pos="142"/>
        </w:tabs>
        <w:spacing w:after="240" w:line="360" w:lineRule="auto"/>
        <w:rPr>
          <w:rFonts w:ascii="Calibri" w:hAnsi="Calibri" w:cs="Arial"/>
          <w:sz w:val="24"/>
          <w:szCs w:val="24"/>
          <w:lang w:eastAsia="pt-BR"/>
        </w:rPr>
      </w:pPr>
    </w:p>
    <w:p w:rsidR="00E770DB" w:rsidRPr="005B09F6" w:rsidRDefault="00E770DB" w:rsidP="00E341F3">
      <w:pPr>
        <w:tabs>
          <w:tab w:val="left" w:pos="142"/>
        </w:tabs>
        <w:spacing w:after="240" w:line="360" w:lineRule="auto"/>
        <w:rPr>
          <w:rFonts w:ascii="Calibri" w:hAnsi="Calibri" w:cs="Arial"/>
          <w:sz w:val="24"/>
          <w:szCs w:val="24"/>
          <w:lang w:eastAsia="pt-BR"/>
        </w:rPr>
        <w:sectPr w:rsidR="00E770DB" w:rsidRPr="005B09F6" w:rsidSect="00E341F3">
          <w:headerReference w:type="even" r:id="rId9"/>
          <w:headerReference w:type="default" r:id="rId10"/>
          <w:footerReference w:type="even" r:id="rId11"/>
          <w:footerReference w:type="default" r:id="rId12"/>
          <w:headerReference w:type="first" r:id="rId13"/>
          <w:pgSz w:w="11907" w:h="16840" w:code="9"/>
          <w:pgMar w:top="1985" w:right="1134" w:bottom="1418" w:left="1134" w:header="964" w:footer="1298" w:gutter="0"/>
          <w:cols w:space="720"/>
          <w:titlePg/>
        </w:sectPr>
      </w:pPr>
    </w:p>
    <w:p w:rsidR="00D15731" w:rsidRPr="005B09F6" w:rsidRDefault="00D15731" w:rsidP="006F716F">
      <w:pPr>
        <w:spacing w:before="240" w:after="480" w:line="360" w:lineRule="auto"/>
        <w:jc w:val="center"/>
        <w:rPr>
          <w:rFonts w:ascii="Calibri" w:hAnsi="Calibri"/>
          <w:b/>
          <w:color w:val="1C6194" w:themeColor="accent2" w:themeShade="BF"/>
          <w:sz w:val="24"/>
          <w:szCs w:val="24"/>
        </w:rPr>
      </w:pPr>
      <w:r w:rsidRPr="005B09F6">
        <w:rPr>
          <w:rFonts w:ascii="Calibri" w:hAnsi="Calibri"/>
          <w:b/>
          <w:color w:val="1C6194" w:themeColor="accent2" w:themeShade="BF"/>
          <w:sz w:val="24"/>
          <w:szCs w:val="24"/>
        </w:rPr>
        <w:lastRenderedPageBreak/>
        <w:t>LISTA DE ABREVIATURAS</w:t>
      </w:r>
      <w:bookmarkEnd w:id="1"/>
      <w:bookmarkEnd w:id="2"/>
      <w:bookmarkEnd w:id="3"/>
      <w:bookmarkEnd w:id="4"/>
      <w:bookmarkEnd w:id="5"/>
    </w:p>
    <w:p w:rsidR="002506E4" w:rsidRPr="005B09F6" w:rsidRDefault="002506E4" w:rsidP="000E05CD">
      <w:pPr>
        <w:pStyle w:val="Corpodetexto"/>
        <w:tabs>
          <w:tab w:val="left" w:pos="142"/>
        </w:tabs>
        <w:spacing w:after="120" w:line="360" w:lineRule="auto"/>
        <w:rPr>
          <w:rFonts w:ascii="Calibri" w:hAnsi="Calibri" w:cs="Arial"/>
          <w:snapToGrid w:val="0"/>
          <w:szCs w:val="24"/>
          <w:lang w:eastAsia="pt-BR"/>
        </w:rPr>
      </w:pPr>
      <w:r w:rsidRPr="005B09F6">
        <w:rPr>
          <w:rFonts w:ascii="Calibri" w:hAnsi="Calibri" w:cs="Arial"/>
          <w:snapToGrid w:val="0"/>
          <w:szCs w:val="24"/>
          <w:lang w:eastAsia="pt-BR"/>
        </w:rPr>
        <w:t>IBGE – Instituto Brasileiro de Geografia e Estatística.</w:t>
      </w:r>
    </w:p>
    <w:p w:rsidR="002506E4" w:rsidRPr="005B09F6" w:rsidRDefault="002506E4" w:rsidP="000E05CD">
      <w:pPr>
        <w:tabs>
          <w:tab w:val="left" w:pos="142"/>
        </w:tabs>
        <w:spacing w:after="120" w:line="360" w:lineRule="auto"/>
        <w:rPr>
          <w:rFonts w:ascii="Calibri" w:hAnsi="Calibri" w:cs="Arial"/>
          <w:snapToGrid w:val="0"/>
          <w:sz w:val="24"/>
          <w:szCs w:val="24"/>
          <w:lang w:eastAsia="pt-BR"/>
        </w:rPr>
      </w:pPr>
      <w:r w:rsidRPr="005B09F6">
        <w:rPr>
          <w:rFonts w:ascii="Calibri" w:hAnsi="Calibri" w:cs="Arial"/>
          <w:snapToGrid w:val="0"/>
          <w:sz w:val="24"/>
          <w:szCs w:val="24"/>
          <w:lang w:eastAsia="pt-BR"/>
        </w:rPr>
        <w:t>IPEA – Instituto de Pesquisa Econômica Aplicada</w:t>
      </w:r>
    </w:p>
    <w:p w:rsidR="002506E4" w:rsidRPr="005B09F6" w:rsidRDefault="002506E4" w:rsidP="000E05CD">
      <w:pPr>
        <w:tabs>
          <w:tab w:val="left" w:pos="142"/>
        </w:tabs>
        <w:spacing w:after="120" w:line="360" w:lineRule="auto"/>
        <w:rPr>
          <w:rFonts w:ascii="Calibri" w:hAnsi="Calibri" w:cs="Arial"/>
          <w:snapToGrid w:val="0"/>
          <w:sz w:val="24"/>
          <w:szCs w:val="24"/>
          <w:lang w:eastAsia="pt-BR"/>
        </w:rPr>
      </w:pPr>
      <w:r w:rsidRPr="005B09F6">
        <w:rPr>
          <w:rFonts w:ascii="Calibri" w:hAnsi="Calibri" w:cs="Arial"/>
          <w:snapToGrid w:val="0"/>
          <w:sz w:val="24"/>
          <w:szCs w:val="24"/>
          <w:lang w:eastAsia="pt-BR"/>
        </w:rPr>
        <w:t>MF – Ministério da Fazenda.</w:t>
      </w:r>
    </w:p>
    <w:p w:rsidR="002506E4" w:rsidRPr="005B09F6" w:rsidRDefault="002506E4" w:rsidP="000E05CD">
      <w:pPr>
        <w:tabs>
          <w:tab w:val="left" w:pos="142"/>
        </w:tabs>
        <w:spacing w:after="120" w:line="360" w:lineRule="auto"/>
        <w:rPr>
          <w:rFonts w:ascii="Calibri" w:hAnsi="Calibri" w:cs="Arial"/>
          <w:snapToGrid w:val="0"/>
          <w:sz w:val="24"/>
          <w:szCs w:val="24"/>
          <w:lang w:eastAsia="pt-BR"/>
        </w:rPr>
      </w:pPr>
      <w:r w:rsidRPr="005B09F6">
        <w:rPr>
          <w:rFonts w:ascii="Calibri" w:hAnsi="Calibri" w:cs="Arial"/>
          <w:snapToGrid w:val="0"/>
          <w:sz w:val="24"/>
          <w:szCs w:val="24"/>
          <w:lang w:eastAsia="pt-BR"/>
        </w:rPr>
        <w:t xml:space="preserve">MP – Ministério do Planejamento, </w:t>
      </w:r>
      <w:r w:rsidR="00377851" w:rsidRPr="005B09F6">
        <w:rPr>
          <w:rFonts w:ascii="Calibri" w:hAnsi="Calibri" w:cs="Arial"/>
          <w:snapToGrid w:val="0"/>
          <w:sz w:val="24"/>
          <w:szCs w:val="24"/>
          <w:lang w:eastAsia="pt-BR"/>
        </w:rPr>
        <w:t>Desenvolvimento</w:t>
      </w:r>
      <w:r w:rsidRPr="005B09F6">
        <w:rPr>
          <w:rFonts w:ascii="Calibri" w:hAnsi="Calibri" w:cs="Arial"/>
          <w:snapToGrid w:val="0"/>
          <w:sz w:val="24"/>
          <w:szCs w:val="24"/>
          <w:lang w:eastAsia="pt-BR"/>
        </w:rPr>
        <w:t xml:space="preserve"> e Gestão.</w:t>
      </w:r>
    </w:p>
    <w:p w:rsidR="002506E4" w:rsidRPr="005B09F6" w:rsidRDefault="002506E4" w:rsidP="000E05CD">
      <w:pPr>
        <w:pStyle w:val="Corpodetexto"/>
        <w:tabs>
          <w:tab w:val="left" w:pos="142"/>
        </w:tabs>
        <w:spacing w:after="120" w:line="360" w:lineRule="auto"/>
        <w:rPr>
          <w:rFonts w:ascii="Calibri" w:hAnsi="Calibri" w:cs="Arial"/>
          <w:szCs w:val="24"/>
        </w:rPr>
      </w:pPr>
      <w:r w:rsidRPr="005B09F6">
        <w:rPr>
          <w:rFonts w:ascii="Calibri" w:hAnsi="Calibri" w:cs="Arial"/>
          <w:szCs w:val="24"/>
        </w:rPr>
        <w:t>RGPS – Regime Geral de Previdência Social.</w:t>
      </w:r>
    </w:p>
    <w:p w:rsidR="002506E4" w:rsidRPr="005B09F6" w:rsidRDefault="002506E4" w:rsidP="000E05CD">
      <w:pPr>
        <w:pStyle w:val="Corpodetexto"/>
        <w:tabs>
          <w:tab w:val="left" w:pos="142"/>
        </w:tabs>
        <w:spacing w:after="120" w:line="360" w:lineRule="auto"/>
        <w:rPr>
          <w:rFonts w:ascii="Calibri" w:hAnsi="Calibri" w:cs="Arial"/>
          <w:szCs w:val="24"/>
        </w:rPr>
      </w:pPr>
      <w:r w:rsidRPr="005B09F6">
        <w:rPr>
          <w:rFonts w:ascii="Calibri" w:hAnsi="Calibri" w:cs="Arial"/>
          <w:szCs w:val="24"/>
        </w:rPr>
        <w:t>RPPS – Regimes Próprios de Previdência Social</w:t>
      </w:r>
      <w:r w:rsidRPr="005B09F6">
        <w:rPr>
          <w:rFonts w:ascii="Calibri" w:hAnsi="Calibri" w:cs="Arial"/>
          <w:color w:val="800000"/>
          <w:szCs w:val="24"/>
        </w:rPr>
        <w:t xml:space="preserve"> </w:t>
      </w:r>
      <w:r w:rsidRPr="005B09F6">
        <w:rPr>
          <w:rFonts w:ascii="Calibri" w:hAnsi="Calibri" w:cs="Arial"/>
          <w:szCs w:val="24"/>
        </w:rPr>
        <w:t>de Estados e Municípios.</w:t>
      </w:r>
    </w:p>
    <w:p w:rsidR="002506E4" w:rsidRPr="005B09F6" w:rsidRDefault="002506E4" w:rsidP="000E05CD">
      <w:pPr>
        <w:tabs>
          <w:tab w:val="left" w:pos="142"/>
        </w:tabs>
        <w:spacing w:after="120" w:line="360" w:lineRule="auto"/>
        <w:rPr>
          <w:rFonts w:ascii="Calibri" w:hAnsi="Calibri" w:cs="Arial"/>
          <w:snapToGrid w:val="0"/>
          <w:sz w:val="24"/>
          <w:szCs w:val="24"/>
          <w:lang w:eastAsia="pt-BR"/>
        </w:rPr>
      </w:pPr>
      <w:r w:rsidRPr="005B09F6">
        <w:rPr>
          <w:rFonts w:ascii="Calibri" w:hAnsi="Calibri" w:cs="Arial"/>
          <w:snapToGrid w:val="0"/>
          <w:sz w:val="24"/>
          <w:szCs w:val="24"/>
          <w:lang w:eastAsia="pt-BR"/>
        </w:rPr>
        <w:t>SPE – Secretaria de Política Econômica do Ministério da Fazenda</w:t>
      </w:r>
    </w:p>
    <w:p w:rsidR="002506E4" w:rsidRPr="005B09F6" w:rsidRDefault="00377851" w:rsidP="000E05CD">
      <w:pPr>
        <w:tabs>
          <w:tab w:val="left" w:pos="142"/>
        </w:tabs>
        <w:spacing w:after="120" w:line="360" w:lineRule="auto"/>
        <w:rPr>
          <w:rFonts w:ascii="Calibri" w:hAnsi="Calibri" w:cs="Arial"/>
          <w:snapToGrid w:val="0"/>
          <w:sz w:val="24"/>
          <w:szCs w:val="24"/>
          <w:lang w:eastAsia="pt-BR"/>
        </w:rPr>
      </w:pPr>
      <w:r w:rsidRPr="005B09F6">
        <w:rPr>
          <w:rFonts w:ascii="Calibri" w:hAnsi="Calibri" w:cs="Arial"/>
          <w:snapToGrid w:val="0"/>
          <w:sz w:val="24"/>
          <w:szCs w:val="24"/>
          <w:lang w:eastAsia="pt-BR"/>
        </w:rPr>
        <w:t>SPREV</w:t>
      </w:r>
      <w:r w:rsidR="002506E4" w:rsidRPr="005B09F6">
        <w:rPr>
          <w:rFonts w:ascii="Calibri" w:hAnsi="Calibri" w:cs="Arial"/>
          <w:snapToGrid w:val="0"/>
          <w:sz w:val="24"/>
          <w:szCs w:val="24"/>
          <w:lang w:eastAsia="pt-BR"/>
        </w:rPr>
        <w:t xml:space="preserve"> – Secretaria de Previdência </w:t>
      </w:r>
      <w:r w:rsidRPr="005B09F6">
        <w:rPr>
          <w:rFonts w:ascii="Calibri" w:hAnsi="Calibri" w:cs="Arial"/>
          <w:snapToGrid w:val="0"/>
          <w:sz w:val="24"/>
          <w:szCs w:val="24"/>
          <w:lang w:eastAsia="pt-BR"/>
        </w:rPr>
        <w:t>do Ministério da Fazenda</w:t>
      </w:r>
    </w:p>
    <w:p w:rsidR="00D15731" w:rsidRPr="005B09F6" w:rsidRDefault="00D15731" w:rsidP="00511A13">
      <w:pPr>
        <w:pStyle w:val="Ttulo1"/>
        <w:rPr>
          <w:rFonts w:ascii="Calibri" w:hAnsi="Calibri"/>
          <w:sz w:val="24"/>
          <w:szCs w:val="24"/>
        </w:rPr>
      </w:pPr>
      <w:r w:rsidRPr="005B09F6">
        <w:rPr>
          <w:rFonts w:ascii="Calibri" w:hAnsi="Calibri"/>
          <w:sz w:val="24"/>
          <w:szCs w:val="24"/>
        </w:rPr>
        <w:br w:type="page"/>
      </w:r>
      <w:bookmarkStart w:id="6" w:name="_Toc511311194"/>
      <w:bookmarkStart w:id="7" w:name="_Toc511460474"/>
      <w:bookmarkStart w:id="8" w:name="_Toc4303264"/>
      <w:bookmarkStart w:id="9" w:name="_Toc4831140"/>
      <w:bookmarkStart w:id="10" w:name="_Toc4831210"/>
      <w:bookmarkStart w:id="11" w:name="_Toc479081331"/>
      <w:r w:rsidRPr="005B09F6">
        <w:rPr>
          <w:rFonts w:ascii="Calibri" w:hAnsi="Calibri"/>
          <w:sz w:val="24"/>
          <w:szCs w:val="24"/>
        </w:rPr>
        <w:lastRenderedPageBreak/>
        <w:t>1. CONSIDERAÇÕES INICIAIS</w:t>
      </w:r>
      <w:bookmarkEnd w:id="6"/>
      <w:bookmarkEnd w:id="7"/>
      <w:bookmarkEnd w:id="8"/>
      <w:bookmarkEnd w:id="9"/>
      <w:bookmarkEnd w:id="10"/>
      <w:bookmarkEnd w:id="11"/>
    </w:p>
    <w:p w:rsidR="00BA259F" w:rsidRPr="005B09F6" w:rsidRDefault="00BA259F" w:rsidP="00E341F3">
      <w:pPr>
        <w:pStyle w:val="Recuodecorpodetexto"/>
        <w:tabs>
          <w:tab w:val="left" w:pos="142"/>
        </w:tabs>
        <w:spacing w:after="240" w:line="360" w:lineRule="auto"/>
        <w:ind w:firstLine="0"/>
        <w:rPr>
          <w:rFonts w:ascii="Calibri" w:hAnsi="Calibri" w:cs="Arial"/>
          <w:szCs w:val="24"/>
        </w:rPr>
      </w:pPr>
    </w:p>
    <w:p w:rsidR="007F050D" w:rsidRPr="005B09F6" w:rsidRDefault="007F050D" w:rsidP="007F050D">
      <w:pPr>
        <w:pStyle w:val="TtuloPrincipal"/>
        <w:spacing w:after="240" w:line="360" w:lineRule="auto"/>
        <w:rPr>
          <w:rFonts w:ascii="Calibri" w:hAnsi="Calibri"/>
          <w:b w:val="0"/>
          <w:color w:val="auto"/>
          <w:sz w:val="24"/>
          <w:szCs w:val="24"/>
        </w:rPr>
      </w:pPr>
      <w:r w:rsidRPr="005B09F6">
        <w:rPr>
          <w:rFonts w:ascii="Calibri" w:hAnsi="Calibri"/>
          <w:b w:val="0"/>
          <w:color w:val="auto"/>
          <w:sz w:val="24"/>
          <w:szCs w:val="24"/>
        </w:rPr>
        <w:t>A mudança demográfica em curso no Brasil, pautada pelo aumento da expectativa de vida ao nascer, redução da taxa de mortalidade, contínua e persistente redução da taxa de fecundidade e aumento da expectativa de sobrevida de pessoas em idades mais avançadas, implicará transformações radicais no mecanismo de funcionamento atuarial da Previdência Social, tanto pelo aumento das despesas (aumento do número de idosos inativos e maior duração dos benefícios recebidos), quanto pela redução dos contribuintes decorrente do encolhimento da população economicamente ativa ao longo do tempo. Tais fatores implicam pressão adicional no sistema previdenciário atual, sugerindo a necessidade de avaliar a adequação do sistema à nova realidade demográfica.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Este documento tem como objetivo apresentar as projeções atuariais do Regime Geral de Previdência Social - RGPS para </w:t>
      </w:r>
      <w:r w:rsidR="00B16192" w:rsidRPr="005B09F6">
        <w:rPr>
          <w:rFonts w:ascii="Calibri" w:hAnsi="Calibri" w:cs="Arial"/>
          <w:szCs w:val="24"/>
        </w:rPr>
        <w:t>as próximas</w:t>
      </w:r>
      <w:r w:rsidRPr="005B09F6">
        <w:rPr>
          <w:rFonts w:ascii="Calibri" w:hAnsi="Calibri" w:cs="Arial"/>
          <w:szCs w:val="24"/>
        </w:rPr>
        <w:t xml:space="preserve"> </w:t>
      </w:r>
      <w:r w:rsidR="00B16192" w:rsidRPr="005B09F6">
        <w:rPr>
          <w:rFonts w:ascii="Calibri" w:hAnsi="Calibri" w:cs="Arial"/>
          <w:szCs w:val="24"/>
        </w:rPr>
        <w:t>décadas</w:t>
      </w:r>
      <w:r w:rsidRPr="005B09F6">
        <w:rPr>
          <w:rFonts w:ascii="Calibri" w:hAnsi="Calibri" w:cs="Arial"/>
          <w:szCs w:val="24"/>
        </w:rPr>
        <w:t xml:space="preserve">, atendendo ao disposto </w:t>
      </w:r>
      <w:r w:rsidR="003C3590" w:rsidRPr="005B09F6">
        <w:rPr>
          <w:rFonts w:ascii="Calibri" w:hAnsi="Calibri" w:cs="Arial"/>
          <w:szCs w:val="24"/>
        </w:rPr>
        <w:t>no art. 4</w:t>
      </w:r>
      <w:r w:rsidR="003C3590" w:rsidRPr="005B09F6">
        <w:rPr>
          <w:rFonts w:ascii="Calibri" w:hAnsi="Calibri"/>
          <w:szCs w:val="24"/>
          <w:u w:val="single"/>
          <w:vertAlign w:val="superscript"/>
        </w:rPr>
        <w:t>o</w:t>
      </w:r>
      <w:r w:rsidR="003C3590" w:rsidRPr="005B09F6">
        <w:rPr>
          <w:rFonts w:ascii="Calibri" w:hAnsi="Calibri" w:cs="Arial"/>
          <w:szCs w:val="24"/>
        </w:rPr>
        <w:t xml:space="preserve">, inciso IV, alínea a, </w:t>
      </w:r>
      <w:r w:rsidRPr="005B09F6">
        <w:rPr>
          <w:rFonts w:ascii="Calibri" w:hAnsi="Calibri" w:cs="Arial"/>
          <w:szCs w:val="24"/>
        </w:rPr>
        <w:t>da Lei Complementar 101, de 4 de maio de 2000</w:t>
      </w:r>
      <w:r w:rsidR="003C3590" w:rsidRPr="005B09F6">
        <w:rPr>
          <w:rFonts w:ascii="Calibri" w:hAnsi="Calibri" w:cs="Arial"/>
          <w:szCs w:val="24"/>
        </w:rPr>
        <w:t xml:space="preserve"> (Lei de Responsabilidade Fiscal</w:t>
      </w:r>
      <w:r w:rsidRPr="005B09F6">
        <w:rPr>
          <w:rFonts w:ascii="Calibri" w:hAnsi="Calibri" w:cs="Arial"/>
          <w:szCs w:val="24"/>
        </w:rPr>
        <w:t xml:space="preserve">). </w:t>
      </w:r>
    </w:p>
    <w:p w:rsidR="000C13F1" w:rsidRPr="005B09F6" w:rsidRDefault="001B37C0" w:rsidP="000C13F1">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Além desta breve introdução, o documento é composto por </w:t>
      </w:r>
      <w:r w:rsidR="00C058AE" w:rsidRPr="005B09F6">
        <w:rPr>
          <w:rFonts w:ascii="Calibri" w:hAnsi="Calibri" w:cs="Arial"/>
          <w:szCs w:val="24"/>
        </w:rPr>
        <w:t xml:space="preserve">outras </w:t>
      </w:r>
      <w:r w:rsidR="00DB3B6E" w:rsidRPr="005B09F6">
        <w:rPr>
          <w:rFonts w:ascii="Calibri" w:hAnsi="Calibri" w:cs="Arial"/>
          <w:szCs w:val="24"/>
        </w:rPr>
        <w:t>quatro</w:t>
      </w:r>
      <w:r w:rsidR="00AE2CC0" w:rsidRPr="005B09F6">
        <w:rPr>
          <w:rFonts w:ascii="Calibri" w:hAnsi="Calibri" w:cs="Arial"/>
          <w:szCs w:val="24"/>
        </w:rPr>
        <w:t xml:space="preserve"> </w:t>
      </w:r>
      <w:r w:rsidR="00C058AE" w:rsidRPr="005B09F6">
        <w:rPr>
          <w:rFonts w:ascii="Calibri" w:hAnsi="Calibri" w:cs="Arial"/>
          <w:szCs w:val="24"/>
        </w:rPr>
        <w:t xml:space="preserve">seções. Sumariamente, a seção 2 descreve o plano de benefícios do Regime Geral de Previdência Social ― RGPS. </w:t>
      </w:r>
      <w:r w:rsidR="00E23263" w:rsidRPr="005B09F6">
        <w:rPr>
          <w:rFonts w:ascii="Calibri" w:hAnsi="Calibri" w:cs="Arial"/>
          <w:szCs w:val="24"/>
        </w:rPr>
        <w:t>A</w:t>
      </w:r>
      <w:r w:rsidR="0028083D" w:rsidRPr="005B09F6">
        <w:rPr>
          <w:rFonts w:ascii="Calibri" w:hAnsi="Calibri" w:cs="Arial"/>
          <w:szCs w:val="24"/>
        </w:rPr>
        <w:t xml:space="preserve"> seç</w:t>
      </w:r>
      <w:r w:rsidR="00E23263" w:rsidRPr="005B09F6">
        <w:rPr>
          <w:rFonts w:ascii="Calibri" w:hAnsi="Calibri" w:cs="Arial"/>
          <w:szCs w:val="24"/>
        </w:rPr>
        <w:t xml:space="preserve">ão </w:t>
      </w:r>
      <w:r w:rsidR="0028083D" w:rsidRPr="005B09F6">
        <w:rPr>
          <w:rFonts w:ascii="Calibri" w:hAnsi="Calibri" w:cs="Arial"/>
          <w:szCs w:val="24"/>
        </w:rPr>
        <w:t xml:space="preserve">3 analisa </w:t>
      </w:r>
      <w:r w:rsidR="00E23263" w:rsidRPr="005B09F6">
        <w:rPr>
          <w:rFonts w:ascii="Calibri" w:hAnsi="Calibri" w:cs="Arial"/>
          <w:szCs w:val="24"/>
        </w:rPr>
        <w:t xml:space="preserve">os principais elementos associados à </w:t>
      </w:r>
      <w:r w:rsidR="0028083D" w:rsidRPr="005B09F6">
        <w:rPr>
          <w:rFonts w:ascii="Calibri" w:hAnsi="Calibri" w:cs="Arial"/>
          <w:szCs w:val="24"/>
        </w:rPr>
        <w:t xml:space="preserve">dinâmica demográfica em curso </w:t>
      </w:r>
      <w:r w:rsidR="00E23263" w:rsidRPr="005B09F6">
        <w:rPr>
          <w:rFonts w:ascii="Calibri" w:hAnsi="Calibri" w:cs="Arial"/>
          <w:szCs w:val="24"/>
        </w:rPr>
        <w:t xml:space="preserve">no Brasil. </w:t>
      </w:r>
      <w:r w:rsidR="0028083D" w:rsidRPr="005B09F6">
        <w:rPr>
          <w:rFonts w:ascii="Calibri" w:hAnsi="Calibri" w:cs="Arial"/>
          <w:szCs w:val="24"/>
        </w:rPr>
        <w:t xml:space="preserve">Em meio ao </w:t>
      </w:r>
      <w:r w:rsidR="00741E6B" w:rsidRPr="005B09F6">
        <w:rPr>
          <w:rFonts w:ascii="Calibri" w:hAnsi="Calibri" w:cs="Arial"/>
          <w:szCs w:val="24"/>
        </w:rPr>
        <w:t xml:space="preserve">desafio inerente </w:t>
      </w:r>
      <w:r w:rsidR="0028083D" w:rsidRPr="005B09F6">
        <w:rPr>
          <w:rFonts w:ascii="Calibri" w:hAnsi="Calibri" w:cs="Arial"/>
          <w:szCs w:val="24"/>
        </w:rPr>
        <w:t xml:space="preserve">de promover a </w:t>
      </w:r>
      <w:r w:rsidR="00741E6B" w:rsidRPr="005B09F6">
        <w:rPr>
          <w:rFonts w:ascii="Calibri" w:hAnsi="Calibri" w:cs="Arial"/>
          <w:szCs w:val="24"/>
        </w:rPr>
        <w:t>avaliação</w:t>
      </w:r>
      <w:r w:rsidR="00D15731" w:rsidRPr="005B09F6">
        <w:rPr>
          <w:rFonts w:ascii="Calibri" w:hAnsi="Calibri" w:cs="Arial"/>
          <w:szCs w:val="24"/>
        </w:rPr>
        <w:t xml:space="preserve"> </w:t>
      </w:r>
      <w:r w:rsidR="000C13F1" w:rsidRPr="005B09F6">
        <w:rPr>
          <w:rFonts w:ascii="Calibri" w:hAnsi="Calibri" w:cs="Arial"/>
          <w:szCs w:val="24"/>
        </w:rPr>
        <w:t xml:space="preserve">financeira e atuarial do </w:t>
      </w:r>
      <w:r w:rsidR="00D15731" w:rsidRPr="005B09F6">
        <w:rPr>
          <w:rFonts w:ascii="Calibri" w:hAnsi="Calibri" w:cs="Arial"/>
          <w:szCs w:val="24"/>
        </w:rPr>
        <w:t>Regi</w:t>
      </w:r>
      <w:r w:rsidR="000C13F1" w:rsidRPr="005B09F6">
        <w:rPr>
          <w:rFonts w:ascii="Calibri" w:hAnsi="Calibri" w:cs="Arial"/>
          <w:szCs w:val="24"/>
        </w:rPr>
        <w:t>me Geral d</w:t>
      </w:r>
      <w:r w:rsidR="0028083D" w:rsidRPr="005B09F6">
        <w:rPr>
          <w:rFonts w:ascii="Calibri" w:hAnsi="Calibri" w:cs="Arial"/>
          <w:szCs w:val="24"/>
        </w:rPr>
        <w:t xml:space="preserve">e Previdência Social, </w:t>
      </w:r>
      <w:r w:rsidR="00E23263" w:rsidRPr="005B09F6">
        <w:rPr>
          <w:rFonts w:ascii="Calibri" w:hAnsi="Calibri" w:cs="Arial"/>
          <w:szCs w:val="24"/>
        </w:rPr>
        <w:t xml:space="preserve">a seção </w:t>
      </w:r>
      <w:r w:rsidR="00DB3B6E" w:rsidRPr="005B09F6">
        <w:rPr>
          <w:rFonts w:ascii="Calibri" w:hAnsi="Calibri" w:cs="Arial"/>
          <w:szCs w:val="24"/>
        </w:rPr>
        <w:t xml:space="preserve">4 </w:t>
      </w:r>
      <w:r w:rsidR="00E23263" w:rsidRPr="005B09F6">
        <w:rPr>
          <w:rFonts w:ascii="Calibri" w:hAnsi="Calibri" w:cs="Arial"/>
          <w:szCs w:val="24"/>
        </w:rPr>
        <w:t xml:space="preserve">apresenta </w:t>
      </w:r>
      <w:r w:rsidR="0028083D" w:rsidRPr="005B09F6">
        <w:rPr>
          <w:rFonts w:ascii="Calibri" w:hAnsi="Calibri" w:cs="Arial"/>
          <w:szCs w:val="24"/>
        </w:rPr>
        <w:t>o modelo de projeções fiscais utilizado, por meio da descrição detalhada tanto dos procedimentos metodológicos, bem como das fontes de dados e hipóteses de projeção</w:t>
      </w:r>
      <w:r w:rsidR="000C13F1" w:rsidRPr="005B09F6">
        <w:rPr>
          <w:rFonts w:ascii="Calibri" w:hAnsi="Calibri" w:cs="Arial"/>
          <w:szCs w:val="24"/>
        </w:rPr>
        <w:t>. Por fim,</w:t>
      </w:r>
      <w:r w:rsidR="0028083D" w:rsidRPr="005B09F6">
        <w:rPr>
          <w:rFonts w:ascii="Calibri" w:hAnsi="Calibri" w:cs="Arial"/>
          <w:szCs w:val="24"/>
        </w:rPr>
        <w:t xml:space="preserve"> os</w:t>
      </w:r>
      <w:r w:rsidR="000C13F1" w:rsidRPr="005B09F6">
        <w:rPr>
          <w:rFonts w:ascii="Calibri" w:hAnsi="Calibri" w:cs="Arial"/>
          <w:szCs w:val="24"/>
        </w:rPr>
        <w:t xml:space="preserve"> resultados </w:t>
      </w:r>
      <w:r w:rsidR="0028083D" w:rsidRPr="005B09F6">
        <w:rPr>
          <w:rFonts w:ascii="Calibri" w:hAnsi="Calibri" w:cs="Arial"/>
          <w:szCs w:val="24"/>
        </w:rPr>
        <w:t xml:space="preserve">das projeções atuariais de receitas e despesas previdenciárias, assim como os resultados financeiros do RGPS </w:t>
      </w:r>
      <w:r w:rsidR="000C13F1" w:rsidRPr="005B09F6">
        <w:rPr>
          <w:rFonts w:ascii="Calibri" w:hAnsi="Calibri" w:cs="Arial"/>
          <w:szCs w:val="24"/>
        </w:rPr>
        <w:t>são apresentados na seç</w:t>
      </w:r>
      <w:r w:rsidR="0028083D" w:rsidRPr="005B09F6">
        <w:rPr>
          <w:rFonts w:ascii="Calibri" w:hAnsi="Calibri" w:cs="Arial"/>
          <w:szCs w:val="24"/>
        </w:rPr>
        <w:t xml:space="preserve">ão </w:t>
      </w:r>
      <w:r w:rsidR="00DB3B6E" w:rsidRPr="005B09F6">
        <w:rPr>
          <w:rFonts w:ascii="Calibri" w:hAnsi="Calibri" w:cs="Arial"/>
          <w:szCs w:val="24"/>
        </w:rPr>
        <w:t>5</w:t>
      </w:r>
      <w:r w:rsidR="0028083D" w:rsidRPr="005B09F6">
        <w:rPr>
          <w:rFonts w:ascii="Calibri" w:hAnsi="Calibri" w:cs="Arial"/>
          <w:szCs w:val="24"/>
        </w:rPr>
        <w:t>.</w:t>
      </w:r>
    </w:p>
    <w:p w:rsidR="009817A4" w:rsidRPr="005B09F6" w:rsidRDefault="009817A4" w:rsidP="00E341F3">
      <w:pPr>
        <w:pStyle w:val="Recuodecorpodetexto"/>
        <w:tabs>
          <w:tab w:val="left" w:pos="142"/>
        </w:tabs>
        <w:spacing w:after="240" w:line="360" w:lineRule="auto"/>
        <w:ind w:firstLine="0"/>
        <w:rPr>
          <w:rFonts w:ascii="Calibri" w:hAnsi="Calibri" w:cs="Arial"/>
          <w:szCs w:val="24"/>
        </w:rPr>
      </w:pPr>
      <w:bookmarkStart w:id="12" w:name="_Toc511311195"/>
      <w:bookmarkStart w:id="13" w:name="_Toc511460475"/>
    </w:p>
    <w:p w:rsidR="009817A4" w:rsidRPr="005B09F6" w:rsidRDefault="009817A4" w:rsidP="00E341F3">
      <w:pPr>
        <w:pStyle w:val="Corpodetexto"/>
        <w:tabs>
          <w:tab w:val="left" w:pos="142"/>
        </w:tabs>
        <w:spacing w:after="240" w:line="360" w:lineRule="auto"/>
        <w:rPr>
          <w:rFonts w:ascii="Calibri" w:hAnsi="Calibri" w:cs="Arial"/>
          <w:szCs w:val="24"/>
        </w:rPr>
      </w:pPr>
    </w:p>
    <w:p w:rsidR="00E341F3" w:rsidRPr="005B09F6" w:rsidRDefault="00E341F3">
      <w:pPr>
        <w:rPr>
          <w:rFonts w:ascii="Calibri" w:hAnsi="Calibri" w:cs="Arial"/>
          <w:b/>
          <w:snapToGrid w:val="0"/>
          <w:sz w:val="24"/>
          <w:szCs w:val="24"/>
          <w:u w:val="single"/>
          <w:lang w:eastAsia="pt-BR"/>
        </w:rPr>
      </w:pPr>
      <w:bookmarkStart w:id="14" w:name="_Toc4303265"/>
      <w:bookmarkStart w:id="15" w:name="_Toc4831141"/>
      <w:bookmarkStart w:id="16" w:name="_Toc4831211"/>
      <w:r w:rsidRPr="005B09F6">
        <w:rPr>
          <w:rFonts w:ascii="Calibri" w:hAnsi="Calibri" w:cs="Arial"/>
          <w:sz w:val="24"/>
          <w:szCs w:val="24"/>
        </w:rPr>
        <w:br w:type="page"/>
      </w:r>
    </w:p>
    <w:p w:rsidR="00D15731" w:rsidRPr="005B09F6" w:rsidRDefault="00D15731" w:rsidP="00511A13">
      <w:pPr>
        <w:pStyle w:val="Ttulo1"/>
        <w:rPr>
          <w:rFonts w:ascii="Calibri" w:hAnsi="Calibri"/>
          <w:sz w:val="24"/>
          <w:szCs w:val="24"/>
        </w:rPr>
      </w:pPr>
      <w:bookmarkStart w:id="17" w:name="_Toc479081332"/>
      <w:r w:rsidRPr="005B09F6">
        <w:rPr>
          <w:rFonts w:ascii="Calibri" w:hAnsi="Calibri"/>
          <w:sz w:val="24"/>
          <w:szCs w:val="24"/>
        </w:rPr>
        <w:t>2. PLANO DE BENEFÍCIOS DO REGIME GERAL DE PREVIDÊNCIA SOCIAL</w:t>
      </w:r>
      <w:bookmarkEnd w:id="12"/>
      <w:bookmarkEnd w:id="13"/>
      <w:bookmarkEnd w:id="14"/>
      <w:bookmarkEnd w:id="15"/>
      <w:bookmarkEnd w:id="16"/>
      <w:bookmarkEnd w:id="17"/>
    </w:p>
    <w:p w:rsidR="00BA259F" w:rsidRPr="005B09F6" w:rsidRDefault="00BA259F" w:rsidP="00E341F3">
      <w:pPr>
        <w:pStyle w:val="Recuodecorpodetexto"/>
        <w:tabs>
          <w:tab w:val="left" w:pos="142"/>
        </w:tabs>
        <w:spacing w:after="240" w:line="360" w:lineRule="auto"/>
        <w:ind w:firstLine="0"/>
        <w:rPr>
          <w:rFonts w:ascii="Calibri" w:hAnsi="Calibri" w:cs="Arial"/>
          <w:szCs w:val="24"/>
        </w:rPr>
      </w:pPr>
    </w:p>
    <w:p w:rsidR="00D15731" w:rsidRPr="005B09F6" w:rsidRDefault="0073144E"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Os benefícios oferecidos pelo RGPS têm por objetivo assegurar aos contribuintes e a suas famílias meios indispensáveis de reposição da renda, quando da perda da capacidade laborativa ou por incapacidade de gerar renda, idade avançada, tempo de contribuição, encargos familiares e prisão ou morte daqueles de quem dependiam economicamente.</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A descrição do plano de benefícios aborda três aspectos. O primeiro dispõe sobre a fórmula de cálculo do valor do benefício, o segundo, sobre as condições necessárias para que o segurado se habilite ao benefício e o terceiro, sobre a duração do pagamento.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Inicialmente, convém destacar que o salário-de-benefício é a base para o cálculo dos benefícios de prestação continuada do RGPS, inclusive do regido por norma especial e do decorrente de acidente do trabalho, exceto do salário-família, da pensão por morte e do salário-maternidade, sendo indexado à inflação.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os benefícios de aposentadoria por idade e por tempo de contribuição, no caso dos segurados inscritos até 28/11/99, o salário-de-benefício consiste na média aritmética simples dos maiores salários-de-contribuição, corrigidos monetariamente, correspondentes a, no mínimo, 80% de todo período contributivo desde a competência 07/94 e multiplic</w:t>
      </w:r>
      <w:r w:rsidR="0077649B" w:rsidRPr="005B09F6">
        <w:rPr>
          <w:rFonts w:ascii="Calibri" w:hAnsi="Calibri" w:cs="Arial"/>
          <w:szCs w:val="24"/>
        </w:rPr>
        <w:t xml:space="preserve">ado pelo fator previdenciário. </w:t>
      </w:r>
      <w:r w:rsidRPr="005B09F6">
        <w:rPr>
          <w:rFonts w:ascii="Calibri" w:hAnsi="Calibri" w:cs="Arial"/>
          <w:szCs w:val="24"/>
        </w:rPr>
        <w:t>Para os inscritos a partir de 29/11/99, o salário-de-benefício corresponde à média aritmética simples dos maiores salários-de-contribuição, corrigidos monetariamente, correspondentes a 80% de todo o período contributivo e multiplicado pelo fator previdenciário.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É importante ressaltar que é garantido aos segurados que solicitam aposentadoria por idade optar pela não aplicação do fator previdenciário. Para o cálculo dos benefícios de auxílio-doença, auxílio-acidente, aposentadoria</w:t>
      </w:r>
      <w:r w:rsidR="00ED3464" w:rsidRPr="005B09F6">
        <w:rPr>
          <w:rFonts w:ascii="Calibri" w:hAnsi="Calibri" w:cs="Arial"/>
          <w:szCs w:val="24"/>
        </w:rPr>
        <w:t>s</w:t>
      </w:r>
      <w:r w:rsidRPr="005B09F6">
        <w:rPr>
          <w:rFonts w:ascii="Calibri" w:hAnsi="Calibri" w:cs="Arial"/>
          <w:szCs w:val="24"/>
        </w:rPr>
        <w:t xml:space="preserve"> por invalidez e especial não se aplica tal fator.</w:t>
      </w:r>
    </w:p>
    <w:p w:rsidR="000618C6" w:rsidRPr="005B09F6" w:rsidRDefault="000618C6"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Nos casos em que a soma da idade do segurado que requer o benefício de aposentadoria por tempo de contribuição com o seu tempo de contribuição resultar em no mínimo 95 para o caso dos homens ou no mínimo em 85 para o caso das mulheres, </w:t>
      </w:r>
      <w:r w:rsidR="00C077DF" w:rsidRPr="005B09F6">
        <w:rPr>
          <w:rFonts w:ascii="Calibri" w:hAnsi="Calibri" w:cs="Arial"/>
          <w:szCs w:val="24"/>
        </w:rPr>
        <w:t xml:space="preserve">observando o tempo mínimo de contribuição de 35 anos para o homem e 30 para a mulher, </w:t>
      </w:r>
      <w:r w:rsidRPr="005B09F6">
        <w:rPr>
          <w:rFonts w:ascii="Calibri" w:hAnsi="Calibri" w:cs="Arial"/>
          <w:szCs w:val="24"/>
        </w:rPr>
        <w:t>é automaticamente dispensado o uso do fator previdenciário no cálculo do valor do benefício.</w:t>
      </w:r>
      <w:r w:rsidR="005470A1" w:rsidRPr="005B09F6">
        <w:rPr>
          <w:rStyle w:val="Refdenotaderodap"/>
          <w:rFonts w:ascii="Calibri" w:hAnsi="Calibri" w:cs="Arial"/>
          <w:szCs w:val="24"/>
        </w:rPr>
        <w:footnoteReference w:id="1"/>
      </w:r>
    </w:p>
    <w:p w:rsidR="003819F4" w:rsidRPr="005B09F6" w:rsidRDefault="00D15731" w:rsidP="00E341F3">
      <w:pPr>
        <w:pStyle w:val="Recuodecorpodetexto"/>
        <w:tabs>
          <w:tab w:val="left" w:pos="142"/>
        </w:tabs>
        <w:spacing w:after="240" w:line="360" w:lineRule="auto"/>
        <w:ind w:firstLine="0"/>
        <w:rPr>
          <w:rFonts w:ascii="Calibri" w:hAnsi="Calibri" w:cs="Arial"/>
          <w:color w:val="000000" w:themeColor="text1"/>
          <w:szCs w:val="24"/>
        </w:rPr>
      </w:pPr>
      <w:r w:rsidRPr="005B09F6">
        <w:rPr>
          <w:rFonts w:ascii="Calibri" w:hAnsi="Calibri" w:cs="Arial"/>
          <w:szCs w:val="24"/>
        </w:rPr>
        <w:t xml:space="preserve">Nos casos de auxílio-doença e aposentadoria por invalidez em que o segurado conte com menos de cento e quarenta e quatro contribuições mensais no período contributivo, </w:t>
      </w:r>
      <w:r w:rsidR="00537D72" w:rsidRPr="005B09F6">
        <w:rPr>
          <w:rFonts w:ascii="Calibri" w:hAnsi="Calibri" w:cs="Arial"/>
          <w:szCs w:val="24"/>
        </w:rPr>
        <w:t>o salário-de-benefício consiste na média aritmética simples dos maiores salários-de-contribuição correspondentes a 80% de todo o período contributivo decorrido desde a competência julho de 1994, ou da competência de início de atividade, se após essa data, até a data do início do benefício.</w:t>
      </w:r>
    </w:p>
    <w:p w:rsidR="00514F20" w:rsidRPr="005B09F6" w:rsidRDefault="00514F20"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 valor do auxílio-doença não poderá exceder a média aritmética simples dos últimos 12 salários-de-contribuição, inclusive no caso de remuneração variável, ou, se não alcançado o número de 12 contribuições, a média aritmética simples dos salários-de-contribuição existentes.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 fator previdenciário leva em consideração a idade, o tempo de contribuição, a expectativa de sobrevida (conforme tábua biométrica divulgada pelo IBGE) e a alíquota de contribuição, de acordo com a seguinte fórmula:</w:t>
      </w:r>
    </w:p>
    <w:p w:rsidR="00D15731" w:rsidRPr="005B09F6" w:rsidRDefault="00D15731" w:rsidP="00E341F3">
      <w:pPr>
        <w:tabs>
          <w:tab w:val="left" w:pos="142"/>
        </w:tabs>
        <w:spacing w:after="240" w:line="360" w:lineRule="auto"/>
        <w:jc w:val="both"/>
        <w:rPr>
          <w:rFonts w:ascii="Calibri" w:hAnsi="Calibri" w:cs="Arial"/>
          <w:sz w:val="24"/>
          <w:szCs w:val="24"/>
        </w:rPr>
      </w:pPr>
      <w:r w:rsidRPr="005B09F6">
        <w:rPr>
          <w:rFonts w:ascii="Calibri" w:hAnsi="Calibri" w:cs="Arial"/>
          <w:position w:val="-24"/>
          <w:sz w:val="24"/>
          <w:szCs w:val="24"/>
        </w:rPr>
        <w:object w:dxaOrig="2880" w:dyaOrig="620" w14:anchorId="27B95E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in;height:30pt" o:ole="" fillcolor="window">
            <v:imagedata r:id="rId14" o:title=""/>
          </v:shape>
          <o:OLEObject Type="Embed" ProgID="Equation.3" ShapeID="_x0000_i1025" DrawAspect="Content" ObjectID="_1583665657" r:id="rId15"/>
        </w:objec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Onde:</w:t>
      </w:r>
    </w:p>
    <w:p w:rsidR="00D15731" w:rsidRPr="005B09F6" w:rsidRDefault="00D15731" w:rsidP="00E341F3">
      <w:pPr>
        <w:pStyle w:val="Recuodecorpodetexto"/>
        <w:tabs>
          <w:tab w:val="left" w:pos="142"/>
        </w:tabs>
        <w:spacing w:line="360" w:lineRule="auto"/>
        <w:ind w:firstLine="0"/>
        <w:rPr>
          <w:rFonts w:ascii="Calibri" w:hAnsi="Calibri" w:cs="Arial"/>
          <w:szCs w:val="24"/>
        </w:rPr>
      </w:pPr>
      <w:proofErr w:type="gramStart"/>
      <w:r w:rsidRPr="005B09F6">
        <w:rPr>
          <w:rFonts w:ascii="Calibri" w:hAnsi="Calibri" w:cs="Arial"/>
          <w:szCs w:val="24"/>
        </w:rPr>
        <w:t>f</w:t>
      </w:r>
      <w:proofErr w:type="gramEnd"/>
      <w:r w:rsidRPr="005B09F6">
        <w:rPr>
          <w:rFonts w:ascii="Calibri" w:hAnsi="Calibri" w:cs="Arial"/>
          <w:szCs w:val="24"/>
        </w:rPr>
        <w:t xml:space="preserve"> = fator previdenciário;</w:t>
      </w:r>
    </w:p>
    <w:p w:rsidR="00D15731" w:rsidRPr="005B09F6" w:rsidRDefault="00D15731" w:rsidP="00E341F3">
      <w:pPr>
        <w:pStyle w:val="Recuodecorpodetexto"/>
        <w:tabs>
          <w:tab w:val="left" w:pos="142"/>
        </w:tabs>
        <w:spacing w:line="360" w:lineRule="auto"/>
        <w:ind w:firstLine="0"/>
        <w:rPr>
          <w:rFonts w:ascii="Calibri" w:hAnsi="Calibri" w:cs="Arial"/>
          <w:szCs w:val="24"/>
        </w:rPr>
      </w:pPr>
      <w:r w:rsidRPr="005B09F6">
        <w:rPr>
          <w:rFonts w:ascii="Calibri" w:hAnsi="Calibri" w:cs="Arial"/>
          <w:szCs w:val="24"/>
        </w:rPr>
        <w:t>Es = expectativa de sobrevida no momento da aposentadoria, atualizada anualmente pelo IBGE;</w:t>
      </w:r>
    </w:p>
    <w:p w:rsidR="00D15731" w:rsidRPr="005B09F6" w:rsidRDefault="00D15731" w:rsidP="00E341F3">
      <w:pPr>
        <w:pStyle w:val="Recuodecorpodetexto"/>
        <w:tabs>
          <w:tab w:val="left" w:pos="142"/>
        </w:tabs>
        <w:spacing w:line="360" w:lineRule="auto"/>
        <w:ind w:firstLine="0"/>
        <w:rPr>
          <w:rFonts w:ascii="Calibri" w:hAnsi="Calibri" w:cs="Arial"/>
          <w:szCs w:val="24"/>
        </w:rPr>
      </w:pPr>
      <w:proofErr w:type="spellStart"/>
      <w:r w:rsidRPr="005B09F6">
        <w:rPr>
          <w:rFonts w:ascii="Calibri" w:hAnsi="Calibri" w:cs="Arial"/>
          <w:szCs w:val="24"/>
        </w:rPr>
        <w:t>Tc</w:t>
      </w:r>
      <w:proofErr w:type="spellEnd"/>
      <w:r w:rsidRPr="005B09F6">
        <w:rPr>
          <w:rFonts w:ascii="Calibri" w:hAnsi="Calibri" w:cs="Arial"/>
          <w:szCs w:val="24"/>
        </w:rPr>
        <w:t xml:space="preserve"> = tempo de contribuição até o momento da aposentadoria;</w:t>
      </w:r>
    </w:p>
    <w:p w:rsidR="00D15731" w:rsidRPr="005B09F6" w:rsidRDefault="00D15731" w:rsidP="00E341F3">
      <w:pPr>
        <w:pStyle w:val="Recuodecorpodetexto"/>
        <w:tabs>
          <w:tab w:val="left" w:pos="142"/>
        </w:tabs>
        <w:spacing w:line="360" w:lineRule="auto"/>
        <w:ind w:firstLine="0"/>
        <w:rPr>
          <w:rFonts w:ascii="Calibri" w:hAnsi="Calibri" w:cs="Arial"/>
          <w:szCs w:val="24"/>
        </w:rPr>
      </w:pPr>
      <w:r w:rsidRPr="005B09F6">
        <w:rPr>
          <w:rFonts w:ascii="Calibri" w:hAnsi="Calibri" w:cs="Arial"/>
          <w:szCs w:val="24"/>
        </w:rPr>
        <w:t>Id = idade no momento da aposentadoria;</w:t>
      </w:r>
    </w:p>
    <w:p w:rsidR="00D15731" w:rsidRPr="005B09F6" w:rsidRDefault="00D15731" w:rsidP="00E341F3">
      <w:pPr>
        <w:pStyle w:val="Recuodecorpodetexto"/>
        <w:tabs>
          <w:tab w:val="left" w:pos="142"/>
        </w:tabs>
        <w:spacing w:line="360" w:lineRule="auto"/>
        <w:ind w:firstLine="0"/>
        <w:rPr>
          <w:rFonts w:ascii="Calibri" w:hAnsi="Calibri" w:cs="Arial"/>
          <w:szCs w:val="24"/>
        </w:rPr>
      </w:pPr>
      <w:proofErr w:type="gramStart"/>
      <w:r w:rsidRPr="005B09F6">
        <w:rPr>
          <w:rFonts w:ascii="Calibri" w:hAnsi="Calibri" w:cs="Arial"/>
          <w:szCs w:val="24"/>
        </w:rPr>
        <w:t>a</w:t>
      </w:r>
      <w:proofErr w:type="gramEnd"/>
      <w:r w:rsidRPr="005B09F6">
        <w:rPr>
          <w:rFonts w:ascii="Calibri" w:hAnsi="Calibri" w:cs="Arial"/>
          <w:szCs w:val="24"/>
        </w:rPr>
        <w:t xml:space="preserve"> = alíquota de contribuição correspondente a 0,31.</w:t>
      </w:r>
    </w:p>
    <w:p w:rsidR="00D15731" w:rsidRPr="005B09F6" w:rsidRDefault="00D15731" w:rsidP="00E341F3">
      <w:pPr>
        <w:pStyle w:val="Recuodecorpodetexto"/>
        <w:tabs>
          <w:tab w:val="left" w:pos="142"/>
        </w:tabs>
        <w:spacing w:before="240" w:after="240" w:line="360" w:lineRule="auto"/>
        <w:ind w:firstLine="0"/>
        <w:rPr>
          <w:rFonts w:ascii="Calibri" w:hAnsi="Calibri" w:cs="Arial"/>
          <w:szCs w:val="24"/>
        </w:rPr>
      </w:pPr>
      <w:r w:rsidRPr="005B09F6">
        <w:rPr>
          <w:rFonts w:ascii="Calibri" w:hAnsi="Calibri" w:cs="Arial"/>
          <w:szCs w:val="24"/>
        </w:rPr>
        <w:t xml:space="preserve">Para efeito da aplicação do fator previdenciário, ao tempo de contribuição do segurado é adicionado: </w:t>
      </w:r>
    </w:p>
    <w:p w:rsidR="00D15731" w:rsidRPr="005B09F6" w:rsidRDefault="00D15731" w:rsidP="00E341F3">
      <w:pPr>
        <w:numPr>
          <w:ilvl w:val="0"/>
          <w:numId w:val="3"/>
        </w:numPr>
        <w:tabs>
          <w:tab w:val="clear" w:pos="360"/>
          <w:tab w:val="left" w:pos="142"/>
          <w:tab w:val="num" w:pos="180"/>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cinco</w:t>
      </w:r>
      <w:proofErr w:type="gramEnd"/>
      <w:r w:rsidRPr="005B09F6">
        <w:rPr>
          <w:rFonts w:ascii="Calibri" w:hAnsi="Calibri" w:cs="Arial"/>
          <w:sz w:val="24"/>
          <w:szCs w:val="24"/>
        </w:rPr>
        <w:t xml:space="preserve"> anos, quando se tratar de mulher; </w:t>
      </w:r>
    </w:p>
    <w:p w:rsidR="00D15731" w:rsidRPr="005B09F6" w:rsidRDefault="00D15731" w:rsidP="00E341F3">
      <w:pPr>
        <w:numPr>
          <w:ilvl w:val="0"/>
          <w:numId w:val="3"/>
        </w:numPr>
        <w:tabs>
          <w:tab w:val="clear" w:pos="360"/>
          <w:tab w:val="left" w:pos="142"/>
          <w:tab w:val="num" w:pos="180"/>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cinco</w:t>
      </w:r>
      <w:proofErr w:type="gramEnd"/>
      <w:r w:rsidRPr="005B09F6">
        <w:rPr>
          <w:rFonts w:ascii="Calibri" w:hAnsi="Calibri" w:cs="Arial"/>
          <w:sz w:val="24"/>
          <w:szCs w:val="24"/>
        </w:rPr>
        <w:t xml:space="preserve"> anos, quando se tratar de professor que comprove exclusivamente tempo de efetivo exercício das funções de magistério na educação infantil e no ensino fundamental e médio; </w:t>
      </w:r>
    </w:p>
    <w:p w:rsidR="00D15731" w:rsidRPr="005B09F6" w:rsidRDefault="00D15731" w:rsidP="00E341F3">
      <w:pPr>
        <w:numPr>
          <w:ilvl w:val="0"/>
          <w:numId w:val="3"/>
        </w:numPr>
        <w:tabs>
          <w:tab w:val="clear" w:pos="360"/>
          <w:tab w:val="left" w:pos="142"/>
          <w:tab w:val="num" w:pos="180"/>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dez</w:t>
      </w:r>
      <w:proofErr w:type="gramEnd"/>
      <w:r w:rsidRPr="005B09F6">
        <w:rPr>
          <w:rFonts w:ascii="Calibri" w:hAnsi="Calibri" w:cs="Arial"/>
          <w:sz w:val="24"/>
          <w:szCs w:val="24"/>
        </w:rPr>
        <w:t xml:space="preserve"> anos, quando se tratar de professora que comprove exclusivamente tempo de efetivo exercício das funções de magistério na educação infantil e no ensino fundamental e médio.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Todos os benefícios do RGPS sujeitam-se ao limite mínimo de 1 (um) salário mínimo e ao limite máximo do salário-de-contribuição, à exceção do salário-maternidade, que não se sujeita a limite máximo, e ao salário-família e auxílio-acidente, que não se sujeitam ao limite mínimo.</w:t>
      </w:r>
    </w:p>
    <w:p w:rsidR="00D15731" w:rsidRPr="005B09F6" w:rsidRDefault="00D15731" w:rsidP="0079121C">
      <w:pPr>
        <w:pStyle w:val="Ttulo2"/>
        <w:rPr>
          <w:rFonts w:ascii="Calibri" w:hAnsi="Calibri"/>
          <w:sz w:val="24"/>
          <w:szCs w:val="24"/>
        </w:rPr>
      </w:pPr>
      <w:bookmarkStart w:id="18" w:name="_Toc511311196"/>
      <w:bookmarkStart w:id="19" w:name="_Toc511311221"/>
      <w:bookmarkStart w:id="20" w:name="_Toc511460476"/>
      <w:bookmarkStart w:id="21" w:name="_Toc4303266"/>
      <w:bookmarkStart w:id="22" w:name="_Toc4831142"/>
      <w:bookmarkStart w:id="23" w:name="_Toc4831212"/>
      <w:bookmarkStart w:id="24" w:name="_Toc479081333"/>
      <w:r w:rsidRPr="005B09F6">
        <w:rPr>
          <w:rFonts w:ascii="Calibri" w:hAnsi="Calibri"/>
          <w:sz w:val="24"/>
          <w:szCs w:val="24"/>
        </w:rPr>
        <w:t>2.1</w:t>
      </w:r>
      <w:r w:rsidRPr="005B09F6">
        <w:rPr>
          <w:rFonts w:ascii="Calibri" w:hAnsi="Calibri"/>
          <w:sz w:val="24"/>
          <w:szCs w:val="24"/>
        </w:rPr>
        <w:tab/>
        <w:t>Aposentadoria por Idade</w:t>
      </w:r>
      <w:bookmarkEnd w:id="18"/>
      <w:bookmarkEnd w:id="19"/>
      <w:bookmarkEnd w:id="20"/>
      <w:bookmarkEnd w:id="21"/>
      <w:bookmarkEnd w:id="22"/>
      <w:bookmarkEnd w:id="23"/>
      <w:bookmarkEnd w:id="24"/>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2E5E4A"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xml:space="preserve">: 70% do salário-de-benefício, mais 1% deste por grupo de 12 contribuições, não podendo ultrapassar 100% do salário-de-benefício.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 segurado especial, o valor da aposentadoria é de um salário mínimo. Caso o segurado especial opte por contribuir facultativamente, o valor do benefício será calculado como o dos demais segurados. Na aposentadoria por idade a aplicação do fator previdenciário é facultativa.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xml:space="preserve"> 60 anos de idade, se do sexo feminino, e 65 anos, se do masculino, reduzida em </w:t>
      </w:r>
      <w:r w:rsidR="00AE2CC0" w:rsidRPr="005B09F6">
        <w:rPr>
          <w:rFonts w:ascii="Calibri" w:hAnsi="Calibri" w:cs="Arial"/>
          <w:szCs w:val="24"/>
        </w:rPr>
        <w:t xml:space="preserve">cinco </w:t>
      </w:r>
      <w:r w:rsidRPr="005B09F6">
        <w:rPr>
          <w:rFonts w:ascii="Calibri" w:hAnsi="Calibri" w:cs="Arial"/>
          <w:szCs w:val="24"/>
        </w:rPr>
        <w:t>anos para os trabalhadores rurais.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A aposentadoria por idade é compulsória aos 70 anos para o homem e 65 anos para a mulher, desde que requerida pela empresa e cumprido o prazo de carência.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os inscritos a partir de 24/07/91, a carência para habilitação ao benefício é de 180 contribuições mensais.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Os inscritos até 24/07/91 </w:t>
      </w:r>
      <w:r w:rsidR="00F87273" w:rsidRPr="005B09F6">
        <w:rPr>
          <w:rFonts w:ascii="Calibri" w:hAnsi="Calibri" w:cs="Arial"/>
          <w:szCs w:val="24"/>
        </w:rPr>
        <w:t xml:space="preserve">obedeceram </w:t>
      </w:r>
      <w:r w:rsidRPr="005B09F6">
        <w:rPr>
          <w:rFonts w:ascii="Calibri" w:hAnsi="Calibri" w:cs="Arial"/>
          <w:szCs w:val="24"/>
        </w:rPr>
        <w:t xml:space="preserve">à </w:t>
      </w:r>
      <w:hyperlink r:id="rId16" w:anchor="tabela" w:history="1">
        <w:r w:rsidRPr="005B09F6">
          <w:rPr>
            <w:rFonts w:ascii="Calibri" w:hAnsi="Calibri" w:cs="Arial"/>
            <w:szCs w:val="24"/>
          </w:rPr>
          <w:t>t</w:t>
        </w:r>
      </w:hyperlink>
      <w:r w:rsidRPr="005B09F6">
        <w:rPr>
          <w:rFonts w:ascii="Calibri" w:hAnsi="Calibri" w:cs="Arial"/>
          <w:szCs w:val="24"/>
        </w:rPr>
        <w:t>abela progressiva de carência a seguir</w:t>
      </w:r>
      <w:r w:rsidR="002562EB" w:rsidRPr="005B09F6">
        <w:rPr>
          <w:rFonts w:ascii="Calibri" w:hAnsi="Calibri" w:cs="Arial"/>
          <w:szCs w:val="24"/>
        </w:rPr>
        <w:t xml:space="preserve">, sendo que a partir de </w:t>
      </w:r>
      <w:smartTag w:uri="urn:schemas-microsoft-com:office:smarttags" w:element="metricconverter">
        <w:smartTagPr>
          <w:attr w:name="ProductID" w:val="2011 a"/>
        </w:smartTagPr>
        <w:r w:rsidR="002562EB" w:rsidRPr="005B09F6">
          <w:rPr>
            <w:rFonts w:ascii="Calibri" w:hAnsi="Calibri" w:cs="Arial"/>
            <w:szCs w:val="24"/>
          </w:rPr>
          <w:t>2011 a</w:t>
        </w:r>
      </w:smartTag>
      <w:r w:rsidR="002562EB" w:rsidRPr="005B09F6">
        <w:rPr>
          <w:rFonts w:ascii="Calibri" w:hAnsi="Calibri" w:cs="Arial"/>
          <w:szCs w:val="24"/>
        </w:rPr>
        <w:t xml:space="preserve"> carência </w:t>
      </w:r>
      <w:r w:rsidR="00F87273" w:rsidRPr="005B09F6">
        <w:rPr>
          <w:rFonts w:ascii="Calibri" w:hAnsi="Calibri" w:cs="Arial"/>
          <w:szCs w:val="24"/>
        </w:rPr>
        <w:t xml:space="preserve">passou </w:t>
      </w:r>
      <w:r w:rsidR="002562EB" w:rsidRPr="005B09F6">
        <w:rPr>
          <w:rFonts w:ascii="Calibri" w:hAnsi="Calibri" w:cs="Arial"/>
          <w:szCs w:val="24"/>
        </w:rPr>
        <w:t>a ser de 180 contribuições.</w:t>
      </w:r>
    </w:p>
    <w:p w:rsidR="00D15731" w:rsidRPr="005B09F6" w:rsidRDefault="005C70D4" w:rsidP="00E341F3">
      <w:pPr>
        <w:pStyle w:val="xl24"/>
        <w:tabs>
          <w:tab w:val="left" w:pos="142"/>
        </w:tabs>
        <w:spacing w:before="0" w:beforeAutospacing="0" w:after="0" w:afterAutospacing="0" w:line="360" w:lineRule="auto"/>
        <w:rPr>
          <w:rFonts w:ascii="Calibri" w:hAnsi="Calibri" w:cs="Arial"/>
          <w:b/>
          <w:bCs/>
          <w:lang w:eastAsia="en-US"/>
        </w:rPr>
      </w:pPr>
      <w:r w:rsidRPr="005B09F6">
        <w:rPr>
          <w:rFonts w:ascii="Calibri" w:hAnsi="Calibri" w:cs="Arial"/>
          <w:b/>
          <w:bCs/>
          <w:lang w:eastAsia="en-US"/>
        </w:rPr>
        <w:t>Tabela Progressiva de Carência</w:t>
      </w:r>
    </w:p>
    <w:tbl>
      <w:tblPr>
        <w:tblW w:w="0" w:type="auto"/>
        <w:jc w:val="center"/>
        <w:tblBorders>
          <w:top w:val="double" w:sz="4" w:space="0" w:color="008000"/>
          <w:bottom w:val="double" w:sz="4" w:space="0" w:color="008000"/>
        </w:tblBorders>
        <w:tblLayout w:type="fixed"/>
        <w:tblCellMar>
          <w:left w:w="22" w:type="dxa"/>
          <w:right w:w="22" w:type="dxa"/>
        </w:tblCellMar>
        <w:tblLook w:val="0000" w:firstRow="0" w:lastRow="0" w:firstColumn="0" w:lastColumn="0" w:noHBand="0" w:noVBand="0"/>
      </w:tblPr>
      <w:tblGrid>
        <w:gridCol w:w="3686"/>
        <w:gridCol w:w="2901"/>
      </w:tblGrid>
      <w:tr w:rsidR="00D15731" w:rsidRPr="005B09F6" w:rsidTr="000E05CD">
        <w:trPr>
          <w:trHeight w:hRule="exact" w:val="621"/>
          <w:jc w:val="center"/>
        </w:trPr>
        <w:tc>
          <w:tcPr>
            <w:tcW w:w="3686" w:type="dxa"/>
            <w:tcBorders>
              <w:top w:val="single" w:sz="4" w:space="0" w:color="auto"/>
              <w:bottom w:val="single" w:sz="4" w:space="0" w:color="auto"/>
            </w:tcBorders>
            <w:vAlign w:val="center"/>
          </w:tcPr>
          <w:p w:rsidR="00E341F3" w:rsidRPr="005B09F6" w:rsidRDefault="00D15731" w:rsidP="000E05CD">
            <w:pPr>
              <w:tabs>
                <w:tab w:val="left" w:pos="142"/>
              </w:tabs>
              <w:jc w:val="center"/>
              <w:rPr>
                <w:rFonts w:ascii="Calibri" w:hAnsi="Calibri" w:cs="Arial"/>
                <w:sz w:val="24"/>
                <w:szCs w:val="24"/>
              </w:rPr>
            </w:pPr>
            <w:r w:rsidRPr="005B09F6">
              <w:rPr>
                <w:rFonts w:ascii="Calibri" w:hAnsi="Calibri" w:cs="Arial"/>
                <w:b/>
                <w:sz w:val="24"/>
                <w:szCs w:val="24"/>
              </w:rPr>
              <w:t>An</w:t>
            </w:r>
            <w:r w:rsidR="000E05CD" w:rsidRPr="005B09F6">
              <w:rPr>
                <w:rFonts w:ascii="Calibri" w:hAnsi="Calibri" w:cs="Arial"/>
                <w:b/>
                <w:sz w:val="24"/>
                <w:szCs w:val="24"/>
              </w:rPr>
              <w:t>o de implementação das condições</w:t>
            </w:r>
          </w:p>
        </w:tc>
        <w:tc>
          <w:tcPr>
            <w:tcW w:w="2901" w:type="dxa"/>
            <w:tcBorders>
              <w:top w:val="single" w:sz="4" w:space="0" w:color="auto"/>
              <w:bottom w:val="single" w:sz="4" w:space="0" w:color="auto"/>
            </w:tcBorders>
            <w:vAlign w:val="center"/>
          </w:tcPr>
          <w:p w:rsidR="00D15731" w:rsidRPr="005B09F6" w:rsidRDefault="00D15731" w:rsidP="000E05CD">
            <w:pPr>
              <w:tabs>
                <w:tab w:val="left" w:pos="142"/>
              </w:tabs>
              <w:jc w:val="center"/>
              <w:rPr>
                <w:rFonts w:ascii="Calibri" w:hAnsi="Calibri" w:cs="Arial"/>
                <w:b/>
                <w:sz w:val="24"/>
                <w:szCs w:val="24"/>
              </w:rPr>
            </w:pPr>
            <w:r w:rsidRPr="005B09F6">
              <w:rPr>
                <w:rFonts w:ascii="Calibri" w:hAnsi="Calibri" w:cs="Arial"/>
                <w:b/>
                <w:sz w:val="24"/>
                <w:szCs w:val="24"/>
              </w:rPr>
              <w:t xml:space="preserve">Meses de contribuição exigidos </w:t>
            </w:r>
          </w:p>
        </w:tc>
      </w:tr>
      <w:tr w:rsidR="00D15731" w:rsidRPr="005B09F6" w:rsidTr="000E05CD">
        <w:trPr>
          <w:trHeight w:hRule="exact" w:val="397"/>
          <w:jc w:val="center"/>
        </w:trPr>
        <w:tc>
          <w:tcPr>
            <w:tcW w:w="3686" w:type="dxa"/>
            <w:tcBorders>
              <w:top w:val="single" w:sz="4" w:space="0" w:color="auto"/>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2001 </w:t>
            </w:r>
          </w:p>
        </w:tc>
        <w:tc>
          <w:tcPr>
            <w:tcW w:w="2901" w:type="dxa"/>
            <w:tcBorders>
              <w:top w:val="single" w:sz="4" w:space="0" w:color="auto"/>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120 meses </w:t>
            </w:r>
          </w:p>
        </w:tc>
      </w:tr>
      <w:tr w:rsidR="00D15731" w:rsidRPr="005B09F6" w:rsidTr="000E05CD">
        <w:trPr>
          <w:trHeight w:hRule="exact" w:val="397"/>
          <w:jc w:val="center"/>
        </w:trPr>
        <w:tc>
          <w:tcPr>
            <w:tcW w:w="3686" w:type="dxa"/>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2002 </w:t>
            </w:r>
          </w:p>
        </w:tc>
        <w:tc>
          <w:tcPr>
            <w:tcW w:w="2901" w:type="dxa"/>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126 meses </w:t>
            </w:r>
          </w:p>
        </w:tc>
      </w:tr>
      <w:tr w:rsidR="00D15731" w:rsidRPr="005B09F6" w:rsidTr="000E05CD">
        <w:trPr>
          <w:trHeight w:hRule="exact" w:val="397"/>
          <w:jc w:val="center"/>
        </w:trPr>
        <w:tc>
          <w:tcPr>
            <w:tcW w:w="3686" w:type="dxa"/>
            <w:tcBorders>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2003 </w:t>
            </w:r>
          </w:p>
        </w:tc>
        <w:tc>
          <w:tcPr>
            <w:tcW w:w="2901" w:type="dxa"/>
            <w:tcBorders>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132 meses </w:t>
            </w:r>
          </w:p>
        </w:tc>
      </w:tr>
      <w:tr w:rsidR="00D15731" w:rsidRPr="005B09F6" w:rsidTr="000E05CD">
        <w:trPr>
          <w:trHeight w:hRule="exact" w:val="397"/>
          <w:jc w:val="center"/>
        </w:trPr>
        <w:tc>
          <w:tcPr>
            <w:tcW w:w="3686"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2004 </w:t>
            </w:r>
          </w:p>
        </w:tc>
        <w:tc>
          <w:tcPr>
            <w:tcW w:w="2901"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138 meses </w:t>
            </w:r>
          </w:p>
        </w:tc>
      </w:tr>
      <w:tr w:rsidR="00D15731" w:rsidRPr="005B09F6" w:rsidTr="000E05CD">
        <w:trPr>
          <w:trHeight w:hRule="exact" w:val="397"/>
          <w:jc w:val="center"/>
        </w:trPr>
        <w:tc>
          <w:tcPr>
            <w:tcW w:w="3686"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2005 </w:t>
            </w:r>
          </w:p>
        </w:tc>
        <w:tc>
          <w:tcPr>
            <w:tcW w:w="2901"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144 meses </w:t>
            </w:r>
          </w:p>
        </w:tc>
      </w:tr>
      <w:tr w:rsidR="00D15731" w:rsidRPr="005B09F6" w:rsidTr="000E05CD">
        <w:trPr>
          <w:trHeight w:hRule="exact" w:val="397"/>
          <w:jc w:val="center"/>
        </w:trPr>
        <w:tc>
          <w:tcPr>
            <w:tcW w:w="3686"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2006 </w:t>
            </w:r>
          </w:p>
        </w:tc>
        <w:tc>
          <w:tcPr>
            <w:tcW w:w="2901"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150 meses </w:t>
            </w:r>
          </w:p>
        </w:tc>
      </w:tr>
      <w:tr w:rsidR="00D15731" w:rsidRPr="005B09F6" w:rsidTr="000E05CD">
        <w:trPr>
          <w:trHeight w:hRule="exact" w:val="397"/>
          <w:jc w:val="center"/>
        </w:trPr>
        <w:tc>
          <w:tcPr>
            <w:tcW w:w="3686"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2007 </w:t>
            </w:r>
          </w:p>
        </w:tc>
        <w:tc>
          <w:tcPr>
            <w:tcW w:w="2901"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156 meses </w:t>
            </w:r>
          </w:p>
        </w:tc>
      </w:tr>
      <w:tr w:rsidR="00D15731" w:rsidRPr="005B09F6" w:rsidTr="000E05CD">
        <w:trPr>
          <w:trHeight w:hRule="exact" w:val="397"/>
          <w:jc w:val="center"/>
        </w:trPr>
        <w:tc>
          <w:tcPr>
            <w:tcW w:w="3686" w:type="dxa"/>
            <w:tcBorders>
              <w:top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2008 </w:t>
            </w:r>
          </w:p>
        </w:tc>
        <w:tc>
          <w:tcPr>
            <w:tcW w:w="2901" w:type="dxa"/>
            <w:tcBorders>
              <w:top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162 meses </w:t>
            </w:r>
          </w:p>
        </w:tc>
      </w:tr>
      <w:tr w:rsidR="00D15731" w:rsidRPr="005B09F6" w:rsidTr="000E05CD">
        <w:trPr>
          <w:trHeight w:hRule="exact" w:val="397"/>
          <w:jc w:val="center"/>
        </w:trPr>
        <w:tc>
          <w:tcPr>
            <w:tcW w:w="3686" w:type="dxa"/>
            <w:tcBorders>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2009 </w:t>
            </w:r>
          </w:p>
        </w:tc>
        <w:tc>
          <w:tcPr>
            <w:tcW w:w="2901" w:type="dxa"/>
            <w:tcBorders>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168 meses </w:t>
            </w:r>
          </w:p>
        </w:tc>
      </w:tr>
      <w:tr w:rsidR="00D15731" w:rsidRPr="005B09F6" w:rsidTr="000E05CD">
        <w:trPr>
          <w:trHeight w:hRule="exact" w:val="397"/>
          <w:jc w:val="center"/>
        </w:trPr>
        <w:tc>
          <w:tcPr>
            <w:tcW w:w="3686"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2010 </w:t>
            </w:r>
          </w:p>
        </w:tc>
        <w:tc>
          <w:tcPr>
            <w:tcW w:w="2901" w:type="dxa"/>
            <w:tcBorders>
              <w:top w:val="nil"/>
              <w:bottom w:val="nil"/>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174 meses </w:t>
            </w:r>
          </w:p>
        </w:tc>
      </w:tr>
      <w:tr w:rsidR="00D15731" w:rsidRPr="005B09F6" w:rsidTr="000E05CD">
        <w:trPr>
          <w:trHeight w:hRule="exact" w:val="397"/>
          <w:jc w:val="center"/>
        </w:trPr>
        <w:tc>
          <w:tcPr>
            <w:tcW w:w="3686" w:type="dxa"/>
            <w:tcBorders>
              <w:top w:val="nil"/>
              <w:bottom w:val="single" w:sz="4" w:space="0" w:color="auto"/>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2011 </w:t>
            </w:r>
          </w:p>
        </w:tc>
        <w:tc>
          <w:tcPr>
            <w:tcW w:w="2901" w:type="dxa"/>
            <w:tcBorders>
              <w:top w:val="nil"/>
              <w:bottom w:val="single" w:sz="4" w:space="0" w:color="auto"/>
            </w:tcBorders>
            <w:vAlign w:val="center"/>
          </w:tcPr>
          <w:p w:rsidR="00D15731" w:rsidRPr="005B09F6" w:rsidRDefault="00D15731" w:rsidP="000E05CD">
            <w:pPr>
              <w:tabs>
                <w:tab w:val="left" w:pos="142"/>
              </w:tabs>
              <w:jc w:val="center"/>
              <w:rPr>
                <w:rFonts w:ascii="Calibri" w:hAnsi="Calibri" w:cs="Arial"/>
                <w:sz w:val="24"/>
                <w:szCs w:val="24"/>
              </w:rPr>
            </w:pPr>
            <w:r w:rsidRPr="005B09F6">
              <w:rPr>
                <w:rFonts w:ascii="Calibri" w:hAnsi="Calibri" w:cs="Arial"/>
                <w:sz w:val="24"/>
                <w:szCs w:val="24"/>
              </w:rPr>
              <w:t xml:space="preserve">180 meses </w:t>
            </w:r>
          </w:p>
        </w:tc>
      </w:tr>
    </w:tbl>
    <w:p w:rsidR="00D15731" w:rsidRPr="005B09F6" w:rsidRDefault="00D15731" w:rsidP="0094215C">
      <w:pPr>
        <w:tabs>
          <w:tab w:val="left" w:pos="142"/>
        </w:tabs>
        <w:spacing w:before="120" w:after="240" w:line="360" w:lineRule="auto"/>
        <w:ind w:left="1843"/>
        <w:rPr>
          <w:rFonts w:ascii="Calibri" w:hAnsi="Calibri" w:cs="Arial"/>
          <w:sz w:val="24"/>
          <w:szCs w:val="24"/>
        </w:rPr>
      </w:pPr>
      <w:r w:rsidRPr="005B09F6">
        <w:rPr>
          <w:rFonts w:ascii="Calibri" w:hAnsi="Calibri" w:cs="Arial"/>
          <w:sz w:val="24"/>
          <w:szCs w:val="24"/>
        </w:rPr>
        <w:t xml:space="preserve">Fonte/Elaboração: </w:t>
      </w:r>
      <w:r w:rsidR="00C60326" w:rsidRPr="005B09F6">
        <w:rPr>
          <w:rFonts w:ascii="Calibri" w:hAnsi="Calibri" w:cs="Arial"/>
          <w:sz w:val="24"/>
          <w:szCs w:val="24"/>
        </w:rPr>
        <w:t>SPREV/MF</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morte do segurado com reversão em pensão por morte aos dependentes legalmente habilitados.</w:t>
      </w:r>
    </w:p>
    <w:p w:rsidR="00D15731" w:rsidRPr="005B09F6" w:rsidRDefault="00D15731" w:rsidP="0079121C">
      <w:pPr>
        <w:pStyle w:val="Ttulo2"/>
        <w:rPr>
          <w:rFonts w:ascii="Calibri" w:hAnsi="Calibri"/>
          <w:sz w:val="24"/>
          <w:szCs w:val="24"/>
        </w:rPr>
      </w:pPr>
      <w:bookmarkStart w:id="25" w:name="_Toc511311197"/>
      <w:bookmarkStart w:id="26" w:name="_Toc511311222"/>
      <w:bookmarkStart w:id="27" w:name="_Toc511460477"/>
      <w:bookmarkStart w:id="28" w:name="_Toc4303267"/>
      <w:bookmarkStart w:id="29" w:name="_Toc4831143"/>
      <w:bookmarkStart w:id="30" w:name="_Toc4831213"/>
      <w:bookmarkStart w:id="31" w:name="_Toc479081334"/>
      <w:r w:rsidRPr="005B09F6">
        <w:rPr>
          <w:rFonts w:ascii="Calibri" w:hAnsi="Calibri"/>
          <w:sz w:val="24"/>
          <w:szCs w:val="24"/>
        </w:rPr>
        <w:t>2.2</w:t>
      </w:r>
      <w:r w:rsidRPr="005B09F6">
        <w:rPr>
          <w:rFonts w:ascii="Calibri" w:hAnsi="Calibri"/>
          <w:sz w:val="24"/>
          <w:szCs w:val="24"/>
        </w:rPr>
        <w:tab/>
        <w:t>Aposentadoria por tempo de contribuição</w:t>
      </w:r>
      <w:bookmarkEnd w:id="25"/>
      <w:bookmarkEnd w:id="26"/>
      <w:bookmarkEnd w:id="27"/>
      <w:bookmarkEnd w:id="28"/>
      <w:bookmarkEnd w:id="29"/>
      <w:bookmarkEnd w:id="30"/>
      <w:bookmarkEnd w:id="31"/>
    </w:p>
    <w:p w:rsidR="00D15731" w:rsidRPr="005B09F6" w:rsidRDefault="00D15731" w:rsidP="00E341F3">
      <w:pPr>
        <w:pStyle w:val="Recuodecorpodetexto"/>
        <w:tabs>
          <w:tab w:val="left" w:pos="142"/>
        </w:tabs>
        <w:spacing w:after="240" w:line="360" w:lineRule="auto"/>
        <w:ind w:firstLine="0"/>
        <w:rPr>
          <w:rFonts w:ascii="Calibri" w:hAnsi="Calibri" w:cs="Arial"/>
          <w:b/>
          <w:szCs w:val="24"/>
        </w:rPr>
      </w:pPr>
      <w:r w:rsidRPr="005B09F6">
        <w:rPr>
          <w:rFonts w:ascii="Calibri" w:hAnsi="Calibri" w:cs="Arial"/>
          <w:b/>
          <w:szCs w:val="24"/>
        </w:rPr>
        <w:t>Fórmula do</w:t>
      </w:r>
      <w:r w:rsidR="002E5E4A" w:rsidRPr="005B09F6">
        <w:rPr>
          <w:rFonts w:ascii="Calibri" w:hAnsi="Calibri" w:cs="Arial"/>
          <w:b/>
          <w:szCs w:val="24"/>
        </w:rPr>
        <w:t xml:space="preserve"> valor do </w:t>
      </w:r>
      <w:r w:rsidRPr="005B09F6">
        <w:rPr>
          <w:rFonts w:ascii="Calibri" w:hAnsi="Calibri" w:cs="Arial"/>
          <w:b/>
          <w:szCs w:val="24"/>
        </w:rPr>
        <w:t xml:space="preserve">benefício: </w:t>
      </w:r>
    </w:p>
    <w:p w:rsidR="00D15731" w:rsidRPr="005B09F6" w:rsidRDefault="00D15731" w:rsidP="00E341F3">
      <w:pPr>
        <w:numPr>
          <w:ilvl w:val="0"/>
          <w:numId w:val="4"/>
        </w:numPr>
        <w:tabs>
          <w:tab w:val="clear" w:pos="360"/>
          <w:tab w:val="left" w:pos="142"/>
          <w:tab w:val="num" w:pos="1843"/>
        </w:tabs>
        <w:spacing w:after="240" w:line="360" w:lineRule="auto"/>
        <w:ind w:left="0" w:firstLine="0"/>
        <w:jc w:val="both"/>
        <w:rPr>
          <w:rFonts w:ascii="Calibri" w:hAnsi="Calibri" w:cs="Arial"/>
          <w:sz w:val="24"/>
          <w:szCs w:val="24"/>
        </w:rPr>
      </w:pPr>
      <w:r w:rsidRPr="005B09F6">
        <w:rPr>
          <w:rFonts w:ascii="Calibri" w:hAnsi="Calibri" w:cs="Arial"/>
          <w:sz w:val="24"/>
          <w:szCs w:val="24"/>
        </w:rPr>
        <w:t>Integral: 100% do salário-de-benefício</w:t>
      </w:r>
      <w:r w:rsidR="0047645C" w:rsidRPr="005B09F6">
        <w:rPr>
          <w:rFonts w:ascii="Calibri" w:hAnsi="Calibri" w:cs="Arial"/>
          <w:sz w:val="24"/>
          <w:szCs w:val="24"/>
        </w:rPr>
        <w:t>, multiplicado pelo fator previdenciário</w:t>
      </w:r>
      <w:r w:rsidR="000618C6" w:rsidRPr="005B09F6">
        <w:rPr>
          <w:rFonts w:ascii="Calibri" w:hAnsi="Calibri" w:cs="Arial"/>
          <w:sz w:val="24"/>
          <w:szCs w:val="24"/>
        </w:rPr>
        <w:t xml:space="preserve"> caso a soma da idade com o tempo de contribuição seja inferior a</w:t>
      </w:r>
      <w:r w:rsidR="00217A9B" w:rsidRPr="005B09F6">
        <w:rPr>
          <w:rFonts w:ascii="Calibri" w:hAnsi="Calibri" w:cs="Arial"/>
          <w:sz w:val="24"/>
          <w:szCs w:val="24"/>
        </w:rPr>
        <w:t>: a)</w:t>
      </w:r>
      <w:r w:rsidR="000618C6" w:rsidRPr="005B09F6">
        <w:rPr>
          <w:rFonts w:ascii="Calibri" w:hAnsi="Calibri" w:cs="Arial"/>
          <w:sz w:val="24"/>
          <w:szCs w:val="24"/>
        </w:rPr>
        <w:t xml:space="preserve"> 95 no caso dos homens ou 85 no caso das mulheres</w:t>
      </w:r>
      <w:r w:rsidR="00217A9B" w:rsidRPr="005B09F6">
        <w:rPr>
          <w:rFonts w:ascii="Calibri" w:hAnsi="Calibri" w:cs="Arial"/>
          <w:sz w:val="24"/>
          <w:szCs w:val="24"/>
        </w:rPr>
        <w:t xml:space="preserve"> para benefícios requeridos até 30 de dezembro de 2018; b) 96 no caso dos homens ou 86 no caso das mulheres para benefícios requeridos a partir de 31 de dezembro de 2018</w:t>
      </w:r>
      <w:r w:rsidR="0047645C" w:rsidRPr="005B09F6">
        <w:rPr>
          <w:rFonts w:ascii="Calibri" w:hAnsi="Calibri" w:cs="Arial"/>
          <w:sz w:val="24"/>
          <w:szCs w:val="24"/>
        </w:rPr>
        <w:t>.</w:t>
      </w:r>
    </w:p>
    <w:p w:rsidR="00D15731" w:rsidRPr="005B09F6" w:rsidRDefault="00D15731" w:rsidP="00537D72">
      <w:pPr>
        <w:numPr>
          <w:ilvl w:val="0"/>
          <w:numId w:val="4"/>
        </w:numPr>
        <w:tabs>
          <w:tab w:val="left" w:pos="142"/>
        </w:tabs>
        <w:spacing w:after="240" w:line="360" w:lineRule="auto"/>
        <w:jc w:val="both"/>
        <w:rPr>
          <w:rFonts w:ascii="Calibri" w:hAnsi="Calibri" w:cs="Arial"/>
          <w:sz w:val="24"/>
          <w:szCs w:val="24"/>
        </w:rPr>
      </w:pPr>
      <w:r w:rsidRPr="005B09F6">
        <w:rPr>
          <w:rFonts w:ascii="Calibri" w:hAnsi="Calibri" w:cs="Arial"/>
          <w:sz w:val="24"/>
          <w:szCs w:val="24"/>
        </w:rPr>
        <w:t xml:space="preserve">Proporcional: </w:t>
      </w:r>
      <w:r w:rsidR="00537D72" w:rsidRPr="005B09F6">
        <w:rPr>
          <w:rFonts w:ascii="Calibri" w:hAnsi="Calibri" w:cs="Arial"/>
          <w:sz w:val="24"/>
          <w:szCs w:val="24"/>
        </w:rPr>
        <w:t>extinta com a Emenda Constitucional nº 20, de 1998</w:t>
      </w:r>
      <w:r w:rsidR="00217A9B" w:rsidRPr="005B09F6">
        <w:rPr>
          <w:rFonts w:ascii="Calibri" w:hAnsi="Calibri" w:cs="Arial"/>
          <w:sz w:val="24"/>
          <w:szCs w:val="24"/>
        </w:rPr>
        <w:t>.</w:t>
      </w:r>
      <w:r w:rsidR="002B4B68" w:rsidRPr="005B09F6">
        <w:rPr>
          <w:rFonts w:ascii="Calibri" w:hAnsi="Calibri" w:cs="Arial"/>
          <w:sz w:val="24"/>
          <w:szCs w:val="24"/>
        </w:rPr>
        <w:t xml:space="preserve"> </w:t>
      </w:r>
    </w:p>
    <w:p w:rsidR="00D15731" w:rsidRPr="005B09F6" w:rsidRDefault="00D15731" w:rsidP="00E341F3">
      <w:pPr>
        <w:pStyle w:val="Recuodecorpodetexto"/>
        <w:tabs>
          <w:tab w:val="left" w:pos="142"/>
        </w:tabs>
        <w:spacing w:after="240" w:line="360" w:lineRule="auto"/>
        <w:ind w:firstLine="0"/>
        <w:rPr>
          <w:rFonts w:ascii="Calibri" w:hAnsi="Calibri" w:cs="Arial"/>
          <w:b/>
          <w:szCs w:val="24"/>
        </w:rPr>
      </w:pPr>
      <w:r w:rsidRPr="005B09F6">
        <w:rPr>
          <w:rFonts w:ascii="Calibri" w:hAnsi="Calibri" w:cs="Arial"/>
          <w:b/>
          <w:szCs w:val="24"/>
        </w:rPr>
        <w:t>Condições para habilitação:</w:t>
      </w:r>
    </w:p>
    <w:p w:rsidR="00D15731" w:rsidRPr="005B09F6" w:rsidRDefault="00D15731" w:rsidP="00537D72">
      <w:pPr>
        <w:tabs>
          <w:tab w:val="left" w:pos="142"/>
        </w:tabs>
        <w:spacing w:after="240" w:line="360" w:lineRule="auto"/>
        <w:jc w:val="both"/>
        <w:rPr>
          <w:rFonts w:ascii="Calibri" w:hAnsi="Calibri" w:cs="Arial"/>
          <w:sz w:val="24"/>
          <w:szCs w:val="24"/>
        </w:rPr>
      </w:pPr>
      <w:r w:rsidRPr="005B09F6">
        <w:rPr>
          <w:rFonts w:ascii="Calibri" w:hAnsi="Calibri" w:cs="Arial"/>
          <w:sz w:val="24"/>
          <w:szCs w:val="24"/>
        </w:rPr>
        <w:t>30 anos de tempo de contribuição, se segurado do sexo feminino, e 35 anos se do sexo masculino.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morte do segurado com reversão em pensão por morte aos dependentes legalmente habilitados.</w:t>
      </w:r>
    </w:p>
    <w:p w:rsidR="00D15731" w:rsidRPr="005B09F6" w:rsidRDefault="00D15731" w:rsidP="0079121C">
      <w:pPr>
        <w:pStyle w:val="Ttulo2"/>
        <w:rPr>
          <w:rFonts w:ascii="Calibri" w:hAnsi="Calibri"/>
          <w:sz w:val="24"/>
          <w:szCs w:val="24"/>
        </w:rPr>
      </w:pPr>
      <w:bookmarkStart w:id="32" w:name="_Toc511311198"/>
      <w:bookmarkStart w:id="33" w:name="_Toc511311223"/>
      <w:bookmarkStart w:id="34" w:name="_Toc511460478"/>
      <w:bookmarkStart w:id="35" w:name="_Toc4303268"/>
      <w:bookmarkStart w:id="36" w:name="_Toc4831144"/>
      <w:bookmarkStart w:id="37" w:name="_Toc4831214"/>
      <w:bookmarkStart w:id="38" w:name="_Toc479081335"/>
      <w:r w:rsidRPr="005B09F6">
        <w:rPr>
          <w:rFonts w:ascii="Calibri" w:hAnsi="Calibri"/>
          <w:sz w:val="24"/>
          <w:szCs w:val="24"/>
        </w:rPr>
        <w:t>2.3</w:t>
      </w:r>
      <w:r w:rsidR="00285E11" w:rsidRPr="005B09F6">
        <w:rPr>
          <w:rFonts w:ascii="Calibri" w:hAnsi="Calibri"/>
          <w:sz w:val="24"/>
          <w:szCs w:val="24"/>
        </w:rPr>
        <w:tab/>
      </w:r>
      <w:r w:rsidRPr="005B09F6">
        <w:rPr>
          <w:rFonts w:ascii="Calibri" w:hAnsi="Calibri"/>
          <w:sz w:val="24"/>
          <w:szCs w:val="24"/>
        </w:rPr>
        <w:t>Aposentadoria Especial</w:t>
      </w:r>
      <w:bookmarkEnd w:id="32"/>
      <w:bookmarkEnd w:id="33"/>
      <w:bookmarkEnd w:id="34"/>
      <w:bookmarkEnd w:id="35"/>
      <w:bookmarkEnd w:id="36"/>
      <w:bookmarkEnd w:id="37"/>
      <w:bookmarkEnd w:id="38"/>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xml:space="preserve">: 100% do salário-de-benefício.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xml:space="preserve">: comprovar o segurado que trabalhou sujeito a condições especiais que prejudiquem a saúde ou integridade física, durante 15, 20 ou 25 anos, conforme a atividade.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Quanto à carência, aplicam-se as mesmas regras destacadas no subitem 2.1.</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 segurado que tiver 60 anos, se do sexo feminino, e 65 anos, se do masculino, tem direito a se habilitar ao benefício de aposentadoria por idade, desde que cumprida a carência.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morte do segurado com reversão em pensão por morte aos dependentes legalmente habilitados.</w:t>
      </w:r>
    </w:p>
    <w:p w:rsidR="00D15731" w:rsidRPr="005B09F6" w:rsidRDefault="00D15731" w:rsidP="0079121C">
      <w:pPr>
        <w:pStyle w:val="Ttulo2"/>
        <w:rPr>
          <w:rFonts w:ascii="Calibri" w:hAnsi="Calibri"/>
          <w:sz w:val="24"/>
          <w:szCs w:val="24"/>
        </w:rPr>
      </w:pPr>
      <w:bookmarkStart w:id="39" w:name="_Toc511311199"/>
      <w:bookmarkStart w:id="40" w:name="_Toc511311224"/>
      <w:bookmarkStart w:id="41" w:name="_Toc511460479"/>
      <w:bookmarkStart w:id="42" w:name="_Toc4303269"/>
      <w:bookmarkStart w:id="43" w:name="_Toc4831145"/>
      <w:bookmarkStart w:id="44" w:name="_Toc4831215"/>
      <w:bookmarkStart w:id="45" w:name="_Toc479081336"/>
      <w:r w:rsidRPr="005B09F6">
        <w:rPr>
          <w:rFonts w:ascii="Calibri" w:hAnsi="Calibri"/>
          <w:sz w:val="24"/>
          <w:szCs w:val="24"/>
        </w:rPr>
        <w:t>2.4</w:t>
      </w:r>
      <w:r w:rsidRPr="005B09F6">
        <w:rPr>
          <w:rFonts w:ascii="Calibri" w:hAnsi="Calibri"/>
          <w:sz w:val="24"/>
          <w:szCs w:val="24"/>
        </w:rPr>
        <w:tab/>
        <w:t>Aposentadoria por Invalidez</w:t>
      </w:r>
      <w:bookmarkEnd w:id="39"/>
      <w:bookmarkEnd w:id="40"/>
      <w:bookmarkEnd w:id="41"/>
      <w:bookmarkEnd w:id="42"/>
      <w:bookmarkEnd w:id="43"/>
      <w:bookmarkEnd w:id="44"/>
      <w:bookmarkEnd w:id="45"/>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100% do salário-de-benefício. O segurado que necessitar de assistência permanente</w:t>
      </w:r>
      <w:r w:rsidR="00AE4FDD" w:rsidRPr="005B09F6">
        <w:rPr>
          <w:rFonts w:ascii="Calibri" w:hAnsi="Calibri" w:cs="Arial"/>
          <w:szCs w:val="24"/>
        </w:rPr>
        <w:t>,</w:t>
      </w:r>
      <w:r w:rsidR="00AE4FDD" w:rsidRPr="005B09F6">
        <w:rPr>
          <w:rFonts w:ascii="Calibri" w:hAnsi="Calibri" w:cs="Arial"/>
          <w:color w:val="FF0000"/>
          <w:szCs w:val="24"/>
        </w:rPr>
        <w:t xml:space="preserve"> </w:t>
      </w:r>
      <w:r w:rsidR="00AE4FDD" w:rsidRPr="005B09F6">
        <w:rPr>
          <w:rFonts w:ascii="Calibri" w:hAnsi="Calibri" w:cs="Arial"/>
          <w:szCs w:val="24"/>
        </w:rPr>
        <w:t>reconhecido pela perícia médica do INSS,</w:t>
      </w:r>
      <w:r w:rsidRPr="005B09F6">
        <w:rPr>
          <w:rFonts w:ascii="Calibri" w:hAnsi="Calibri" w:cs="Arial"/>
          <w:szCs w:val="24"/>
        </w:rPr>
        <w:t xml:space="preserve"> terá direito a um acréscimo de 25% no valor do seu benefício.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 segurado especial que não tenha optado por contribuir facultativamente, o valor será de um salário mínimo.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o segurado que for considerado inválido e insusceptível de reabilitação para o exercício de atividade que lhe garanta a subsistência tem direito a este benefício.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A carência exigida é de 12 (doze) contribuições mensais.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Em caso de aposentadoria por invalidez decorrente de acidente de trabalho ou de qualquer natureza, não é exigida carência.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Independe de carência a concessão deste benefício ao segurado que, após filiar-se ao RGPS, for acometido de tuberculose ativa, hanseníase, alienação mental, neoplasia maligna, cegueira, paralisia irreversível e incapacitante, cardiopatia grave, doença de Parkinson, espondiloartrose anquilosante, nefropatia grave, estado avançado de doença de Paget (osteíte deformante), </w:t>
      </w:r>
      <w:r w:rsidR="00B46866" w:rsidRPr="005B09F6">
        <w:rPr>
          <w:rFonts w:ascii="Calibri" w:hAnsi="Calibri" w:cs="Arial"/>
          <w:szCs w:val="24"/>
        </w:rPr>
        <w:t>S</w:t>
      </w:r>
      <w:r w:rsidRPr="005B09F6">
        <w:rPr>
          <w:rFonts w:ascii="Calibri" w:hAnsi="Calibri" w:cs="Arial"/>
          <w:szCs w:val="24"/>
        </w:rPr>
        <w:t xml:space="preserve">índrome da </w:t>
      </w:r>
      <w:r w:rsidR="00B46866" w:rsidRPr="005B09F6">
        <w:rPr>
          <w:rFonts w:ascii="Calibri" w:hAnsi="Calibri" w:cs="Arial"/>
          <w:szCs w:val="24"/>
        </w:rPr>
        <w:t>D</w:t>
      </w:r>
      <w:r w:rsidRPr="005B09F6">
        <w:rPr>
          <w:rFonts w:ascii="Calibri" w:hAnsi="Calibri" w:cs="Arial"/>
          <w:szCs w:val="24"/>
        </w:rPr>
        <w:t xml:space="preserve">eficiência </w:t>
      </w:r>
      <w:r w:rsidR="00B46866" w:rsidRPr="005B09F6">
        <w:rPr>
          <w:rFonts w:ascii="Calibri" w:hAnsi="Calibri" w:cs="Arial"/>
          <w:szCs w:val="24"/>
        </w:rPr>
        <w:t>I</w:t>
      </w:r>
      <w:r w:rsidRPr="005B09F6">
        <w:rPr>
          <w:rFonts w:ascii="Calibri" w:hAnsi="Calibri" w:cs="Arial"/>
          <w:szCs w:val="24"/>
        </w:rPr>
        <w:t xml:space="preserve">munológica </w:t>
      </w:r>
      <w:r w:rsidR="00B46866" w:rsidRPr="005B09F6">
        <w:rPr>
          <w:rFonts w:ascii="Calibri" w:hAnsi="Calibri" w:cs="Arial"/>
          <w:szCs w:val="24"/>
        </w:rPr>
        <w:t>A</w:t>
      </w:r>
      <w:r w:rsidRPr="005B09F6">
        <w:rPr>
          <w:rFonts w:ascii="Calibri" w:hAnsi="Calibri" w:cs="Arial"/>
          <w:szCs w:val="24"/>
        </w:rPr>
        <w:t>dquirida (</w:t>
      </w:r>
      <w:r w:rsidR="00B46866" w:rsidRPr="005B09F6">
        <w:rPr>
          <w:rFonts w:ascii="Calibri" w:hAnsi="Calibri" w:cs="Arial"/>
          <w:szCs w:val="24"/>
        </w:rPr>
        <w:t>SIDA</w:t>
      </w:r>
      <w:r w:rsidRPr="005B09F6">
        <w:rPr>
          <w:rFonts w:ascii="Calibri" w:hAnsi="Calibri" w:cs="Arial"/>
          <w:szCs w:val="24"/>
        </w:rPr>
        <w:t>), ou contaminação por radiação, com base em conclusão da medicina especializada.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Não é concedida aposentadoria por invalidez ao segurado que, ao filiar-se ao Regime Geral de Previdência Social, já era portador da doença ou da lesão que geraria o benefício, salvo quando a incapacidade decorreu de progressão ou agravamento dessa doença ou lesão.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morte do segurado, enquanto permanecer inválido, com reversão em pensão por morte aos dependentes legalmente habilitados.</w:t>
      </w:r>
    </w:p>
    <w:p w:rsidR="00D15731" w:rsidRPr="005B09F6" w:rsidRDefault="00D15731" w:rsidP="0079121C">
      <w:pPr>
        <w:pStyle w:val="Ttulo2"/>
        <w:rPr>
          <w:rFonts w:ascii="Calibri" w:hAnsi="Calibri"/>
          <w:sz w:val="24"/>
          <w:szCs w:val="24"/>
        </w:rPr>
      </w:pPr>
      <w:bookmarkStart w:id="46" w:name="_Toc511311200"/>
      <w:bookmarkStart w:id="47" w:name="_Toc511311225"/>
      <w:bookmarkStart w:id="48" w:name="_Toc511460480"/>
      <w:bookmarkStart w:id="49" w:name="_Toc4303270"/>
      <w:bookmarkStart w:id="50" w:name="_Toc4831146"/>
      <w:bookmarkStart w:id="51" w:name="_Toc4831216"/>
      <w:bookmarkStart w:id="52" w:name="_Toc479081337"/>
      <w:r w:rsidRPr="005B09F6">
        <w:rPr>
          <w:rFonts w:ascii="Calibri" w:hAnsi="Calibri"/>
          <w:sz w:val="24"/>
          <w:szCs w:val="24"/>
        </w:rPr>
        <w:t>2.5</w:t>
      </w:r>
      <w:r w:rsidRPr="005B09F6">
        <w:rPr>
          <w:rFonts w:ascii="Calibri" w:hAnsi="Calibri"/>
          <w:sz w:val="24"/>
          <w:szCs w:val="24"/>
        </w:rPr>
        <w:tab/>
        <w:t>Auxílio-doença</w:t>
      </w:r>
      <w:bookmarkEnd w:id="46"/>
      <w:bookmarkEnd w:id="47"/>
      <w:bookmarkEnd w:id="48"/>
      <w:bookmarkEnd w:id="49"/>
      <w:bookmarkEnd w:id="50"/>
      <w:bookmarkEnd w:id="51"/>
      <w:bookmarkEnd w:id="52"/>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91% do salário-de-benefício</w:t>
      </w:r>
      <w:r w:rsidR="0047645C" w:rsidRPr="005B09F6">
        <w:rPr>
          <w:rFonts w:ascii="Calibri" w:hAnsi="Calibri" w:cs="Arial"/>
          <w:szCs w:val="24"/>
        </w:rPr>
        <w:t>, sendo que o valor não poderá ser superior à média simples dos últimos 12 salários-de-contribuição registrados.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xml:space="preserve">: o segurado que estiver incapacitado para seu trabalho ou para sua atividade habitual </w:t>
      </w:r>
      <w:r w:rsidR="00025247" w:rsidRPr="005B09F6">
        <w:rPr>
          <w:rFonts w:ascii="Calibri" w:hAnsi="Calibri" w:cs="Arial"/>
          <w:szCs w:val="24"/>
        </w:rPr>
        <w:t>após</w:t>
      </w:r>
      <w:r w:rsidRPr="005B09F6">
        <w:rPr>
          <w:rFonts w:ascii="Calibri" w:hAnsi="Calibri" w:cs="Arial"/>
          <w:szCs w:val="24"/>
        </w:rPr>
        <w:t xml:space="preserve"> </w:t>
      </w:r>
      <w:r w:rsidR="00025247" w:rsidRPr="005B09F6">
        <w:rPr>
          <w:rFonts w:ascii="Calibri" w:hAnsi="Calibri" w:cs="Arial"/>
          <w:szCs w:val="24"/>
        </w:rPr>
        <w:t>15</w:t>
      </w:r>
      <w:r w:rsidR="0047645C" w:rsidRPr="005B09F6">
        <w:rPr>
          <w:rFonts w:ascii="Calibri" w:hAnsi="Calibri" w:cs="Arial"/>
          <w:szCs w:val="24"/>
        </w:rPr>
        <w:t xml:space="preserve"> </w:t>
      </w:r>
      <w:r w:rsidRPr="005B09F6">
        <w:rPr>
          <w:rFonts w:ascii="Calibri" w:hAnsi="Calibri" w:cs="Arial"/>
          <w:szCs w:val="24"/>
        </w:rPr>
        <w:t>dias</w:t>
      </w:r>
      <w:r w:rsidR="00025247" w:rsidRPr="005B09F6">
        <w:rPr>
          <w:rFonts w:ascii="Calibri" w:hAnsi="Calibri" w:cs="Arial"/>
          <w:szCs w:val="24"/>
        </w:rPr>
        <w:t xml:space="preserve"> de afastamento</w:t>
      </w:r>
      <w:r w:rsidRPr="005B09F6">
        <w:rPr>
          <w:rFonts w:ascii="Calibri" w:hAnsi="Calibri" w:cs="Arial"/>
          <w:szCs w:val="24"/>
        </w:rPr>
        <w:t xml:space="preserve"> consecutivos</w:t>
      </w:r>
      <w:r w:rsidR="00025247" w:rsidRPr="005B09F6">
        <w:rPr>
          <w:rFonts w:ascii="Calibri" w:hAnsi="Calibri" w:cs="Arial"/>
          <w:szCs w:val="24"/>
        </w:rPr>
        <w:t xml:space="preserve"> ou 15 dias de afastamento intercalados no prazo de 60 dias </w:t>
      </w:r>
      <w:r w:rsidRPr="005B09F6">
        <w:rPr>
          <w:rFonts w:ascii="Calibri" w:hAnsi="Calibri" w:cs="Arial"/>
          <w:szCs w:val="24"/>
        </w:rPr>
        <w:t xml:space="preserve">tem direito a perceber este benefício.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Para o segurado empregado, incumbe à empresa pagar ao segurado o seu salário durante os primeiros </w:t>
      </w:r>
      <w:r w:rsidR="00025247" w:rsidRPr="005B09F6">
        <w:rPr>
          <w:rFonts w:ascii="Calibri" w:hAnsi="Calibri" w:cs="Arial"/>
          <w:szCs w:val="24"/>
        </w:rPr>
        <w:t>15</w:t>
      </w:r>
      <w:r w:rsidR="0047645C" w:rsidRPr="005B09F6">
        <w:rPr>
          <w:rFonts w:ascii="Calibri" w:hAnsi="Calibri" w:cs="Arial"/>
          <w:szCs w:val="24"/>
        </w:rPr>
        <w:t xml:space="preserve"> </w:t>
      </w:r>
      <w:r w:rsidRPr="005B09F6">
        <w:rPr>
          <w:rFonts w:ascii="Calibri" w:hAnsi="Calibri" w:cs="Arial"/>
          <w:szCs w:val="24"/>
        </w:rPr>
        <w:t xml:space="preserve">dias, iniciando-se a responsabilidade do RGPS apenas após o </w:t>
      </w:r>
      <w:r w:rsidR="00025247" w:rsidRPr="005B09F6">
        <w:rPr>
          <w:rFonts w:ascii="Calibri" w:hAnsi="Calibri" w:cs="Arial"/>
          <w:szCs w:val="24"/>
        </w:rPr>
        <w:t>16</w:t>
      </w:r>
      <w:r w:rsidR="0047645C" w:rsidRPr="005B09F6">
        <w:rPr>
          <w:rFonts w:ascii="Calibri" w:hAnsi="Calibri" w:cs="Arial"/>
          <w:szCs w:val="24"/>
        </w:rPr>
        <w:t xml:space="preserve">º </w:t>
      </w:r>
      <w:r w:rsidRPr="005B09F6">
        <w:rPr>
          <w:rFonts w:ascii="Calibri" w:hAnsi="Calibri" w:cs="Arial"/>
          <w:szCs w:val="24"/>
        </w:rPr>
        <w:t>dia de afastamento. Nos demais casos, o auxílio-doença será devido a contar da data do início da incapacidade e enquanto ele permanecer incapaz.</w:t>
      </w:r>
      <w:r w:rsidR="008B1CD2" w:rsidRPr="005B09F6">
        <w:rPr>
          <w:rFonts w:ascii="Calibri" w:hAnsi="Calibri" w:cs="Arial"/>
          <w:szCs w:val="24"/>
        </w:rPr>
        <w:t xml:space="preserve"> </w:t>
      </w:r>
      <w:r w:rsidRPr="005B09F6">
        <w:rPr>
          <w:rFonts w:ascii="Calibri" w:hAnsi="Calibri" w:cs="Arial"/>
          <w:szCs w:val="24"/>
        </w:rPr>
        <w:t>Quanto à carência, aplicam-se as mesmas regras descritas no subitem anterior.</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Não é concedido auxílio-doença ao segurado que, ao filiar-se ao Regime Geral de Previdência Social, já era portador da doença ou da lesão que geraria o benefício, salvo quando a incapacidade decorreu de progressão ou agravamento dessa doença ou lesão.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que o segurado seja considerado hábil para o desempenho de uma atividade remunerada. Caso isso não ocorra, o segurado será aposentado por invalidez.</w:t>
      </w:r>
    </w:p>
    <w:p w:rsidR="00D15731" w:rsidRPr="005B09F6" w:rsidRDefault="00D15731" w:rsidP="0079121C">
      <w:pPr>
        <w:pStyle w:val="Ttulo2"/>
        <w:rPr>
          <w:rFonts w:ascii="Calibri" w:hAnsi="Calibri"/>
          <w:sz w:val="24"/>
          <w:szCs w:val="24"/>
        </w:rPr>
      </w:pPr>
      <w:bookmarkStart w:id="53" w:name="_Toc511311201"/>
      <w:bookmarkStart w:id="54" w:name="_Toc511311226"/>
      <w:bookmarkStart w:id="55" w:name="_Toc511460481"/>
      <w:bookmarkStart w:id="56" w:name="_Toc4303271"/>
      <w:bookmarkStart w:id="57" w:name="_Toc4831147"/>
      <w:bookmarkStart w:id="58" w:name="_Toc4831217"/>
      <w:bookmarkStart w:id="59" w:name="_Toc479081338"/>
      <w:r w:rsidRPr="005B09F6">
        <w:rPr>
          <w:rFonts w:ascii="Calibri" w:hAnsi="Calibri"/>
          <w:sz w:val="24"/>
          <w:szCs w:val="24"/>
        </w:rPr>
        <w:t>2.6</w:t>
      </w:r>
      <w:r w:rsidRPr="005B09F6">
        <w:rPr>
          <w:rFonts w:ascii="Calibri" w:hAnsi="Calibri"/>
          <w:sz w:val="24"/>
          <w:szCs w:val="24"/>
        </w:rPr>
        <w:tab/>
        <w:t>Salário-família</w:t>
      </w:r>
      <w:bookmarkEnd w:id="53"/>
      <w:bookmarkEnd w:id="54"/>
      <w:bookmarkEnd w:id="55"/>
      <w:bookmarkEnd w:id="56"/>
      <w:bookmarkEnd w:id="57"/>
      <w:bookmarkEnd w:id="58"/>
      <w:bookmarkEnd w:id="59"/>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Têm direito ao salário-família os trabalhadores empregados</w:t>
      </w:r>
      <w:r w:rsidR="006D2E26" w:rsidRPr="005B09F6">
        <w:rPr>
          <w:rFonts w:ascii="Calibri" w:hAnsi="Calibri" w:cs="Arial"/>
          <w:szCs w:val="24"/>
        </w:rPr>
        <w:t>, inclusive o doméstico,</w:t>
      </w:r>
      <w:r w:rsidRPr="005B09F6">
        <w:rPr>
          <w:rFonts w:ascii="Calibri" w:hAnsi="Calibri" w:cs="Arial"/>
          <w:szCs w:val="24"/>
        </w:rPr>
        <w:t xml:space="preserve"> e os avulsos. Os contribuintes individuais, segurados especiais e facultativos não recebem salário-família.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xml:space="preserve">: a partir de </w:t>
      </w:r>
      <w:r w:rsidR="00F72E9B" w:rsidRPr="005B09F6">
        <w:rPr>
          <w:rFonts w:ascii="Calibri" w:hAnsi="Calibri" w:cs="Arial"/>
          <w:szCs w:val="24"/>
        </w:rPr>
        <w:t xml:space="preserve">janeiro </w:t>
      </w:r>
      <w:r w:rsidR="00FC4184" w:rsidRPr="005B09F6">
        <w:rPr>
          <w:rFonts w:ascii="Calibri" w:hAnsi="Calibri" w:cs="Arial"/>
          <w:szCs w:val="24"/>
        </w:rPr>
        <w:t xml:space="preserve">de </w:t>
      </w:r>
      <w:r w:rsidR="00025247" w:rsidRPr="005B09F6">
        <w:rPr>
          <w:rFonts w:ascii="Calibri" w:hAnsi="Calibri" w:cs="Arial"/>
          <w:szCs w:val="24"/>
        </w:rPr>
        <w:t>201</w:t>
      </w:r>
      <w:r w:rsidR="00537D72" w:rsidRPr="005B09F6">
        <w:rPr>
          <w:rFonts w:ascii="Calibri" w:hAnsi="Calibri" w:cs="Arial"/>
          <w:szCs w:val="24"/>
        </w:rPr>
        <w:t>8</w:t>
      </w:r>
      <w:r w:rsidRPr="005B09F6">
        <w:rPr>
          <w:rFonts w:ascii="Calibri" w:hAnsi="Calibri" w:cs="Arial"/>
          <w:szCs w:val="24"/>
        </w:rPr>
        <w:t xml:space="preserve"> o valor do salário-família </w:t>
      </w:r>
      <w:r w:rsidR="0077649B" w:rsidRPr="005B09F6">
        <w:rPr>
          <w:rFonts w:ascii="Calibri" w:hAnsi="Calibri" w:cs="Arial"/>
          <w:szCs w:val="24"/>
        </w:rPr>
        <w:t xml:space="preserve">passou a ser de </w:t>
      </w:r>
      <w:r w:rsidRPr="005B09F6">
        <w:rPr>
          <w:rFonts w:ascii="Calibri" w:hAnsi="Calibri" w:cs="Arial"/>
          <w:szCs w:val="24"/>
        </w:rPr>
        <w:t xml:space="preserve">R$ </w:t>
      </w:r>
      <w:r w:rsidR="00025247" w:rsidRPr="005B09F6">
        <w:rPr>
          <w:rFonts w:ascii="Calibri" w:hAnsi="Calibri" w:cs="Arial"/>
          <w:szCs w:val="24"/>
        </w:rPr>
        <w:t>4</w:t>
      </w:r>
      <w:r w:rsidR="00E74967" w:rsidRPr="005B09F6">
        <w:rPr>
          <w:rFonts w:ascii="Calibri" w:hAnsi="Calibri" w:cs="Arial"/>
          <w:szCs w:val="24"/>
        </w:rPr>
        <w:t>5,00</w:t>
      </w:r>
      <w:r w:rsidRPr="005B09F6">
        <w:rPr>
          <w:rFonts w:ascii="Calibri" w:hAnsi="Calibri" w:cs="Arial"/>
          <w:szCs w:val="24"/>
        </w:rPr>
        <w:t xml:space="preserve"> por filho de até 14 anos incompletos ou inválido, para quem ganhar até R$ </w:t>
      </w:r>
      <w:r w:rsidR="00025247" w:rsidRPr="005B09F6">
        <w:rPr>
          <w:rFonts w:ascii="Calibri" w:hAnsi="Calibri" w:cs="Arial"/>
          <w:szCs w:val="24"/>
        </w:rPr>
        <w:t>8</w:t>
      </w:r>
      <w:r w:rsidR="00E74967" w:rsidRPr="005B09F6">
        <w:rPr>
          <w:rFonts w:ascii="Calibri" w:hAnsi="Calibri" w:cs="Arial"/>
          <w:szCs w:val="24"/>
        </w:rPr>
        <w:t>77,67</w:t>
      </w:r>
      <w:r w:rsidRPr="005B09F6">
        <w:rPr>
          <w:rFonts w:ascii="Calibri" w:hAnsi="Calibri" w:cs="Arial"/>
          <w:szCs w:val="24"/>
        </w:rPr>
        <w:t xml:space="preserve">. Para o trabalhador que receber de R$ </w:t>
      </w:r>
      <w:r w:rsidR="00025247" w:rsidRPr="005B09F6">
        <w:rPr>
          <w:rFonts w:ascii="Calibri" w:hAnsi="Calibri" w:cs="Arial"/>
          <w:szCs w:val="24"/>
        </w:rPr>
        <w:t>8</w:t>
      </w:r>
      <w:r w:rsidR="00E74967" w:rsidRPr="005B09F6">
        <w:rPr>
          <w:rFonts w:ascii="Calibri" w:hAnsi="Calibri" w:cs="Arial"/>
          <w:szCs w:val="24"/>
        </w:rPr>
        <w:t>77,67</w:t>
      </w:r>
      <w:r w:rsidRPr="005B09F6">
        <w:rPr>
          <w:rFonts w:ascii="Calibri" w:hAnsi="Calibri" w:cs="Arial"/>
          <w:szCs w:val="24"/>
        </w:rPr>
        <w:t xml:space="preserve"> até R$ </w:t>
      </w:r>
      <w:r w:rsidR="00025247" w:rsidRPr="005B09F6">
        <w:rPr>
          <w:rFonts w:ascii="Calibri" w:hAnsi="Calibri" w:cs="Arial"/>
          <w:szCs w:val="24"/>
        </w:rPr>
        <w:t>1.</w:t>
      </w:r>
      <w:r w:rsidR="00E74967" w:rsidRPr="005B09F6">
        <w:rPr>
          <w:rFonts w:ascii="Calibri" w:hAnsi="Calibri" w:cs="Arial"/>
          <w:szCs w:val="24"/>
        </w:rPr>
        <w:t>319,18</w:t>
      </w:r>
      <w:r w:rsidRPr="005B09F6">
        <w:rPr>
          <w:rFonts w:ascii="Calibri" w:hAnsi="Calibri" w:cs="Arial"/>
          <w:szCs w:val="24"/>
        </w:rPr>
        <w:t xml:space="preserve"> o valor do salário-família por filho de até 14 anos incompletos ou inválido, </w:t>
      </w:r>
      <w:r w:rsidR="00FC4184" w:rsidRPr="005B09F6">
        <w:rPr>
          <w:rFonts w:ascii="Calibri" w:hAnsi="Calibri" w:cs="Arial"/>
          <w:szCs w:val="24"/>
        </w:rPr>
        <w:t xml:space="preserve">é </w:t>
      </w:r>
      <w:r w:rsidRPr="005B09F6">
        <w:rPr>
          <w:rFonts w:ascii="Calibri" w:hAnsi="Calibri" w:cs="Arial"/>
          <w:szCs w:val="24"/>
        </w:rPr>
        <w:t xml:space="preserve">de R$ </w:t>
      </w:r>
      <w:r w:rsidR="00025247" w:rsidRPr="005B09F6">
        <w:rPr>
          <w:rFonts w:ascii="Calibri" w:hAnsi="Calibri" w:cs="Arial"/>
          <w:szCs w:val="24"/>
        </w:rPr>
        <w:t>31,</w:t>
      </w:r>
      <w:r w:rsidR="00E74967" w:rsidRPr="005B09F6">
        <w:rPr>
          <w:rFonts w:ascii="Calibri" w:hAnsi="Calibri" w:cs="Arial"/>
          <w:szCs w:val="24"/>
        </w:rPr>
        <w:t>71</w:t>
      </w:r>
      <w:r w:rsidR="0097760B" w:rsidRPr="005B09F6">
        <w:rPr>
          <w:rFonts w:ascii="Calibri" w:hAnsi="Calibri" w:cs="Arial"/>
          <w:szCs w:val="24"/>
          <w:vertAlign w:val="superscript"/>
        </w:rPr>
        <w:footnoteReference w:id="2"/>
      </w:r>
      <w:r w:rsidR="00191E04" w:rsidRPr="005B09F6">
        <w:rPr>
          <w:rFonts w:ascii="Calibri" w:hAnsi="Calibri" w:cs="Arial"/>
          <w:szCs w:val="24"/>
        </w:rPr>
        <w:t>.</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além da comprovação da existência dos filhos ou equiparados (enteado e menor tutelado), este benefício será concedido e pago ao:</w:t>
      </w:r>
    </w:p>
    <w:p w:rsidR="00D15731" w:rsidRPr="005B09F6" w:rsidRDefault="00D15731" w:rsidP="00E341F3">
      <w:pPr>
        <w:numPr>
          <w:ilvl w:val="0"/>
          <w:numId w:val="1"/>
        </w:numPr>
        <w:tabs>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segurado</w:t>
      </w:r>
      <w:proofErr w:type="gramEnd"/>
      <w:r w:rsidRPr="005B09F6">
        <w:rPr>
          <w:rFonts w:ascii="Calibri" w:hAnsi="Calibri" w:cs="Arial"/>
          <w:sz w:val="24"/>
          <w:szCs w:val="24"/>
        </w:rPr>
        <w:t xml:space="preserve"> empregado, pela empresa</w:t>
      </w:r>
      <w:r w:rsidR="004C1F84" w:rsidRPr="005B09F6">
        <w:rPr>
          <w:rFonts w:ascii="Calibri" w:hAnsi="Calibri" w:cs="Arial"/>
          <w:sz w:val="24"/>
          <w:szCs w:val="24"/>
        </w:rPr>
        <w:t xml:space="preserve"> ou pelo empregador doméstico</w:t>
      </w:r>
      <w:r w:rsidRPr="005B09F6">
        <w:rPr>
          <w:rFonts w:ascii="Calibri" w:hAnsi="Calibri" w:cs="Arial"/>
          <w:sz w:val="24"/>
          <w:szCs w:val="24"/>
        </w:rPr>
        <w:t xml:space="preserve">, com o respectivo salário, e ao trabalhador avulso, pelo órgão gestor de mão-de-obra, mediante convênio; </w:t>
      </w:r>
    </w:p>
    <w:p w:rsidR="00D15731" w:rsidRPr="005B09F6" w:rsidRDefault="00D15731" w:rsidP="00E341F3">
      <w:pPr>
        <w:numPr>
          <w:ilvl w:val="0"/>
          <w:numId w:val="1"/>
        </w:numPr>
        <w:tabs>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segurado</w:t>
      </w:r>
      <w:proofErr w:type="gramEnd"/>
      <w:r w:rsidRPr="005B09F6">
        <w:rPr>
          <w:rFonts w:ascii="Calibri" w:hAnsi="Calibri" w:cs="Arial"/>
          <w:sz w:val="24"/>
          <w:szCs w:val="24"/>
        </w:rPr>
        <w:t xml:space="preserve"> empregado</w:t>
      </w:r>
      <w:r w:rsidR="004C1F84" w:rsidRPr="005B09F6">
        <w:rPr>
          <w:rFonts w:ascii="Calibri" w:hAnsi="Calibri" w:cs="Arial"/>
          <w:sz w:val="24"/>
          <w:szCs w:val="24"/>
        </w:rPr>
        <w:t>, inclusive o doméstico,</w:t>
      </w:r>
      <w:r w:rsidRPr="005B09F6">
        <w:rPr>
          <w:rFonts w:ascii="Calibri" w:hAnsi="Calibri" w:cs="Arial"/>
          <w:sz w:val="24"/>
          <w:szCs w:val="24"/>
        </w:rPr>
        <w:t xml:space="preserve"> e trabalhador avulso que esteja recebendo auxílio-doença, juntamente com o benefício; </w:t>
      </w:r>
    </w:p>
    <w:p w:rsidR="00D15731" w:rsidRPr="005B09F6" w:rsidRDefault="00D15731" w:rsidP="00E341F3">
      <w:pPr>
        <w:numPr>
          <w:ilvl w:val="0"/>
          <w:numId w:val="1"/>
        </w:numPr>
        <w:tabs>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segurado</w:t>
      </w:r>
      <w:proofErr w:type="gramEnd"/>
      <w:r w:rsidRPr="005B09F6">
        <w:rPr>
          <w:rFonts w:ascii="Calibri" w:hAnsi="Calibri" w:cs="Arial"/>
          <w:sz w:val="24"/>
          <w:szCs w:val="24"/>
        </w:rPr>
        <w:t xml:space="preserve"> empregado</w:t>
      </w:r>
      <w:r w:rsidR="004C1F84" w:rsidRPr="005B09F6">
        <w:rPr>
          <w:rFonts w:ascii="Calibri" w:hAnsi="Calibri" w:cs="Arial"/>
          <w:sz w:val="24"/>
          <w:szCs w:val="24"/>
        </w:rPr>
        <w:t>, inclusive o doméstico,</w:t>
      </w:r>
      <w:r w:rsidRPr="005B09F6">
        <w:rPr>
          <w:rFonts w:ascii="Calibri" w:hAnsi="Calibri" w:cs="Arial"/>
          <w:sz w:val="24"/>
          <w:szCs w:val="24"/>
        </w:rPr>
        <w:t xml:space="preserve"> e trabalhador avulso de qualquer idade que esteja recebendo aposentadoria por invalidez, juntamente com o benefício; </w:t>
      </w:r>
    </w:p>
    <w:p w:rsidR="00D15731" w:rsidRPr="005B09F6" w:rsidRDefault="00D15731" w:rsidP="00E341F3">
      <w:pPr>
        <w:numPr>
          <w:ilvl w:val="0"/>
          <w:numId w:val="1"/>
        </w:numPr>
        <w:tabs>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segurado</w:t>
      </w:r>
      <w:proofErr w:type="gramEnd"/>
      <w:r w:rsidRPr="005B09F6">
        <w:rPr>
          <w:rFonts w:ascii="Calibri" w:hAnsi="Calibri" w:cs="Arial"/>
          <w:sz w:val="24"/>
          <w:szCs w:val="24"/>
        </w:rPr>
        <w:t xml:space="preserve"> trabalhador rural aposentado por idade aos 60 anos, se do sexo masculino, ou 55 anos, se do sexo feminino, juntamente com a aposentadoria;</w:t>
      </w:r>
    </w:p>
    <w:p w:rsidR="00D15731" w:rsidRPr="005B09F6" w:rsidRDefault="00D15731" w:rsidP="00E341F3">
      <w:pPr>
        <w:numPr>
          <w:ilvl w:val="0"/>
          <w:numId w:val="1"/>
        </w:numPr>
        <w:tabs>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demais</w:t>
      </w:r>
      <w:proofErr w:type="gramEnd"/>
      <w:r w:rsidRPr="005B09F6">
        <w:rPr>
          <w:rFonts w:ascii="Calibri" w:hAnsi="Calibri" w:cs="Arial"/>
          <w:sz w:val="24"/>
          <w:szCs w:val="24"/>
        </w:rPr>
        <w:t xml:space="preserve"> segurados empregado</w:t>
      </w:r>
      <w:r w:rsidR="004C1F84" w:rsidRPr="005B09F6">
        <w:rPr>
          <w:rFonts w:ascii="Calibri" w:hAnsi="Calibri" w:cs="Arial"/>
          <w:sz w:val="24"/>
          <w:szCs w:val="24"/>
        </w:rPr>
        <w:t>s</w:t>
      </w:r>
      <w:r w:rsidRPr="005B09F6">
        <w:rPr>
          <w:rFonts w:ascii="Calibri" w:hAnsi="Calibri" w:cs="Arial"/>
          <w:sz w:val="24"/>
          <w:szCs w:val="24"/>
        </w:rPr>
        <w:t xml:space="preserve"> e trabalhadores avulsos aposentados </w:t>
      </w:r>
      <w:r w:rsidR="0097760B" w:rsidRPr="005B09F6">
        <w:rPr>
          <w:rFonts w:ascii="Calibri" w:hAnsi="Calibri" w:cs="Arial"/>
          <w:sz w:val="24"/>
          <w:szCs w:val="24"/>
        </w:rPr>
        <w:t xml:space="preserve">quando completarem </w:t>
      </w:r>
      <w:r w:rsidRPr="005B09F6">
        <w:rPr>
          <w:rFonts w:ascii="Calibri" w:hAnsi="Calibri" w:cs="Arial"/>
          <w:sz w:val="24"/>
          <w:szCs w:val="24"/>
        </w:rPr>
        <w:t>65 anos, se do sexo masculino, ou 60 anos, se do sexo feminino, juntamente com a aposentadoria.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renda mensal temporária paga até que todos os filhos completem 14 anos ou fluxo de renda paga mensalmente até a morte do segurado no caso de filho inválido.</w:t>
      </w:r>
    </w:p>
    <w:p w:rsidR="00D15731" w:rsidRPr="005B09F6" w:rsidRDefault="00D15731" w:rsidP="0079121C">
      <w:pPr>
        <w:pStyle w:val="Ttulo2"/>
        <w:rPr>
          <w:rFonts w:ascii="Calibri" w:hAnsi="Calibri"/>
          <w:sz w:val="24"/>
          <w:szCs w:val="24"/>
        </w:rPr>
      </w:pPr>
      <w:bookmarkStart w:id="60" w:name="_Toc511311202"/>
      <w:bookmarkStart w:id="61" w:name="_Toc511311227"/>
      <w:bookmarkStart w:id="62" w:name="_Toc511460482"/>
      <w:bookmarkStart w:id="63" w:name="_Toc4303272"/>
      <w:bookmarkStart w:id="64" w:name="_Toc4831148"/>
      <w:bookmarkStart w:id="65" w:name="_Toc4831218"/>
      <w:bookmarkStart w:id="66" w:name="_Toc479081339"/>
      <w:r w:rsidRPr="005B09F6">
        <w:rPr>
          <w:rFonts w:ascii="Calibri" w:hAnsi="Calibri"/>
          <w:sz w:val="24"/>
          <w:szCs w:val="24"/>
        </w:rPr>
        <w:t>2.7</w:t>
      </w:r>
      <w:r w:rsidRPr="005B09F6">
        <w:rPr>
          <w:rFonts w:ascii="Calibri" w:hAnsi="Calibri"/>
          <w:sz w:val="24"/>
          <w:szCs w:val="24"/>
        </w:rPr>
        <w:tab/>
        <w:t>Salário-maternidade</w:t>
      </w:r>
      <w:bookmarkEnd w:id="60"/>
      <w:bookmarkEnd w:id="61"/>
      <w:bookmarkEnd w:id="62"/>
      <w:bookmarkEnd w:id="63"/>
      <w:bookmarkEnd w:id="64"/>
      <w:bookmarkEnd w:id="65"/>
      <w:bookmarkEnd w:id="66"/>
    </w:p>
    <w:p w:rsidR="008A4B22" w:rsidRPr="005B09F6" w:rsidRDefault="008A4B22"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O salário-maternidade é devido à todas as seguradas da previdência social, durante 120 dias, podendo iniciar no período entre 28 dias antes do parto e a data da sua ocorrência, e também à segurada ou segurado que adotar ou obtiver guarda judicial para fins de adoção de criança. </w:t>
      </w:r>
    </w:p>
    <w:p w:rsidR="008A4B22" w:rsidRPr="005B09F6" w:rsidRDefault="008A4B22"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No caso da empregada gestante, o salário-maternidade é pago </w:t>
      </w:r>
      <w:r w:rsidR="00781940" w:rsidRPr="005B09F6">
        <w:rPr>
          <w:rFonts w:ascii="Calibri" w:hAnsi="Calibri" w:cs="Arial"/>
          <w:szCs w:val="24"/>
        </w:rPr>
        <w:t xml:space="preserve">pela empresa, que efetiva a compensação quando do recolhimento das contribuições incidentes sobre a folha de salários. Para as empregadas do microempreendedor individual, empregadas domésticas, trabalhadoras avulsas, contribuintes individuais, facultativas e seguradas especiais, o pagamento é </w:t>
      </w:r>
      <w:r w:rsidR="00D37577" w:rsidRPr="005B09F6">
        <w:rPr>
          <w:rFonts w:ascii="Calibri" w:hAnsi="Calibri" w:cs="Arial"/>
          <w:szCs w:val="24"/>
        </w:rPr>
        <w:t>feito diretamente</w:t>
      </w:r>
      <w:r w:rsidR="00781940" w:rsidRPr="005B09F6">
        <w:rPr>
          <w:rFonts w:ascii="Calibri" w:hAnsi="Calibri" w:cs="Arial"/>
          <w:szCs w:val="24"/>
        </w:rPr>
        <w:t xml:space="preserve"> pela previdência social</w:t>
      </w:r>
      <w:r w:rsidR="00D37577" w:rsidRPr="005B09F6">
        <w:rPr>
          <w:rFonts w:ascii="Calibri" w:hAnsi="Calibri" w:cs="Arial"/>
          <w:szCs w:val="24"/>
        </w:rPr>
        <w:t>, assim como nos casos de adoção, independentemente da categoria da segurada ou segurado.</w:t>
      </w:r>
    </w:p>
    <w:p w:rsidR="00F75646" w:rsidRPr="005B09F6" w:rsidRDefault="00F75646"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No caso de falecimento da segurada ou segurado que fizer jus ao salário-maternidade, o benefício poderá ser pago, por todo o período ou pelo tempo restante a que seria devido, ao cônjuge ou companheiro sobrevivente que tenha a qualidade de segurado, exceto no caso do falecimento do filho ou de seu abandono, observadas as normas aplicáveis ao benefício.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Fórmula do</w:t>
      </w:r>
      <w:r w:rsidR="00537D72" w:rsidRPr="005B09F6">
        <w:rPr>
          <w:rFonts w:ascii="Calibri" w:hAnsi="Calibri" w:cs="Arial"/>
          <w:b/>
          <w:szCs w:val="24"/>
        </w:rPr>
        <w:t xml:space="preserve"> valor do</w:t>
      </w:r>
      <w:r w:rsidRPr="005B09F6">
        <w:rPr>
          <w:rFonts w:ascii="Calibri" w:hAnsi="Calibri" w:cs="Arial"/>
          <w:b/>
          <w:szCs w:val="24"/>
        </w:rPr>
        <w:t xml:space="preserve"> benefício</w:t>
      </w:r>
      <w:r w:rsidRPr="005B09F6">
        <w:rPr>
          <w:rFonts w:ascii="Calibri" w:hAnsi="Calibri" w:cs="Arial"/>
          <w:szCs w:val="24"/>
        </w:rPr>
        <w:t xml:space="preserve">: No caso de segurada empregada e trabalhadora avulsa, 100% da remuneração integral que vinha percebendo. No caso de segurada </w:t>
      </w:r>
      <w:r w:rsidR="008A4B22" w:rsidRPr="005B09F6">
        <w:rPr>
          <w:rFonts w:ascii="Calibri" w:hAnsi="Calibri" w:cs="Arial"/>
          <w:szCs w:val="24"/>
        </w:rPr>
        <w:t xml:space="preserve">empregada </w:t>
      </w:r>
      <w:r w:rsidRPr="005B09F6">
        <w:rPr>
          <w:rFonts w:ascii="Calibri" w:hAnsi="Calibri" w:cs="Arial"/>
          <w:szCs w:val="24"/>
        </w:rPr>
        <w:t xml:space="preserve">doméstica, 100% do último salário-de-contribuição. No caso de segurada especial, 1 (um) salário mínimo. Para as demais seguradas, 1/12 da soma dos 12 últimos salários-de-contribuição, apurados em um período não superior a 15 meses.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a empregada doméstica e as contribuintes individuais, o valor do salário-maternidade sujeita-se aos limites mínimo e máximo do salário-de-contribuição.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comprovação da gravidez, sendo a renda devida a partir do 28º dia antes do parto.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Em se tratando da contribuinte individual e da segurada facultativa, é exigida a carência de 10 (dez) contribuições mensais para concessão do benefício, reduzida no mesmo número de meses em que o parto tenha sido antecipado. No caso de segurada especial, exige-se a comprovação de exercício de atividade rural nos últimos dez meses imediatamente anteriores ao requerimento do benefício, mesmo que de forma descontínua.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É de cinco anos o prazo para a segurada requerer o benefício a partir da data do parto. </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Renda mensal temporária por 120 dias.</w:t>
      </w:r>
    </w:p>
    <w:p w:rsidR="00D15731" w:rsidRPr="005B09F6" w:rsidRDefault="00D15731" w:rsidP="0079121C">
      <w:pPr>
        <w:pStyle w:val="Ttulo2"/>
        <w:rPr>
          <w:rFonts w:ascii="Calibri" w:hAnsi="Calibri"/>
          <w:sz w:val="24"/>
          <w:szCs w:val="24"/>
        </w:rPr>
      </w:pPr>
      <w:bookmarkStart w:id="67" w:name="_Toc511311203"/>
      <w:bookmarkStart w:id="68" w:name="_Toc511311228"/>
      <w:bookmarkStart w:id="69" w:name="_Toc511460483"/>
      <w:bookmarkStart w:id="70" w:name="_Toc4303273"/>
      <w:bookmarkStart w:id="71" w:name="_Toc4831149"/>
      <w:bookmarkStart w:id="72" w:name="_Toc4831219"/>
      <w:bookmarkStart w:id="73" w:name="_Toc479081340"/>
      <w:r w:rsidRPr="005B09F6">
        <w:rPr>
          <w:rFonts w:ascii="Calibri" w:hAnsi="Calibri"/>
          <w:sz w:val="24"/>
          <w:szCs w:val="24"/>
        </w:rPr>
        <w:t>2.8</w:t>
      </w:r>
      <w:r w:rsidRPr="005B09F6">
        <w:rPr>
          <w:rFonts w:ascii="Calibri" w:hAnsi="Calibri"/>
          <w:sz w:val="24"/>
          <w:szCs w:val="24"/>
        </w:rPr>
        <w:tab/>
        <w:t>Pensão por morte</w:t>
      </w:r>
      <w:bookmarkEnd w:id="67"/>
      <w:bookmarkEnd w:id="68"/>
      <w:bookmarkEnd w:id="69"/>
      <w:bookmarkEnd w:id="70"/>
      <w:bookmarkEnd w:id="71"/>
      <w:bookmarkEnd w:id="72"/>
      <w:bookmarkEnd w:id="73"/>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xml:space="preserve">: </w:t>
      </w:r>
      <w:r w:rsidR="00054376" w:rsidRPr="005B09F6">
        <w:rPr>
          <w:rFonts w:ascii="Calibri" w:hAnsi="Calibri" w:cs="Arial"/>
          <w:szCs w:val="24"/>
        </w:rPr>
        <w:t>O valor mensal da pensão por morte será de 100% do valor da aposentadoria que o segurado recebia ou daquela a que teria direito se estivesse aposentado por invalidez na data de seu falecimento.</w:t>
      </w:r>
    </w:p>
    <w:p w:rsidR="00261CEC" w:rsidRPr="005B09F6" w:rsidRDefault="00D15731" w:rsidP="00261DD2">
      <w:pPr>
        <w:pStyle w:val="Recuodecorpodetexto"/>
        <w:tabs>
          <w:tab w:val="left" w:pos="142"/>
        </w:tabs>
        <w:spacing w:after="240" w:line="360" w:lineRule="auto"/>
        <w:ind w:firstLine="0"/>
        <w:rPr>
          <w:rFonts w:ascii="Calibri" w:hAnsi="Calibri" w:cs="Arial"/>
          <w:strike/>
          <w:szCs w:val="24"/>
        </w:rPr>
      </w:pPr>
      <w:r w:rsidRPr="005B09F6">
        <w:rPr>
          <w:rFonts w:ascii="Calibri" w:hAnsi="Calibri" w:cs="Arial"/>
          <w:b/>
          <w:szCs w:val="24"/>
        </w:rPr>
        <w:t>Condições para habilitação</w:t>
      </w:r>
      <w:r w:rsidRPr="005B09F6">
        <w:rPr>
          <w:rFonts w:ascii="Calibri" w:hAnsi="Calibri" w:cs="Arial"/>
          <w:szCs w:val="24"/>
        </w:rPr>
        <w:t xml:space="preserve">: </w:t>
      </w:r>
      <w:r w:rsidR="00054376" w:rsidRPr="005B09F6">
        <w:rPr>
          <w:rFonts w:ascii="Calibri" w:hAnsi="Calibri" w:cs="Arial"/>
          <w:szCs w:val="24"/>
        </w:rPr>
        <w:t>Não exige carência, apenas a qualidade de segurado</w:t>
      </w:r>
      <w:r w:rsidR="009D29EE" w:rsidRPr="005B09F6">
        <w:rPr>
          <w:rFonts w:ascii="Calibri" w:hAnsi="Calibri" w:cs="Arial"/>
          <w:szCs w:val="24"/>
        </w:rPr>
        <w:t xml:space="preserve"> do instituidor na data do óbito</w:t>
      </w:r>
      <w:r w:rsidR="00054376" w:rsidRPr="005B09F6">
        <w:rPr>
          <w:rFonts w:ascii="Calibri" w:hAnsi="Calibri" w:cs="Arial"/>
          <w:szCs w:val="24"/>
        </w:rPr>
        <w:t>.</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morte do segurado ou temporária dependendo do tipo de dependente.</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Classes de Dependentes:</w:t>
      </w:r>
    </w:p>
    <w:p w:rsidR="00D15731" w:rsidRPr="005B09F6" w:rsidRDefault="00D15731" w:rsidP="00E341F3">
      <w:pPr>
        <w:numPr>
          <w:ilvl w:val="0"/>
          <w:numId w:val="6"/>
        </w:numPr>
        <w:tabs>
          <w:tab w:val="clear" w:pos="360"/>
          <w:tab w:val="num" w:pos="-1843"/>
          <w:tab w:val="left" w:pos="142"/>
        </w:tabs>
        <w:spacing w:after="240" w:line="360" w:lineRule="auto"/>
        <w:ind w:left="0" w:firstLine="0"/>
        <w:jc w:val="both"/>
        <w:rPr>
          <w:rFonts w:ascii="Calibri" w:hAnsi="Calibri" w:cs="Arial"/>
          <w:sz w:val="24"/>
          <w:szCs w:val="24"/>
        </w:rPr>
      </w:pPr>
      <w:r w:rsidRPr="005B09F6">
        <w:rPr>
          <w:rFonts w:ascii="Calibri" w:hAnsi="Calibri" w:cs="Arial"/>
          <w:sz w:val="24"/>
          <w:szCs w:val="24"/>
        </w:rPr>
        <w:t xml:space="preserve">Classe I: o cônjuge, a companheira, o companheiro e o filho não emancipado, de qualquer condição, menor de 21 anos ou inválido; </w:t>
      </w:r>
    </w:p>
    <w:p w:rsidR="00D15731" w:rsidRPr="005B09F6" w:rsidRDefault="00D15731" w:rsidP="00E341F3">
      <w:pPr>
        <w:numPr>
          <w:ilvl w:val="0"/>
          <w:numId w:val="6"/>
        </w:numPr>
        <w:tabs>
          <w:tab w:val="clear" w:pos="360"/>
          <w:tab w:val="num" w:pos="-1843"/>
          <w:tab w:val="left" w:pos="142"/>
        </w:tabs>
        <w:spacing w:after="240" w:line="360" w:lineRule="auto"/>
        <w:ind w:left="0" w:firstLine="0"/>
        <w:jc w:val="both"/>
        <w:rPr>
          <w:rFonts w:ascii="Calibri" w:hAnsi="Calibri" w:cs="Arial"/>
          <w:sz w:val="24"/>
          <w:szCs w:val="24"/>
        </w:rPr>
      </w:pPr>
      <w:r w:rsidRPr="005B09F6">
        <w:rPr>
          <w:rFonts w:ascii="Calibri" w:hAnsi="Calibri" w:cs="Arial"/>
          <w:sz w:val="24"/>
          <w:szCs w:val="24"/>
        </w:rPr>
        <w:t>Classe II: os pais;</w:t>
      </w:r>
    </w:p>
    <w:p w:rsidR="00D15731" w:rsidRPr="005B09F6" w:rsidRDefault="00D15731" w:rsidP="00E341F3">
      <w:pPr>
        <w:numPr>
          <w:ilvl w:val="0"/>
          <w:numId w:val="6"/>
        </w:numPr>
        <w:tabs>
          <w:tab w:val="clear" w:pos="360"/>
          <w:tab w:val="num" w:pos="-1843"/>
          <w:tab w:val="left" w:pos="142"/>
        </w:tabs>
        <w:spacing w:after="240" w:line="360" w:lineRule="auto"/>
        <w:ind w:left="0" w:firstLine="0"/>
        <w:jc w:val="both"/>
        <w:rPr>
          <w:rFonts w:ascii="Calibri" w:hAnsi="Calibri" w:cs="Arial"/>
          <w:sz w:val="24"/>
          <w:szCs w:val="24"/>
        </w:rPr>
      </w:pPr>
      <w:r w:rsidRPr="005B09F6">
        <w:rPr>
          <w:rFonts w:ascii="Calibri" w:hAnsi="Calibri" w:cs="Arial"/>
          <w:sz w:val="24"/>
          <w:szCs w:val="24"/>
        </w:rPr>
        <w:t>Classe III: o irmão não emancipado, de qualquer condição, menor de 21 anos ou inválido.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A existência de dependente de qualquer das classes supracitadas exclui do direito às prestações os das classes seguintes.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bookmarkStart w:id="74" w:name="_Toc511311204"/>
      <w:bookmarkStart w:id="75" w:name="_Toc511311229"/>
      <w:bookmarkStart w:id="76" w:name="_Toc511460484"/>
    </w:p>
    <w:p w:rsidR="006A00AA" w:rsidRPr="005B09F6" w:rsidRDefault="006A00AA"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Duração do benefício: </w:t>
      </w:r>
      <w:r w:rsidRPr="005B09F6">
        <w:rPr>
          <w:rFonts w:ascii="Calibri" w:hAnsi="Calibri" w:cs="Arial"/>
          <w:szCs w:val="24"/>
        </w:rPr>
        <w:t>A pensão por morte tem duração máxima variável, conforme a idade e o tipo do beneficiário.</w:t>
      </w:r>
    </w:p>
    <w:p w:rsidR="006A00AA" w:rsidRPr="005B09F6" w:rsidRDefault="006A00AA"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o(a) cônjuge, o(a) companheiro(a), o(a) cônjuge divorciado(a) ou separado(a) judicialmente ou de fato que recebia pensão alimentícia:</w:t>
      </w:r>
    </w:p>
    <w:p w:rsidR="006A00AA" w:rsidRPr="005B09F6" w:rsidRDefault="006A00AA" w:rsidP="00261DD2">
      <w:pPr>
        <w:pStyle w:val="Recuodecorpodetexto"/>
        <w:numPr>
          <w:ilvl w:val="4"/>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Duração de </w:t>
      </w:r>
      <w:r w:rsidR="00AE2CC0" w:rsidRPr="005B09F6">
        <w:rPr>
          <w:rFonts w:ascii="Calibri" w:hAnsi="Calibri" w:cs="Arial"/>
          <w:szCs w:val="24"/>
        </w:rPr>
        <w:t xml:space="preserve">quatro </w:t>
      </w:r>
      <w:r w:rsidRPr="005B09F6">
        <w:rPr>
          <w:rFonts w:ascii="Calibri" w:hAnsi="Calibri" w:cs="Arial"/>
          <w:szCs w:val="24"/>
        </w:rPr>
        <w:t>meses a contar da data do óbito:</w:t>
      </w:r>
    </w:p>
    <w:p w:rsidR="006A00AA" w:rsidRPr="005B09F6" w:rsidRDefault="006A00AA" w:rsidP="00261DD2">
      <w:pPr>
        <w:pStyle w:val="Recuodecorpodetexto"/>
        <w:numPr>
          <w:ilvl w:val="5"/>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Se o óbito ocorrer sem que o segurado tenha realizado 18 contribuições mensais à Previdência ou;</w:t>
      </w:r>
    </w:p>
    <w:p w:rsidR="006A00AA" w:rsidRPr="005B09F6" w:rsidRDefault="006A00AA" w:rsidP="00261DD2">
      <w:pPr>
        <w:pStyle w:val="Recuodecorpodetexto"/>
        <w:numPr>
          <w:ilvl w:val="5"/>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Se o casamento ou união estável se iniciou em menos de </w:t>
      </w:r>
      <w:r w:rsidR="00AE2CC0" w:rsidRPr="005B09F6">
        <w:rPr>
          <w:rFonts w:ascii="Calibri" w:hAnsi="Calibri" w:cs="Arial"/>
          <w:szCs w:val="24"/>
        </w:rPr>
        <w:t xml:space="preserve">dois </w:t>
      </w:r>
      <w:r w:rsidRPr="005B09F6">
        <w:rPr>
          <w:rFonts w:ascii="Calibri" w:hAnsi="Calibri" w:cs="Arial"/>
          <w:szCs w:val="24"/>
        </w:rPr>
        <w:t>anos antes do falecimento do segurado;</w:t>
      </w:r>
    </w:p>
    <w:p w:rsidR="006A00AA" w:rsidRPr="005B09F6" w:rsidRDefault="006A00AA" w:rsidP="00261DD2">
      <w:pPr>
        <w:pStyle w:val="Recuodecorpodetexto"/>
        <w:numPr>
          <w:ilvl w:val="4"/>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Duração variável conforme a tabela abaixo:</w:t>
      </w:r>
    </w:p>
    <w:p w:rsidR="006A00AA" w:rsidRPr="005B09F6" w:rsidRDefault="006A00AA" w:rsidP="00261DD2">
      <w:pPr>
        <w:pStyle w:val="Recuodecorpodetexto"/>
        <w:numPr>
          <w:ilvl w:val="5"/>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Se o óbito ocorrer depois de vertidas 18 contribuições mensais pelo segurado e pelo menos </w:t>
      </w:r>
      <w:r w:rsidR="00AE2CC0" w:rsidRPr="005B09F6">
        <w:rPr>
          <w:rFonts w:ascii="Calibri" w:hAnsi="Calibri" w:cs="Arial"/>
          <w:szCs w:val="24"/>
        </w:rPr>
        <w:t xml:space="preserve">dois </w:t>
      </w:r>
      <w:r w:rsidRPr="005B09F6">
        <w:rPr>
          <w:rFonts w:ascii="Calibri" w:hAnsi="Calibri" w:cs="Arial"/>
          <w:szCs w:val="24"/>
        </w:rPr>
        <w:t>anos após o início do casamento ou da união estável; ou</w:t>
      </w:r>
    </w:p>
    <w:p w:rsidR="006A00AA" w:rsidRPr="005B09F6" w:rsidRDefault="006A00AA" w:rsidP="00261DD2">
      <w:pPr>
        <w:pStyle w:val="Recuodecorpodetexto"/>
        <w:numPr>
          <w:ilvl w:val="5"/>
          <w:numId w:val="10"/>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Se o óbito decorrer de acidente de qualquer </w:t>
      </w:r>
      <w:r w:rsidRPr="00DC3F44">
        <w:rPr>
          <w:rFonts w:ascii="Calibri" w:hAnsi="Calibri" w:cs="Arial"/>
          <w:szCs w:val="24"/>
        </w:rPr>
        <w:t>natureza</w:t>
      </w:r>
      <w:r w:rsidR="00E9109B" w:rsidRPr="00DC3F44">
        <w:rPr>
          <w:rFonts w:ascii="Calibri" w:hAnsi="Calibri" w:cs="Arial"/>
          <w:szCs w:val="24"/>
        </w:rPr>
        <w:t xml:space="preserve"> ou de doença profissional ou do trabalho</w:t>
      </w:r>
      <w:r w:rsidRPr="00DC3F44">
        <w:rPr>
          <w:rFonts w:ascii="Calibri" w:hAnsi="Calibri" w:cs="Arial"/>
          <w:szCs w:val="24"/>
        </w:rPr>
        <w:t>, inde</w:t>
      </w:r>
      <w:r w:rsidRPr="005B09F6">
        <w:rPr>
          <w:rFonts w:ascii="Calibri" w:hAnsi="Calibri" w:cs="Arial"/>
          <w:szCs w:val="24"/>
        </w:rPr>
        <w:t>pendentemente da quantidade de contribuições e tempo de casamento/união estável.</w:t>
      </w:r>
    </w:p>
    <w:p w:rsidR="00261DD2" w:rsidRPr="005B09F6" w:rsidRDefault="00261DD2" w:rsidP="00261DD2">
      <w:pPr>
        <w:pStyle w:val="Recuodecorpodetexto"/>
        <w:tabs>
          <w:tab w:val="left" w:pos="142"/>
        </w:tabs>
        <w:spacing w:after="120" w:line="360" w:lineRule="auto"/>
        <w:ind w:firstLine="0"/>
        <w:rPr>
          <w:rFonts w:ascii="Calibri" w:hAnsi="Calibri" w:cs="Arial"/>
          <w:szCs w:val="24"/>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7"/>
        <w:gridCol w:w="3686"/>
      </w:tblGrid>
      <w:tr w:rsidR="00261DD2" w:rsidRPr="005B09F6" w:rsidTr="00E341F3">
        <w:trPr>
          <w:trHeight w:hRule="exact" w:val="510"/>
          <w:jc w:val="center"/>
        </w:trPr>
        <w:tc>
          <w:tcPr>
            <w:tcW w:w="4547" w:type="dxa"/>
            <w:tcBorders>
              <w:top w:val="single" w:sz="4" w:space="0" w:color="auto"/>
              <w:bottom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b/>
                <w:szCs w:val="24"/>
              </w:rPr>
            </w:pPr>
            <w:r w:rsidRPr="005B09F6">
              <w:rPr>
                <w:rFonts w:ascii="Calibri" w:hAnsi="Calibri" w:cs="Arial"/>
                <w:b/>
                <w:szCs w:val="24"/>
              </w:rPr>
              <w:t>Idade do dependente na data do óbito</w:t>
            </w:r>
          </w:p>
        </w:tc>
        <w:tc>
          <w:tcPr>
            <w:tcW w:w="3686" w:type="dxa"/>
            <w:tcBorders>
              <w:top w:val="single" w:sz="4" w:space="0" w:color="auto"/>
              <w:bottom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b/>
                <w:szCs w:val="24"/>
              </w:rPr>
            </w:pPr>
            <w:r w:rsidRPr="005B09F6">
              <w:rPr>
                <w:rFonts w:ascii="Calibri" w:hAnsi="Calibri" w:cs="Arial"/>
                <w:b/>
                <w:szCs w:val="24"/>
              </w:rPr>
              <w:t>Duração máxima do benefício ou cota</w:t>
            </w:r>
          </w:p>
        </w:tc>
      </w:tr>
      <w:tr w:rsidR="00261DD2" w:rsidRPr="005B09F6" w:rsidTr="00E341F3">
        <w:trPr>
          <w:trHeight w:hRule="exact" w:val="510"/>
          <w:jc w:val="center"/>
        </w:trPr>
        <w:tc>
          <w:tcPr>
            <w:tcW w:w="4547" w:type="dxa"/>
            <w:tcBorders>
              <w:top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menos</w:t>
            </w:r>
            <w:proofErr w:type="gramEnd"/>
            <w:r w:rsidRPr="005B09F6">
              <w:rPr>
                <w:rFonts w:ascii="Calibri" w:hAnsi="Calibri" w:cs="Arial"/>
                <w:szCs w:val="24"/>
              </w:rPr>
              <w:t xml:space="preserve"> de 21 (vinte e um) anos</w:t>
            </w:r>
          </w:p>
        </w:tc>
        <w:tc>
          <w:tcPr>
            <w:tcW w:w="3686" w:type="dxa"/>
            <w:tcBorders>
              <w:top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3 (três) anos</w:t>
            </w:r>
          </w:p>
        </w:tc>
      </w:tr>
      <w:tr w:rsidR="00261DD2" w:rsidRPr="005B09F6" w:rsidTr="00E341F3">
        <w:trPr>
          <w:trHeight w:hRule="exact" w:val="510"/>
          <w:jc w:val="center"/>
        </w:trPr>
        <w:tc>
          <w:tcPr>
            <w:tcW w:w="4547"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21 (vinte e um) e 26 (vinte e seis) anos</w:t>
            </w:r>
          </w:p>
        </w:tc>
        <w:tc>
          <w:tcPr>
            <w:tcW w:w="3686"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6 (seis) anos</w:t>
            </w:r>
          </w:p>
        </w:tc>
      </w:tr>
      <w:tr w:rsidR="00261DD2" w:rsidRPr="005B09F6" w:rsidTr="00E341F3">
        <w:trPr>
          <w:trHeight w:hRule="exact" w:val="510"/>
          <w:jc w:val="center"/>
        </w:trPr>
        <w:tc>
          <w:tcPr>
            <w:tcW w:w="4547"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27 (vinte e sete) e 29 (vinte e nove) anos</w:t>
            </w:r>
          </w:p>
        </w:tc>
        <w:tc>
          <w:tcPr>
            <w:tcW w:w="3686"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10 (dez) anos</w:t>
            </w:r>
          </w:p>
        </w:tc>
      </w:tr>
      <w:tr w:rsidR="00261DD2" w:rsidRPr="005B09F6" w:rsidTr="00E341F3">
        <w:trPr>
          <w:trHeight w:hRule="exact" w:val="510"/>
          <w:jc w:val="center"/>
        </w:trPr>
        <w:tc>
          <w:tcPr>
            <w:tcW w:w="4547"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30 (trinta) e 40 (quarenta) anos</w:t>
            </w:r>
          </w:p>
        </w:tc>
        <w:tc>
          <w:tcPr>
            <w:tcW w:w="3686"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15 (quinze) anos</w:t>
            </w:r>
          </w:p>
        </w:tc>
      </w:tr>
      <w:tr w:rsidR="00261DD2" w:rsidRPr="005B09F6" w:rsidTr="00E341F3">
        <w:trPr>
          <w:trHeight w:hRule="exact" w:val="510"/>
          <w:jc w:val="center"/>
        </w:trPr>
        <w:tc>
          <w:tcPr>
            <w:tcW w:w="4547"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41 (quarenta e um) e 43 (quarenta e três) anos</w:t>
            </w:r>
          </w:p>
        </w:tc>
        <w:tc>
          <w:tcPr>
            <w:tcW w:w="3686" w:type="dxa"/>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20 (vinte) anos</w:t>
            </w:r>
          </w:p>
        </w:tc>
      </w:tr>
      <w:tr w:rsidR="00261DD2" w:rsidRPr="005B09F6" w:rsidTr="00E341F3">
        <w:trPr>
          <w:trHeight w:hRule="exact" w:val="510"/>
          <w:jc w:val="center"/>
        </w:trPr>
        <w:tc>
          <w:tcPr>
            <w:tcW w:w="4547" w:type="dxa"/>
            <w:tcBorders>
              <w:bottom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a</w:t>
            </w:r>
            <w:proofErr w:type="gramEnd"/>
            <w:r w:rsidRPr="005B09F6">
              <w:rPr>
                <w:rFonts w:ascii="Calibri" w:hAnsi="Calibri" w:cs="Arial"/>
                <w:szCs w:val="24"/>
              </w:rPr>
              <w:t xml:space="preserve"> partir de 44 (quarenta e quatro) anos</w:t>
            </w:r>
          </w:p>
        </w:tc>
        <w:tc>
          <w:tcPr>
            <w:tcW w:w="3686" w:type="dxa"/>
            <w:tcBorders>
              <w:bottom w:val="single" w:sz="4" w:space="0" w:color="auto"/>
            </w:tcBorders>
            <w:vAlign w:val="center"/>
          </w:tcPr>
          <w:p w:rsidR="006A00AA" w:rsidRPr="005B09F6" w:rsidRDefault="006A00AA"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Vitalício</w:t>
            </w:r>
          </w:p>
        </w:tc>
      </w:tr>
    </w:tbl>
    <w:p w:rsidR="006A00AA" w:rsidRPr="005B09F6" w:rsidRDefault="006A00AA" w:rsidP="00E341F3">
      <w:pPr>
        <w:pStyle w:val="Recuodecorpodetexto"/>
        <w:tabs>
          <w:tab w:val="left" w:pos="142"/>
        </w:tabs>
        <w:spacing w:after="240" w:line="360" w:lineRule="auto"/>
        <w:ind w:firstLine="0"/>
        <w:rPr>
          <w:rFonts w:ascii="Calibri" w:hAnsi="Calibri" w:cs="Arial"/>
          <w:szCs w:val="24"/>
        </w:rPr>
      </w:pPr>
    </w:p>
    <w:p w:rsidR="006A00AA" w:rsidRPr="005B09F6" w:rsidRDefault="006A00AA"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 cônjuge inválido ou com deficiência, o benefício será devido enquanto durar a deficiência ou invalidez, respeitando-se os prazos mínimos descritos na tabela acima.</w:t>
      </w:r>
    </w:p>
    <w:p w:rsidR="006A00AA" w:rsidRPr="005B09F6" w:rsidRDefault="006A00AA"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os filhos, equiparados ou irmãos do falecido (desde que comprovem o direito), o benefício é devido até os 21 (vinte e um) anos de idade, salvo em caso de invalidez ou deficiência.</w:t>
      </w:r>
    </w:p>
    <w:p w:rsidR="00D15731" w:rsidRPr="005B09F6" w:rsidRDefault="00D15731" w:rsidP="0079121C">
      <w:pPr>
        <w:pStyle w:val="Ttulo2"/>
        <w:rPr>
          <w:rFonts w:ascii="Calibri" w:hAnsi="Calibri"/>
          <w:sz w:val="24"/>
          <w:szCs w:val="24"/>
        </w:rPr>
      </w:pPr>
      <w:bookmarkStart w:id="77" w:name="_Toc4303274"/>
      <w:bookmarkStart w:id="78" w:name="_Toc4831150"/>
      <w:bookmarkStart w:id="79" w:name="_Toc4831220"/>
      <w:bookmarkStart w:id="80" w:name="_Toc479081341"/>
      <w:r w:rsidRPr="005B09F6">
        <w:rPr>
          <w:rFonts w:ascii="Calibri" w:hAnsi="Calibri"/>
          <w:sz w:val="24"/>
          <w:szCs w:val="24"/>
        </w:rPr>
        <w:t>2.9</w:t>
      </w:r>
      <w:r w:rsidRPr="005B09F6">
        <w:rPr>
          <w:rFonts w:ascii="Calibri" w:hAnsi="Calibri"/>
          <w:sz w:val="24"/>
          <w:szCs w:val="24"/>
        </w:rPr>
        <w:tab/>
        <w:t>Auxílio-reclusão</w:t>
      </w:r>
      <w:bookmarkEnd w:id="74"/>
      <w:bookmarkEnd w:id="75"/>
      <w:bookmarkEnd w:id="76"/>
      <w:bookmarkEnd w:id="77"/>
      <w:bookmarkEnd w:id="78"/>
      <w:bookmarkEnd w:id="79"/>
      <w:bookmarkEnd w:id="80"/>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100% da aposentadoria a que o segurado teria direito caso se aposentasse por invalidez, nos mesmos moldes da pensão por morte.</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será concedido aos dependentes do segurado recolhido à prisão e desde que este não receba remuneração da empresa nem esteja em gozo de auxílio-doença ou de aposentadoria e cujo salário-de-contribuição seja</w:t>
      </w:r>
      <w:r w:rsidR="0097760B" w:rsidRPr="005B09F6">
        <w:rPr>
          <w:rFonts w:ascii="Calibri" w:hAnsi="Calibri" w:cs="Arial"/>
          <w:szCs w:val="24"/>
        </w:rPr>
        <w:t xml:space="preserve">, a partir de 1º de janeiro de </w:t>
      </w:r>
      <w:r w:rsidR="006A00AA" w:rsidRPr="005B09F6">
        <w:rPr>
          <w:rFonts w:ascii="Calibri" w:hAnsi="Calibri" w:cs="Arial"/>
          <w:szCs w:val="24"/>
        </w:rPr>
        <w:t>201</w:t>
      </w:r>
      <w:r w:rsidR="00E9109B" w:rsidRPr="005B09F6">
        <w:rPr>
          <w:rFonts w:ascii="Calibri" w:hAnsi="Calibri" w:cs="Arial"/>
          <w:szCs w:val="24"/>
        </w:rPr>
        <w:t>8</w:t>
      </w:r>
      <w:r w:rsidR="0097760B" w:rsidRPr="005B09F6">
        <w:rPr>
          <w:rFonts w:ascii="Calibri" w:hAnsi="Calibri" w:cs="Arial"/>
          <w:szCs w:val="24"/>
        </w:rPr>
        <w:t>,</w:t>
      </w:r>
      <w:r w:rsidRPr="005B09F6">
        <w:rPr>
          <w:rFonts w:ascii="Calibri" w:hAnsi="Calibri" w:cs="Arial"/>
          <w:szCs w:val="24"/>
        </w:rPr>
        <w:t xml:space="preserve"> igual ou inferior a R$ </w:t>
      </w:r>
      <w:r w:rsidR="006A00AA" w:rsidRPr="005B09F6">
        <w:rPr>
          <w:rFonts w:ascii="Calibri" w:hAnsi="Calibri" w:cs="Arial"/>
          <w:szCs w:val="24"/>
        </w:rPr>
        <w:t>1.</w:t>
      </w:r>
      <w:r w:rsidR="00E9109B" w:rsidRPr="005B09F6">
        <w:rPr>
          <w:rFonts w:ascii="Calibri" w:hAnsi="Calibri" w:cs="Arial"/>
          <w:szCs w:val="24"/>
        </w:rPr>
        <w:t>319,18</w:t>
      </w:r>
      <w:r w:rsidR="0097760B" w:rsidRPr="005B09F6">
        <w:rPr>
          <w:rFonts w:ascii="Calibri" w:hAnsi="Calibri" w:cs="Arial"/>
          <w:szCs w:val="24"/>
          <w:vertAlign w:val="superscript"/>
        </w:rPr>
        <w:footnoteReference w:id="3"/>
      </w:r>
      <w:r w:rsidRPr="005B09F6">
        <w:rPr>
          <w:rFonts w:ascii="Calibri" w:hAnsi="Calibri" w:cs="Arial"/>
          <w:szCs w:val="24"/>
          <w:vertAlign w:val="superscript"/>
        </w:rPr>
        <w:t>.</w:t>
      </w:r>
    </w:p>
    <w:p w:rsidR="005B1A2F" w:rsidRPr="005B09F6" w:rsidRDefault="005B1A2F"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Duração do benefício: </w:t>
      </w:r>
      <w:r w:rsidRPr="005B09F6">
        <w:rPr>
          <w:rFonts w:ascii="Calibri" w:hAnsi="Calibri" w:cs="Arial"/>
          <w:szCs w:val="24"/>
        </w:rPr>
        <w:t>O auxílio-reclusão tem duração variável conforme a idade e o tipo de beneficiário. Além disso, caso o segur</w:t>
      </w:r>
      <w:r w:rsidR="00E9109B" w:rsidRPr="005B09F6">
        <w:rPr>
          <w:rFonts w:ascii="Calibri" w:hAnsi="Calibri" w:cs="Arial"/>
          <w:szCs w:val="24"/>
        </w:rPr>
        <w:t>ado seja posto em liberdade, fug</w:t>
      </w:r>
      <w:r w:rsidRPr="005B09F6">
        <w:rPr>
          <w:rFonts w:ascii="Calibri" w:hAnsi="Calibri" w:cs="Arial"/>
          <w:szCs w:val="24"/>
        </w:rPr>
        <w:t>a da prisão ou passe a cumprir pena em regime aberto, o benefício é encerrado.</w:t>
      </w:r>
    </w:p>
    <w:p w:rsidR="005B1A2F" w:rsidRPr="005B09F6" w:rsidRDefault="005B1A2F"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o(a) cônjuge, o(a) companheiro(a), o(a) cônjuge divorciado(a) ou separado(a) judicialmente ou de fato que recebia pensão alimentícia:</w:t>
      </w:r>
    </w:p>
    <w:p w:rsidR="005B1A2F" w:rsidRPr="005B09F6" w:rsidRDefault="005B1A2F" w:rsidP="00261DD2">
      <w:pPr>
        <w:pStyle w:val="Recuodecorpodetexto"/>
        <w:numPr>
          <w:ilvl w:val="4"/>
          <w:numId w:val="11"/>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Duração de </w:t>
      </w:r>
      <w:r w:rsidR="00AE2CC0" w:rsidRPr="005B09F6">
        <w:rPr>
          <w:rFonts w:ascii="Calibri" w:hAnsi="Calibri" w:cs="Arial"/>
          <w:szCs w:val="24"/>
        </w:rPr>
        <w:t xml:space="preserve">quatro </w:t>
      </w:r>
      <w:r w:rsidRPr="005B09F6">
        <w:rPr>
          <w:rFonts w:ascii="Calibri" w:hAnsi="Calibri" w:cs="Arial"/>
          <w:szCs w:val="24"/>
        </w:rPr>
        <w:t>meses a contar da data da prisão:</w:t>
      </w:r>
    </w:p>
    <w:p w:rsidR="005B1A2F" w:rsidRPr="005B09F6" w:rsidRDefault="005B1A2F" w:rsidP="00261DD2">
      <w:pPr>
        <w:pStyle w:val="Recuodecorpodetexto"/>
        <w:numPr>
          <w:ilvl w:val="5"/>
          <w:numId w:val="11"/>
        </w:numPr>
        <w:tabs>
          <w:tab w:val="left" w:pos="142"/>
        </w:tabs>
        <w:spacing w:after="120" w:line="360" w:lineRule="auto"/>
        <w:ind w:left="0" w:firstLine="0"/>
        <w:rPr>
          <w:rFonts w:ascii="Calibri" w:hAnsi="Calibri" w:cs="Arial"/>
          <w:szCs w:val="24"/>
        </w:rPr>
      </w:pPr>
      <w:r w:rsidRPr="005B09F6">
        <w:rPr>
          <w:rFonts w:ascii="Calibri" w:hAnsi="Calibri" w:cs="Arial"/>
          <w:szCs w:val="24"/>
        </w:rPr>
        <w:t>Se a reclusão ocorrer sem que o segurado tenha realizado 18 contribuições mensais à Previdência ou;</w:t>
      </w:r>
    </w:p>
    <w:p w:rsidR="005B1A2F" w:rsidRPr="005B09F6" w:rsidRDefault="005B1A2F" w:rsidP="00261DD2">
      <w:pPr>
        <w:pStyle w:val="Recuodecorpodetexto"/>
        <w:numPr>
          <w:ilvl w:val="5"/>
          <w:numId w:val="11"/>
        </w:numPr>
        <w:tabs>
          <w:tab w:val="left" w:pos="142"/>
        </w:tabs>
        <w:spacing w:after="120" w:line="360" w:lineRule="auto"/>
        <w:ind w:left="0" w:firstLine="0"/>
        <w:rPr>
          <w:rFonts w:ascii="Calibri" w:hAnsi="Calibri" w:cs="Arial"/>
          <w:szCs w:val="24"/>
        </w:rPr>
      </w:pPr>
      <w:r w:rsidRPr="005B09F6">
        <w:rPr>
          <w:rFonts w:ascii="Calibri" w:hAnsi="Calibri" w:cs="Arial"/>
          <w:szCs w:val="24"/>
        </w:rPr>
        <w:t xml:space="preserve">Se o casamento ou união estável se iniciar em menos de </w:t>
      </w:r>
      <w:r w:rsidR="00AE2CC0" w:rsidRPr="005B09F6">
        <w:rPr>
          <w:rFonts w:ascii="Calibri" w:hAnsi="Calibri" w:cs="Arial"/>
          <w:szCs w:val="24"/>
        </w:rPr>
        <w:t xml:space="preserve">dois </w:t>
      </w:r>
      <w:r w:rsidRPr="005B09F6">
        <w:rPr>
          <w:rFonts w:ascii="Calibri" w:hAnsi="Calibri" w:cs="Arial"/>
          <w:szCs w:val="24"/>
        </w:rPr>
        <w:t>anos antes do recolhimento do segurado à prisão;</w:t>
      </w:r>
    </w:p>
    <w:p w:rsidR="005B1A2F" w:rsidRPr="005B09F6" w:rsidRDefault="005B1A2F" w:rsidP="00261DD2">
      <w:pPr>
        <w:pStyle w:val="Recuodecorpodetexto"/>
        <w:numPr>
          <w:ilvl w:val="4"/>
          <w:numId w:val="11"/>
        </w:numPr>
        <w:tabs>
          <w:tab w:val="left" w:pos="142"/>
        </w:tabs>
        <w:spacing w:after="120" w:line="360" w:lineRule="auto"/>
        <w:ind w:left="0" w:firstLine="0"/>
        <w:rPr>
          <w:rFonts w:ascii="Calibri" w:hAnsi="Calibri" w:cs="Arial"/>
          <w:szCs w:val="24"/>
        </w:rPr>
      </w:pPr>
      <w:r w:rsidRPr="005B09F6">
        <w:rPr>
          <w:rFonts w:ascii="Calibri" w:hAnsi="Calibri" w:cs="Arial"/>
          <w:szCs w:val="24"/>
        </w:rPr>
        <w:t>Duração variável conforme a tabela abaixo:</w:t>
      </w:r>
    </w:p>
    <w:p w:rsidR="005B1A2F" w:rsidRPr="005B09F6" w:rsidRDefault="005B1A2F" w:rsidP="00261DD2">
      <w:pPr>
        <w:pStyle w:val="Recuodecorpodetexto"/>
        <w:numPr>
          <w:ilvl w:val="5"/>
          <w:numId w:val="12"/>
        </w:numPr>
        <w:tabs>
          <w:tab w:val="left" w:pos="142"/>
        </w:tabs>
        <w:spacing w:after="120" w:line="360" w:lineRule="auto"/>
        <w:ind w:left="0" w:firstLine="0"/>
        <w:rPr>
          <w:rFonts w:ascii="Calibri" w:hAnsi="Calibri" w:cs="Arial"/>
          <w:szCs w:val="24"/>
        </w:rPr>
      </w:pPr>
      <w:r w:rsidRPr="005B09F6">
        <w:rPr>
          <w:rFonts w:ascii="Calibri" w:hAnsi="Calibri" w:cs="Arial"/>
          <w:szCs w:val="24"/>
        </w:rPr>
        <w:t>Se a prisão ocorrer depois de vertidas 18 contribuições mensais pelo segurado e pelo menos 2 anos após o início do casamento ou da união estável;</w:t>
      </w:r>
    </w:p>
    <w:p w:rsidR="00011C5B" w:rsidRPr="005B09F6" w:rsidRDefault="00011C5B" w:rsidP="00011C5B">
      <w:pPr>
        <w:pStyle w:val="Recuodecorpodetexto"/>
        <w:tabs>
          <w:tab w:val="left" w:pos="142"/>
        </w:tabs>
        <w:spacing w:after="240" w:line="360" w:lineRule="auto"/>
        <w:ind w:firstLine="0"/>
        <w:rPr>
          <w:rFonts w:ascii="Calibri" w:hAnsi="Calibri" w:cs="Arial"/>
          <w:szCs w:val="24"/>
        </w:rPr>
      </w:pPr>
    </w:p>
    <w:tbl>
      <w:tblPr>
        <w:tblStyle w:val="Tabelacomgrad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47"/>
        <w:gridCol w:w="3686"/>
      </w:tblGrid>
      <w:tr w:rsidR="00261DD2" w:rsidRPr="005B09F6" w:rsidTr="00EB3834">
        <w:trPr>
          <w:trHeight w:hRule="exact" w:val="510"/>
          <w:jc w:val="center"/>
        </w:trPr>
        <w:tc>
          <w:tcPr>
            <w:tcW w:w="4547" w:type="dxa"/>
            <w:tcBorders>
              <w:top w:val="single" w:sz="4" w:space="0" w:color="auto"/>
              <w:bottom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b/>
                <w:szCs w:val="24"/>
              </w:rPr>
            </w:pPr>
            <w:r w:rsidRPr="005B09F6">
              <w:rPr>
                <w:rFonts w:ascii="Calibri" w:hAnsi="Calibri" w:cs="Arial"/>
                <w:b/>
                <w:szCs w:val="24"/>
              </w:rPr>
              <w:t>Idade do dependente na data da prisão</w:t>
            </w:r>
          </w:p>
        </w:tc>
        <w:tc>
          <w:tcPr>
            <w:tcW w:w="3686" w:type="dxa"/>
            <w:tcBorders>
              <w:top w:val="single" w:sz="4" w:space="0" w:color="auto"/>
              <w:bottom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b/>
                <w:szCs w:val="24"/>
              </w:rPr>
            </w:pPr>
            <w:r w:rsidRPr="005B09F6">
              <w:rPr>
                <w:rFonts w:ascii="Calibri" w:hAnsi="Calibri" w:cs="Arial"/>
                <w:b/>
                <w:szCs w:val="24"/>
              </w:rPr>
              <w:t>Duração máxima do benefício ou cota</w:t>
            </w:r>
          </w:p>
        </w:tc>
      </w:tr>
      <w:tr w:rsidR="00261DD2" w:rsidRPr="005B09F6" w:rsidTr="00EB3834">
        <w:trPr>
          <w:trHeight w:hRule="exact" w:val="510"/>
          <w:jc w:val="center"/>
        </w:trPr>
        <w:tc>
          <w:tcPr>
            <w:tcW w:w="4547" w:type="dxa"/>
            <w:tcBorders>
              <w:top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menos</w:t>
            </w:r>
            <w:proofErr w:type="gramEnd"/>
            <w:r w:rsidRPr="005B09F6">
              <w:rPr>
                <w:rFonts w:ascii="Calibri" w:hAnsi="Calibri" w:cs="Arial"/>
                <w:szCs w:val="24"/>
              </w:rPr>
              <w:t xml:space="preserve"> de 21 (vinte e um) anos</w:t>
            </w:r>
          </w:p>
        </w:tc>
        <w:tc>
          <w:tcPr>
            <w:tcW w:w="3686" w:type="dxa"/>
            <w:tcBorders>
              <w:top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3 (três) anos</w:t>
            </w:r>
          </w:p>
        </w:tc>
      </w:tr>
      <w:tr w:rsidR="00261DD2" w:rsidRPr="005B09F6" w:rsidTr="00EB3834">
        <w:trPr>
          <w:trHeight w:hRule="exact" w:val="510"/>
          <w:jc w:val="center"/>
        </w:trPr>
        <w:tc>
          <w:tcPr>
            <w:tcW w:w="4547"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21 (vinte e um) e 26 (vinte e seis) anos</w:t>
            </w:r>
          </w:p>
        </w:tc>
        <w:tc>
          <w:tcPr>
            <w:tcW w:w="3686"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6 (seis) anos</w:t>
            </w:r>
          </w:p>
        </w:tc>
      </w:tr>
      <w:tr w:rsidR="00261DD2" w:rsidRPr="005B09F6" w:rsidTr="00EB3834">
        <w:trPr>
          <w:trHeight w:hRule="exact" w:val="510"/>
          <w:jc w:val="center"/>
        </w:trPr>
        <w:tc>
          <w:tcPr>
            <w:tcW w:w="4547"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27 (vinte e sete) e 29 (vinte e nove) anos</w:t>
            </w:r>
          </w:p>
        </w:tc>
        <w:tc>
          <w:tcPr>
            <w:tcW w:w="3686"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10 (dez) anos</w:t>
            </w:r>
          </w:p>
        </w:tc>
      </w:tr>
      <w:tr w:rsidR="00261DD2" w:rsidRPr="005B09F6" w:rsidTr="00EB3834">
        <w:trPr>
          <w:trHeight w:hRule="exact" w:val="510"/>
          <w:jc w:val="center"/>
        </w:trPr>
        <w:tc>
          <w:tcPr>
            <w:tcW w:w="4547"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30 (trinta) e 40 (quarenta) anos</w:t>
            </w:r>
          </w:p>
        </w:tc>
        <w:tc>
          <w:tcPr>
            <w:tcW w:w="3686"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15 (quinze) anos</w:t>
            </w:r>
          </w:p>
        </w:tc>
      </w:tr>
      <w:tr w:rsidR="00261DD2" w:rsidRPr="005B09F6" w:rsidTr="00EB3834">
        <w:trPr>
          <w:trHeight w:hRule="exact" w:val="510"/>
          <w:jc w:val="center"/>
        </w:trPr>
        <w:tc>
          <w:tcPr>
            <w:tcW w:w="4547"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entre</w:t>
            </w:r>
            <w:proofErr w:type="gramEnd"/>
            <w:r w:rsidRPr="005B09F6">
              <w:rPr>
                <w:rFonts w:ascii="Calibri" w:hAnsi="Calibri" w:cs="Arial"/>
                <w:szCs w:val="24"/>
              </w:rPr>
              <w:t xml:space="preserve"> 41 (quarenta e um) e 43 (quarenta e três) anos</w:t>
            </w:r>
          </w:p>
        </w:tc>
        <w:tc>
          <w:tcPr>
            <w:tcW w:w="3686" w:type="dxa"/>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20 (vinte) anos</w:t>
            </w:r>
          </w:p>
        </w:tc>
      </w:tr>
      <w:tr w:rsidR="00614736" w:rsidRPr="005B09F6" w:rsidTr="00EB3834">
        <w:trPr>
          <w:trHeight w:hRule="exact" w:val="510"/>
          <w:jc w:val="center"/>
        </w:trPr>
        <w:tc>
          <w:tcPr>
            <w:tcW w:w="4547" w:type="dxa"/>
            <w:tcBorders>
              <w:bottom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szCs w:val="24"/>
              </w:rPr>
            </w:pPr>
            <w:proofErr w:type="gramStart"/>
            <w:r w:rsidRPr="005B09F6">
              <w:rPr>
                <w:rFonts w:ascii="Calibri" w:hAnsi="Calibri" w:cs="Arial"/>
                <w:szCs w:val="24"/>
              </w:rPr>
              <w:t>a</w:t>
            </w:r>
            <w:proofErr w:type="gramEnd"/>
            <w:r w:rsidRPr="005B09F6">
              <w:rPr>
                <w:rFonts w:ascii="Calibri" w:hAnsi="Calibri" w:cs="Arial"/>
                <w:szCs w:val="24"/>
              </w:rPr>
              <w:t xml:space="preserve"> partir de 44 (quarenta e quatro) anos</w:t>
            </w:r>
          </w:p>
        </w:tc>
        <w:tc>
          <w:tcPr>
            <w:tcW w:w="3686" w:type="dxa"/>
            <w:tcBorders>
              <w:bottom w:val="single" w:sz="4" w:space="0" w:color="auto"/>
            </w:tcBorders>
            <w:vAlign w:val="center"/>
          </w:tcPr>
          <w:p w:rsidR="00011C5B" w:rsidRPr="005B09F6" w:rsidRDefault="00011C5B" w:rsidP="00614736">
            <w:pPr>
              <w:pStyle w:val="Recuodecorpodetexto"/>
              <w:tabs>
                <w:tab w:val="left" w:pos="142"/>
              </w:tabs>
              <w:ind w:firstLine="0"/>
              <w:jc w:val="center"/>
              <w:rPr>
                <w:rFonts w:ascii="Calibri" w:hAnsi="Calibri" w:cs="Arial"/>
                <w:szCs w:val="24"/>
              </w:rPr>
            </w:pPr>
            <w:r w:rsidRPr="005B09F6">
              <w:rPr>
                <w:rFonts w:ascii="Calibri" w:hAnsi="Calibri" w:cs="Arial"/>
                <w:szCs w:val="24"/>
              </w:rPr>
              <w:t>Vitalício</w:t>
            </w:r>
          </w:p>
        </w:tc>
      </w:tr>
    </w:tbl>
    <w:p w:rsidR="005B1A2F" w:rsidRPr="005B09F6" w:rsidRDefault="005B1A2F" w:rsidP="00E341F3">
      <w:pPr>
        <w:pStyle w:val="Recuodecorpodetexto"/>
        <w:tabs>
          <w:tab w:val="left" w:pos="142"/>
        </w:tabs>
        <w:spacing w:after="240" w:line="360" w:lineRule="auto"/>
        <w:ind w:firstLine="0"/>
        <w:rPr>
          <w:rFonts w:ascii="Calibri" w:hAnsi="Calibri" w:cs="Arial"/>
          <w:szCs w:val="24"/>
        </w:rPr>
      </w:pPr>
    </w:p>
    <w:p w:rsidR="005B1A2F" w:rsidRPr="005B09F6" w:rsidRDefault="005B1A2F"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 cônjuge inválido ou com deficiência: o benefício será devido enquanto durar a deficiência ou invalidez, respeitando-se os prazos mínimos descritos na tabela acima.</w:t>
      </w:r>
    </w:p>
    <w:p w:rsidR="005B1A2F" w:rsidRPr="005B09F6" w:rsidRDefault="005B1A2F"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Para os filhos, equiparados ou irmãos do segurado recluso (desde que comprovem o direito): o benefício é devido até os 21 (vinte e um) anos de idade, salvo em caso de invalidez ou deficiência.</w:t>
      </w:r>
    </w:p>
    <w:p w:rsidR="00D15731" w:rsidRPr="005B09F6" w:rsidRDefault="00285E11" w:rsidP="0079121C">
      <w:pPr>
        <w:pStyle w:val="Ttulo2"/>
        <w:rPr>
          <w:rFonts w:ascii="Calibri" w:hAnsi="Calibri"/>
          <w:sz w:val="24"/>
          <w:szCs w:val="24"/>
        </w:rPr>
      </w:pPr>
      <w:bookmarkStart w:id="81" w:name="_Toc511311205"/>
      <w:bookmarkStart w:id="82" w:name="_Toc511311230"/>
      <w:bookmarkStart w:id="83" w:name="_Toc511460485"/>
      <w:bookmarkStart w:id="84" w:name="_Toc4303275"/>
      <w:bookmarkStart w:id="85" w:name="_Toc4831151"/>
      <w:bookmarkStart w:id="86" w:name="_Toc4831221"/>
      <w:bookmarkStart w:id="87" w:name="_Toc479081342"/>
      <w:r w:rsidRPr="005B09F6">
        <w:rPr>
          <w:rFonts w:ascii="Calibri" w:hAnsi="Calibri"/>
          <w:sz w:val="24"/>
          <w:szCs w:val="24"/>
        </w:rPr>
        <w:t>2.10</w:t>
      </w:r>
      <w:r w:rsidRPr="005B09F6">
        <w:rPr>
          <w:rFonts w:ascii="Calibri" w:hAnsi="Calibri"/>
          <w:sz w:val="24"/>
          <w:szCs w:val="24"/>
        </w:rPr>
        <w:tab/>
      </w:r>
      <w:r w:rsidR="00D15731" w:rsidRPr="005B09F6">
        <w:rPr>
          <w:rFonts w:ascii="Calibri" w:hAnsi="Calibri"/>
          <w:sz w:val="24"/>
          <w:szCs w:val="24"/>
        </w:rPr>
        <w:t>Auxílio-acidente</w:t>
      </w:r>
      <w:bookmarkEnd w:id="81"/>
      <w:bookmarkEnd w:id="82"/>
      <w:bookmarkEnd w:id="83"/>
      <w:bookmarkEnd w:id="84"/>
      <w:bookmarkEnd w:id="85"/>
      <w:bookmarkEnd w:id="86"/>
      <w:bookmarkEnd w:id="87"/>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 xml:space="preserve">Fórmula do </w:t>
      </w:r>
      <w:r w:rsidR="00537D72" w:rsidRPr="005B09F6">
        <w:rPr>
          <w:rFonts w:ascii="Calibri" w:hAnsi="Calibri" w:cs="Arial"/>
          <w:b/>
          <w:szCs w:val="24"/>
        </w:rPr>
        <w:t xml:space="preserve">valor do </w:t>
      </w:r>
      <w:r w:rsidRPr="005B09F6">
        <w:rPr>
          <w:rFonts w:ascii="Calibri" w:hAnsi="Calibri" w:cs="Arial"/>
          <w:b/>
          <w:szCs w:val="24"/>
        </w:rPr>
        <w:t>benefício</w:t>
      </w:r>
      <w:r w:rsidRPr="005B09F6">
        <w:rPr>
          <w:rFonts w:ascii="Calibri" w:hAnsi="Calibri" w:cs="Arial"/>
          <w:szCs w:val="24"/>
        </w:rPr>
        <w:t>: 50% do salário-de-benefício que deu origem ao auxílio-doença do segurado, corrigido até o mês anterior ao do início do auxílio acidente.</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w:t>
      </w:r>
      <w:r w:rsidR="0073144E" w:rsidRPr="005B09F6">
        <w:rPr>
          <w:rFonts w:ascii="Calibri" w:hAnsi="Calibri" w:cs="Arial"/>
          <w:szCs w:val="24"/>
        </w:rPr>
        <w:t xml:space="preserve"> </w:t>
      </w:r>
      <w:r w:rsidRPr="005B09F6">
        <w:rPr>
          <w:rFonts w:ascii="Calibri" w:hAnsi="Calibri" w:cs="Arial"/>
          <w:szCs w:val="24"/>
        </w:rPr>
        <w:t xml:space="preserve">será concedido, como indenização, ao segurado empregado, </w:t>
      </w:r>
      <w:r w:rsidR="0039548C" w:rsidRPr="005B09F6">
        <w:rPr>
          <w:rFonts w:ascii="Calibri" w:hAnsi="Calibri" w:cs="Arial"/>
          <w:szCs w:val="24"/>
        </w:rPr>
        <w:t>a</w:t>
      </w:r>
      <w:r w:rsidRPr="005B09F6">
        <w:rPr>
          <w:rFonts w:ascii="Calibri" w:hAnsi="Calibri" w:cs="Arial"/>
          <w:szCs w:val="24"/>
        </w:rPr>
        <w:t>o</w:t>
      </w:r>
      <w:r w:rsidR="0039548C" w:rsidRPr="005B09F6">
        <w:rPr>
          <w:rFonts w:ascii="Calibri" w:hAnsi="Calibri" w:cs="Arial"/>
          <w:szCs w:val="24"/>
        </w:rPr>
        <w:t xml:space="preserve"> empregado</w:t>
      </w:r>
      <w:r w:rsidRPr="005B09F6">
        <w:rPr>
          <w:rFonts w:ascii="Calibri" w:hAnsi="Calibri" w:cs="Arial"/>
          <w:szCs w:val="24"/>
        </w:rPr>
        <w:t xml:space="preserve"> doméstico</w:t>
      </w:r>
      <w:r w:rsidR="0039548C" w:rsidRPr="005B09F6">
        <w:rPr>
          <w:rFonts w:ascii="Calibri" w:hAnsi="Calibri" w:cs="Arial"/>
          <w:szCs w:val="24"/>
        </w:rPr>
        <w:t xml:space="preserve"> (</w:t>
      </w:r>
      <w:r w:rsidR="00C712CD" w:rsidRPr="005B09F6">
        <w:rPr>
          <w:rFonts w:ascii="Calibri" w:hAnsi="Calibri" w:cs="Arial"/>
          <w:szCs w:val="24"/>
        </w:rPr>
        <w:t xml:space="preserve">neste caso, </w:t>
      </w:r>
      <w:r w:rsidR="0039548C" w:rsidRPr="005B09F6">
        <w:rPr>
          <w:rFonts w:ascii="Calibri" w:hAnsi="Calibri" w:cs="Arial"/>
          <w:szCs w:val="24"/>
        </w:rPr>
        <w:t xml:space="preserve">para acidentes ocorridos a partir de </w:t>
      </w:r>
      <w:r w:rsidR="00C712CD" w:rsidRPr="005B09F6">
        <w:rPr>
          <w:rFonts w:ascii="Calibri" w:hAnsi="Calibri" w:cs="Arial"/>
          <w:szCs w:val="24"/>
        </w:rPr>
        <w:t>0</w:t>
      </w:r>
      <w:r w:rsidR="00C87E75" w:rsidRPr="005B09F6">
        <w:rPr>
          <w:rFonts w:ascii="Calibri" w:hAnsi="Calibri" w:cs="Arial"/>
          <w:szCs w:val="24"/>
        </w:rPr>
        <w:t xml:space="preserve">2 </w:t>
      </w:r>
      <w:r w:rsidR="0039548C" w:rsidRPr="005B09F6">
        <w:rPr>
          <w:rFonts w:ascii="Calibri" w:hAnsi="Calibri" w:cs="Arial"/>
          <w:szCs w:val="24"/>
        </w:rPr>
        <w:t>de junho de 2015)</w:t>
      </w:r>
      <w:r w:rsidRPr="005B09F6">
        <w:rPr>
          <w:rFonts w:ascii="Calibri" w:hAnsi="Calibri" w:cs="Arial"/>
          <w:szCs w:val="24"/>
        </w:rPr>
        <w:t xml:space="preserve">, ao trabalhador avulso, ao segurado especial e ao médico-residente quando, após a consolidação das lesões decorrentes de acidente de qualquer natureza, resultar </w:t>
      </w:r>
      <w:r w:rsidR="005B1A2F" w:rsidRPr="005B09F6">
        <w:rPr>
          <w:rFonts w:ascii="Calibri" w:hAnsi="Calibri" w:cs="Arial"/>
          <w:szCs w:val="24"/>
        </w:rPr>
        <w:t>sequela</w:t>
      </w:r>
      <w:r w:rsidRPr="005B09F6">
        <w:rPr>
          <w:rFonts w:ascii="Calibri" w:hAnsi="Calibri" w:cs="Arial"/>
          <w:szCs w:val="24"/>
        </w:rPr>
        <w:t xml:space="preserve"> definitiva que implique:</w:t>
      </w:r>
    </w:p>
    <w:p w:rsidR="00D15731" w:rsidRPr="005B09F6" w:rsidRDefault="00D15731" w:rsidP="00E341F3">
      <w:pPr>
        <w:numPr>
          <w:ilvl w:val="0"/>
          <w:numId w:val="7"/>
        </w:numPr>
        <w:tabs>
          <w:tab w:val="clear" w:pos="360"/>
          <w:tab w:val="num" w:pos="-851"/>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redução</w:t>
      </w:r>
      <w:proofErr w:type="gramEnd"/>
      <w:r w:rsidRPr="005B09F6">
        <w:rPr>
          <w:rFonts w:ascii="Calibri" w:hAnsi="Calibri" w:cs="Arial"/>
          <w:sz w:val="24"/>
          <w:szCs w:val="24"/>
        </w:rPr>
        <w:t xml:space="preserve"> da capacidade para o trabalho que habitualmente exerciam e exija maior esforço para o desempenho da mesma atividade que exerciam à época do acidente; </w:t>
      </w:r>
    </w:p>
    <w:p w:rsidR="00D15731" w:rsidRPr="005B09F6" w:rsidRDefault="00D15731" w:rsidP="00E341F3">
      <w:pPr>
        <w:numPr>
          <w:ilvl w:val="0"/>
          <w:numId w:val="7"/>
        </w:numPr>
        <w:tabs>
          <w:tab w:val="clear" w:pos="360"/>
          <w:tab w:val="num" w:pos="-851"/>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impossibilidade</w:t>
      </w:r>
      <w:proofErr w:type="gramEnd"/>
      <w:r w:rsidRPr="005B09F6">
        <w:rPr>
          <w:rFonts w:ascii="Calibri" w:hAnsi="Calibri" w:cs="Arial"/>
          <w:sz w:val="24"/>
          <w:szCs w:val="24"/>
        </w:rPr>
        <w:t xml:space="preserve"> de desempenho da atividade que exerciam à época do acidente, porém permita o desempenho de outra, após processo de reabilitação profissional, nos casos indicados pela perícia do Instituto Nacional de Seguridade Social.</w:t>
      </w:r>
    </w:p>
    <w:p w:rsidR="00D15731" w:rsidRPr="005B09F6" w:rsidRDefault="00D15731" w:rsidP="00E341F3">
      <w:pPr>
        <w:numPr>
          <w:ilvl w:val="0"/>
          <w:numId w:val="7"/>
        </w:numPr>
        <w:tabs>
          <w:tab w:val="clear" w:pos="360"/>
          <w:tab w:val="num" w:pos="-851"/>
          <w:tab w:val="left" w:pos="142"/>
        </w:tabs>
        <w:spacing w:after="240" w:line="360" w:lineRule="auto"/>
        <w:ind w:left="0" w:firstLine="0"/>
        <w:jc w:val="both"/>
        <w:rPr>
          <w:rFonts w:ascii="Calibri" w:hAnsi="Calibri" w:cs="Arial"/>
          <w:sz w:val="24"/>
          <w:szCs w:val="24"/>
        </w:rPr>
      </w:pPr>
      <w:proofErr w:type="gramStart"/>
      <w:r w:rsidRPr="005B09F6">
        <w:rPr>
          <w:rFonts w:ascii="Calibri" w:hAnsi="Calibri" w:cs="Arial"/>
          <w:sz w:val="24"/>
          <w:szCs w:val="24"/>
        </w:rPr>
        <w:t>redução</w:t>
      </w:r>
      <w:proofErr w:type="gramEnd"/>
      <w:r w:rsidRPr="005B09F6">
        <w:rPr>
          <w:rFonts w:ascii="Calibri" w:hAnsi="Calibri" w:cs="Arial"/>
          <w:sz w:val="24"/>
          <w:szCs w:val="24"/>
        </w:rPr>
        <w:t xml:space="preserve"> da capacidade para o trabalho que habitualmente exerciam e se enquadrem nas situações discriminadas no Anexo III do Regulamento da Previdência Social (lesões do aparelho visual, traumas acústicos e outras).</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fluxo de renda paga mensalmente até a concessão de uma aposentadoria</w:t>
      </w:r>
      <w:r w:rsidR="0039548C" w:rsidRPr="005B09F6">
        <w:rPr>
          <w:rFonts w:ascii="Calibri" w:hAnsi="Calibri" w:cs="Arial"/>
          <w:szCs w:val="24"/>
        </w:rPr>
        <w:t>, solicitação de Certidão de Tempo de Contribuição (CTC) para fins de averbação em Regime Próprio de Previdência Social (RPPS)</w:t>
      </w:r>
      <w:r w:rsidRPr="005B09F6">
        <w:rPr>
          <w:rFonts w:ascii="Calibri" w:hAnsi="Calibri" w:cs="Arial"/>
          <w:szCs w:val="24"/>
        </w:rPr>
        <w:t xml:space="preserve"> ou falecimento do segurado.</w:t>
      </w:r>
    </w:p>
    <w:p w:rsidR="00D15731" w:rsidRPr="005B09F6" w:rsidRDefault="00285E11" w:rsidP="0079121C">
      <w:pPr>
        <w:pStyle w:val="Ttulo2"/>
        <w:rPr>
          <w:rFonts w:ascii="Calibri" w:hAnsi="Calibri"/>
          <w:sz w:val="24"/>
          <w:szCs w:val="24"/>
        </w:rPr>
      </w:pPr>
      <w:bookmarkStart w:id="88" w:name="_Toc511311206"/>
      <w:bookmarkStart w:id="89" w:name="_Toc511311231"/>
      <w:bookmarkStart w:id="90" w:name="_Toc511460486"/>
      <w:bookmarkStart w:id="91" w:name="_Toc4303276"/>
      <w:bookmarkStart w:id="92" w:name="_Toc4831152"/>
      <w:bookmarkStart w:id="93" w:name="_Toc4831222"/>
      <w:bookmarkStart w:id="94" w:name="_Toc479081343"/>
      <w:r w:rsidRPr="005B09F6">
        <w:rPr>
          <w:rFonts w:ascii="Calibri" w:hAnsi="Calibri"/>
          <w:sz w:val="24"/>
          <w:szCs w:val="24"/>
        </w:rPr>
        <w:t>2.11</w:t>
      </w:r>
      <w:r w:rsidRPr="005B09F6">
        <w:rPr>
          <w:rFonts w:ascii="Calibri" w:hAnsi="Calibri"/>
          <w:sz w:val="24"/>
          <w:szCs w:val="24"/>
        </w:rPr>
        <w:tab/>
      </w:r>
      <w:r w:rsidR="00D15731" w:rsidRPr="005B09F6">
        <w:rPr>
          <w:rFonts w:ascii="Calibri" w:hAnsi="Calibri"/>
          <w:sz w:val="24"/>
          <w:szCs w:val="24"/>
        </w:rPr>
        <w:t>Reabilitação Profissional</w:t>
      </w:r>
      <w:bookmarkEnd w:id="88"/>
      <w:bookmarkEnd w:id="89"/>
      <w:bookmarkEnd w:id="90"/>
      <w:bookmarkEnd w:id="91"/>
      <w:bookmarkEnd w:id="92"/>
      <w:bookmarkEnd w:id="93"/>
      <w:bookmarkEnd w:id="94"/>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Consiste </w:t>
      </w:r>
      <w:r w:rsidR="00C87E75" w:rsidRPr="005B09F6">
        <w:rPr>
          <w:rFonts w:ascii="Calibri" w:hAnsi="Calibri" w:cs="Arial"/>
          <w:szCs w:val="24"/>
        </w:rPr>
        <w:t xml:space="preserve">em um serviço que visa </w:t>
      </w:r>
      <w:r w:rsidRPr="005B09F6">
        <w:rPr>
          <w:rFonts w:ascii="Calibri" w:hAnsi="Calibri" w:cs="Arial"/>
          <w:szCs w:val="24"/>
        </w:rPr>
        <w:t>proporcionar aos segurados e dependentes incapacitados</w:t>
      </w:r>
      <w:r w:rsidR="00C87E75" w:rsidRPr="005B09F6">
        <w:rPr>
          <w:rFonts w:ascii="Calibri" w:hAnsi="Calibri" w:cs="Arial"/>
          <w:szCs w:val="24"/>
        </w:rPr>
        <w:t xml:space="preserve"> para o trabalho</w:t>
      </w:r>
      <w:r w:rsidRPr="005B09F6">
        <w:rPr>
          <w:rFonts w:ascii="Calibri" w:hAnsi="Calibri" w:cs="Arial"/>
          <w:szCs w:val="24"/>
        </w:rPr>
        <w:t xml:space="preserve"> (parcial ou totalmente)</w:t>
      </w:r>
      <w:r w:rsidR="00C87E75" w:rsidRPr="005B09F6">
        <w:rPr>
          <w:rFonts w:ascii="Calibri" w:hAnsi="Calibri" w:cs="Arial"/>
          <w:szCs w:val="24"/>
        </w:rPr>
        <w:t xml:space="preserve"> e às pessoas com deficiência</w:t>
      </w:r>
      <w:r w:rsidRPr="005B09F6">
        <w:rPr>
          <w:rFonts w:ascii="Calibri" w:hAnsi="Calibri" w:cs="Arial"/>
          <w:szCs w:val="24"/>
        </w:rPr>
        <w:t xml:space="preserve"> os meios indicados para a (</w:t>
      </w:r>
      <w:proofErr w:type="spellStart"/>
      <w:r w:rsidRPr="005B09F6">
        <w:rPr>
          <w:rFonts w:ascii="Calibri" w:hAnsi="Calibri" w:cs="Arial"/>
          <w:szCs w:val="24"/>
        </w:rPr>
        <w:t>re</w:t>
      </w:r>
      <w:proofErr w:type="spellEnd"/>
      <w:r w:rsidRPr="005B09F6">
        <w:rPr>
          <w:rFonts w:ascii="Calibri" w:hAnsi="Calibri" w:cs="Arial"/>
          <w:szCs w:val="24"/>
        </w:rPr>
        <w:t>)educação e (</w:t>
      </w:r>
      <w:proofErr w:type="spellStart"/>
      <w:r w:rsidRPr="005B09F6">
        <w:rPr>
          <w:rFonts w:ascii="Calibri" w:hAnsi="Calibri" w:cs="Arial"/>
          <w:szCs w:val="24"/>
        </w:rPr>
        <w:t>re</w:t>
      </w:r>
      <w:proofErr w:type="spellEnd"/>
      <w:r w:rsidRPr="005B09F6">
        <w:rPr>
          <w:rFonts w:ascii="Calibri" w:hAnsi="Calibri" w:cs="Arial"/>
          <w:szCs w:val="24"/>
        </w:rPr>
        <w:t>)adaptação profissional e social, de modo que possam voltar a participar do mercado de trabalho.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Fórmula do</w:t>
      </w:r>
      <w:r w:rsidR="00C712CD" w:rsidRPr="005B09F6">
        <w:rPr>
          <w:rFonts w:ascii="Calibri" w:hAnsi="Calibri" w:cs="Arial"/>
          <w:b/>
          <w:szCs w:val="24"/>
        </w:rPr>
        <w:t xml:space="preserve"> valor do </w:t>
      </w:r>
      <w:r w:rsidRPr="005B09F6">
        <w:rPr>
          <w:rFonts w:ascii="Calibri" w:hAnsi="Calibri" w:cs="Arial"/>
          <w:b/>
          <w:szCs w:val="24"/>
        </w:rPr>
        <w:t>benefício</w:t>
      </w:r>
      <w:r w:rsidRPr="005B09F6">
        <w:rPr>
          <w:rFonts w:ascii="Calibri" w:hAnsi="Calibri" w:cs="Arial"/>
          <w:szCs w:val="24"/>
        </w:rPr>
        <w:t>: custo decorrente do tratamento.</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xml:space="preserve">: ser segurado, aposentado ou dependente incapacitado (total ou parcialmente) ou </w:t>
      </w:r>
      <w:r w:rsidR="00C87E75" w:rsidRPr="005B09F6">
        <w:rPr>
          <w:rFonts w:ascii="Calibri" w:hAnsi="Calibri" w:cs="Arial"/>
          <w:szCs w:val="24"/>
        </w:rPr>
        <w:t xml:space="preserve">com </w:t>
      </w:r>
      <w:r w:rsidRPr="005B09F6">
        <w:rPr>
          <w:rFonts w:ascii="Calibri" w:hAnsi="Calibri" w:cs="Arial"/>
          <w:szCs w:val="24"/>
        </w:rPr>
        <w:t>deficiência.</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atendimento feito por uma equipe multidisciplinar, que envolve médicos, assistentes sociais, psicólogos, sociólogos, fisioterapeutas, entre outros.</w:t>
      </w:r>
    </w:p>
    <w:p w:rsidR="00D15731" w:rsidRPr="005B09F6" w:rsidRDefault="00285E11" w:rsidP="0079121C">
      <w:pPr>
        <w:pStyle w:val="Ttulo2"/>
        <w:rPr>
          <w:rFonts w:ascii="Calibri" w:hAnsi="Calibri"/>
          <w:sz w:val="24"/>
          <w:szCs w:val="24"/>
        </w:rPr>
      </w:pPr>
      <w:bookmarkStart w:id="95" w:name="_Toc511311207"/>
      <w:bookmarkStart w:id="96" w:name="_Toc511311232"/>
      <w:bookmarkStart w:id="97" w:name="_Toc511460487"/>
      <w:bookmarkStart w:id="98" w:name="_Toc4303277"/>
      <w:bookmarkStart w:id="99" w:name="_Toc4831153"/>
      <w:bookmarkStart w:id="100" w:name="_Toc4831223"/>
      <w:bookmarkStart w:id="101" w:name="_Toc479081344"/>
      <w:r w:rsidRPr="005B09F6">
        <w:rPr>
          <w:rFonts w:ascii="Calibri" w:hAnsi="Calibri"/>
          <w:sz w:val="24"/>
          <w:szCs w:val="24"/>
        </w:rPr>
        <w:t>2.12</w:t>
      </w:r>
      <w:r w:rsidRPr="005B09F6">
        <w:rPr>
          <w:rFonts w:ascii="Calibri" w:hAnsi="Calibri"/>
          <w:sz w:val="24"/>
          <w:szCs w:val="24"/>
        </w:rPr>
        <w:tab/>
      </w:r>
      <w:r w:rsidR="00D15731" w:rsidRPr="005B09F6">
        <w:rPr>
          <w:rFonts w:ascii="Calibri" w:hAnsi="Calibri"/>
          <w:sz w:val="24"/>
          <w:szCs w:val="24"/>
        </w:rPr>
        <w:t>Abono Anual</w:t>
      </w:r>
      <w:bookmarkEnd w:id="95"/>
      <w:bookmarkEnd w:id="96"/>
      <w:bookmarkEnd w:id="97"/>
      <w:bookmarkEnd w:id="98"/>
      <w:bookmarkEnd w:id="99"/>
      <w:bookmarkEnd w:id="100"/>
      <w:bookmarkEnd w:id="101"/>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Fórmula do</w:t>
      </w:r>
      <w:r w:rsidR="00C712CD" w:rsidRPr="005B09F6">
        <w:rPr>
          <w:rFonts w:ascii="Calibri" w:hAnsi="Calibri" w:cs="Arial"/>
          <w:b/>
          <w:szCs w:val="24"/>
        </w:rPr>
        <w:t xml:space="preserve"> valor do</w:t>
      </w:r>
      <w:r w:rsidRPr="005B09F6">
        <w:rPr>
          <w:rFonts w:ascii="Calibri" w:hAnsi="Calibri" w:cs="Arial"/>
          <w:b/>
          <w:szCs w:val="24"/>
        </w:rPr>
        <w:t xml:space="preserve"> benefício</w:t>
      </w:r>
      <w:r w:rsidRPr="005B09F6">
        <w:rPr>
          <w:rFonts w:ascii="Calibri" w:hAnsi="Calibri" w:cs="Arial"/>
          <w:szCs w:val="24"/>
        </w:rPr>
        <w:t xml:space="preserve">: corresponde ao valor da renda mensal do benefício no mês de dezembro, </w:t>
      </w:r>
      <w:r w:rsidR="00C528CE" w:rsidRPr="005B09F6">
        <w:rPr>
          <w:rFonts w:ascii="Calibri" w:hAnsi="Calibri" w:cs="Arial"/>
          <w:szCs w:val="24"/>
        </w:rPr>
        <w:t xml:space="preserve">e será devido </w:t>
      </w:r>
      <w:r w:rsidRPr="005B09F6">
        <w:rPr>
          <w:rFonts w:ascii="Calibri" w:hAnsi="Calibri" w:cs="Arial"/>
          <w:szCs w:val="24"/>
        </w:rPr>
        <w:t>quando o benefício foi recebido no ano todo, ou seja, durante todos os 12 meses. O recebimento de benefício por período inferior a 12 meses determina o cálculo do abono anual de forma proporcional, devendo ser considerado como mês integral o período igual ou superior a 15 dias, observando-se como base a última renda mensal.</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Condições para habilitação</w:t>
      </w:r>
      <w:r w:rsidRPr="005B09F6">
        <w:rPr>
          <w:rFonts w:ascii="Calibri" w:hAnsi="Calibri" w:cs="Arial"/>
          <w:szCs w:val="24"/>
        </w:rPr>
        <w:t>: ter recebido, durante o ano, auxílio-doença, auxílio-acidente, aposentadoria, pensão por morte, auxílio-reclusão ou salário maternidade.</w:t>
      </w: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b/>
          <w:szCs w:val="24"/>
        </w:rPr>
        <w:t>Amplitude dos benefícios</w:t>
      </w:r>
      <w:r w:rsidRPr="005B09F6">
        <w:rPr>
          <w:rFonts w:ascii="Calibri" w:hAnsi="Calibri" w:cs="Arial"/>
          <w:szCs w:val="24"/>
        </w:rPr>
        <w:t xml:space="preserve">: </w:t>
      </w:r>
      <w:r w:rsidR="00F72E9B" w:rsidRPr="005B09F6">
        <w:rPr>
          <w:rFonts w:ascii="Calibri" w:hAnsi="Calibri" w:cs="Arial"/>
          <w:szCs w:val="24"/>
        </w:rPr>
        <w:t>usualmente pagamento em duas parcelas, nos meses de setembro e dezembro.</w:t>
      </w:r>
    </w:p>
    <w:p w:rsidR="00D15731" w:rsidRPr="005B09F6" w:rsidRDefault="00D15731" w:rsidP="00511A13">
      <w:pPr>
        <w:pStyle w:val="Ttulo1"/>
        <w:rPr>
          <w:rFonts w:ascii="Calibri" w:hAnsi="Calibri"/>
          <w:sz w:val="24"/>
          <w:szCs w:val="24"/>
        </w:rPr>
      </w:pPr>
      <w:bookmarkStart w:id="102" w:name="_Toc511311209"/>
      <w:bookmarkStart w:id="103" w:name="_Toc511460489"/>
      <w:bookmarkStart w:id="104" w:name="_Toc4303279"/>
      <w:bookmarkStart w:id="105" w:name="_Toc4831155"/>
      <w:bookmarkStart w:id="106" w:name="_Toc4831225"/>
      <w:bookmarkStart w:id="107" w:name="_Toc479081345"/>
      <w:r w:rsidRPr="005B09F6">
        <w:rPr>
          <w:rFonts w:ascii="Calibri" w:hAnsi="Calibri"/>
          <w:sz w:val="24"/>
          <w:szCs w:val="24"/>
        </w:rPr>
        <w:t>3. TENDÊNCIAS DEMOGRÁFICAS</w:t>
      </w:r>
      <w:bookmarkEnd w:id="102"/>
      <w:bookmarkEnd w:id="103"/>
      <w:bookmarkEnd w:id="104"/>
      <w:bookmarkEnd w:id="105"/>
      <w:bookmarkEnd w:id="106"/>
      <w:bookmarkEnd w:id="107"/>
    </w:p>
    <w:p w:rsidR="00BA259F" w:rsidRPr="005B09F6" w:rsidRDefault="00BA259F" w:rsidP="00E341F3">
      <w:pPr>
        <w:pStyle w:val="Recuodecorpodetexto"/>
        <w:tabs>
          <w:tab w:val="left" w:pos="142"/>
        </w:tabs>
        <w:spacing w:after="240" w:line="360" w:lineRule="auto"/>
        <w:ind w:firstLine="0"/>
        <w:rPr>
          <w:rFonts w:ascii="Calibri" w:hAnsi="Calibri" w:cs="Arial"/>
          <w:szCs w:val="24"/>
        </w:rPr>
      </w:pPr>
    </w:p>
    <w:p w:rsidR="00D15731" w:rsidRPr="005B09F6" w:rsidRDefault="00D15731"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O RGPS funciona em regime de repartição simples, onde os trabalhadores em atividade financiam os inativos na expectativa de que, no futuro, outra geração de trabalhadores sustentará a sua inatividade. Neste sistema, a taxa de crescimento da população, a evolução de seu perfil etário e a taxa de urbanização são variáveis fundamentais para estimar a evolução dos contribuintes e beneficiários. Esta seção apresenta as projeções demográficas para os próximos </w:t>
      </w:r>
      <w:r w:rsidR="00A755EC" w:rsidRPr="005B09F6">
        <w:rPr>
          <w:rFonts w:ascii="Calibri" w:hAnsi="Calibri" w:cs="Arial"/>
          <w:szCs w:val="24"/>
        </w:rPr>
        <w:t xml:space="preserve">43 </w:t>
      </w:r>
      <w:r w:rsidRPr="005B09F6">
        <w:rPr>
          <w:rFonts w:ascii="Calibri" w:hAnsi="Calibri" w:cs="Arial"/>
          <w:szCs w:val="24"/>
        </w:rPr>
        <w:t>anos realizadas pelo Instituto Brasileiro de</w:t>
      </w:r>
      <w:r w:rsidR="006E30B3" w:rsidRPr="005B09F6">
        <w:rPr>
          <w:rFonts w:ascii="Calibri" w:hAnsi="Calibri" w:cs="Arial"/>
          <w:szCs w:val="24"/>
        </w:rPr>
        <w:t xml:space="preserve"> Geografia e Estatística – IBGE. </w:t>
      </w:r>
    </w:p>
    <w:p w:rsidR="00851D4A" w:rsidRPr="005B09F6" w:rsidRDefault="009B2515"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De acordo com o IBGE, nos próximos </w:t>
      </w:r>
      <w:r w:rsidR="00A755EC" w:rsidRPr="005B09F6">
        <w:rPr>
          <w:rFonts w:ascii="Calibri" w:hAnsi="Calibri" w:cs="Arial"/>
          <w:szCs w:val="24"/>
        </w:rPr>
        <w:t xml:space="preserve">43 </w:t>
      </w:r>
      <w:r w:rsidRPr="005B09F6">
        <w:rPr>
          <w:rFonts w:ascii="Calibri" w:hAnsi="Calibri" w:cs="Arial"/>
          <w:szCs w:val="24"/>
        </w:rPr>
        <w:t>anos</w:t>
      </w:r>
      <w:r w:rsidR="00851D4A" w:rsidRPr="005B09F6">
        <w:rPr>
          <w:rFonts w:ascii="Calibri" w:hAnsi="Calibri" w:cs="Arial"/>
          <w:szCs w:val="24"/>
        </w:rPr>
        <w:t xml:space="preserve"> (</w:t>
      </w:r>
      <w:r w:rsidR="00A755EC" w:rsidRPr="005B09F6">
        <w:rPr>
          <w:rFonts w:ascii="Calibri" w:hAnsi="Calibri" w:cs="Arial"/>
          <w:szCs w:val="24"/>
        </w:rPr>
        <w:t>2017</w:t>
      </w:r>
      <w:r w:rsidR="00851D4A" w:rsidRPr="005B09F6">
        <w:rPr>
          <w:rFonts w:ascii="Calibri" w:hAnsi="Calibri" w:cs="Arial"/>
          <w:szCs w:val="24"/>
        </w:rPr>
        <w:t>-20</w:t>
      </w:r>
      <w:r w:rsidR="004C177B" w:rsidRPr="005B09F6">
        <w:rPr>
          <w:rFonts w:ascii="Calibri" w:hAnsi="Calibri" w:cs="Arial"/>
          <w:szCs w:val="24"/>
        </w:rPr>
        <w:t>6</w:t>
      </w:r>
      <w:r w:rsidR="00851D4A" w:rsidRPr="005B09F6">
        <w:rPr>
          <w:rFonts w:ascii="Calibri" w:hAnsi="Calibri" w:cs="Arial"/>
          <w:szCs w:val="24"/>
        </w:rPr>
        <w:t>0)</w:t>
      </w:r>
      <w:r w:rsidRPr="005B09F6">
        <w:rPr>
          <w:rFonts w:ascii="Calibri" w:hAnsi="Calibri" w:cs="Arial"/>
          <w:szCs w:val="24"/>
        </w:rPr>
        <w:t>, deverá ser mantida a tendência observada nas últimas décadas de declínio da taxa de crescimento da população com aceleração do envelhecimento populacional. De acordo com dados apresentados no Tabela 3.1, a taxa média anual de crescimento da população, que diminui de 3,0% na década de 60 para 1,2% na primeira década deste século, deverá manter a tendência de queda nos próximos 37 anos, chegando a 0,1% entre 2030 e 2040 e passando a apresentar variação negativa a partir da década de 2040, momento em que a população começará a diminuir em termos absolutos.</w:t>
      </w:r>
    </w:p>
    <w:tbl>
      <w:tblPr>
        <w:tblW w:w="4880" w:type="dxa"/>
        <w:jc w:val="center"/>
        <w:tblCellMar>
          <w:left w:w="70" w:type="dxa"/>
          <w:right w:w="70" w:type="dxa"/>
        </w:tblCellMar>
        <w:tblLook w:val="04A0" w:firstRow="1" w:lastRow="0" w:firstColumn="1" w:lastColumn="0" w:noHBand="0" w:noVBand="1"/>
      </w:tblPr>
      <w:tblGrid>
        <w:gridCol w:w="2140"/>
        <w:gridCol w:w="2740"/>
      </w:tblGrid>
      <w:tr w:rsidR="004C177B" w:rsidRPr="005B09F6" w:rsidTr="00EB3834">
        <w:trPr>
          <w:trHeight w:hRule="exact" w:val="828"/>
          <w:jc w:val="center"/>
        </w:trPr>
        <w:tc>
          <w:tcPr>
            <w:tcW w:w="4880" w:type="dxa"/>
            <w:gridSpan w:val="2"/>
            <w:tcBorders>
              <w:top w:val="nil"/>
              <w:left w:val="nil"/>
              <w:bottom w:val="single" w:sz="8" w:space="0" w:color="auto"/>
              <w:right w:val="nil"/>
            </w:tcBorders>
            <w:shd w:val="clear" w:color="auto" w:fill="auto"/>
            <w:vAlign w:val="center"/>
            <w:hideMark/>
          </w:tcPr>
          <w:p w:rsidR="004C177B" w:rsidRPr="005B09F6" w:rsidRDefault="004C177B" w:rsidP="005C70D4">
            <w:pPr>
              <w:tabs>
                <w:tab w:val="left" w:pos="142"/>
              </w:tabs>
              <w:spacing w:line="288" w:lineRule="auto"/>
              <w:jc w:val="center"/>
              <w:rPr>
                <w:rFonts w:ascii="Calibri" w:hAnsi="Calibri" w:cs="Arial"/>
                <w:b/>
                <w:bCs/>
                <w:sz w:val="24"/>
                <w:szCs w:val="24"/>
                <w:lang w:eastAsia="pt-BR"/>
              </w:rPr>
            </w:pPr>
            <w:r w:rsidRPr="005B09F6">
              <w:rPr>
                <w:rFonts w:ascii="Calibri" w:hAnsi="Calibri" w:cs="Arial"/>
                <w:b/>
                <w:bCs/>
                <w:sz w:val="24"/>
                <w:szCs w:val="24"/>
                <w:lang w:eastAsia="pt-BR"/>
              </w:rPr>
              <w:t xml:space="preserve">Tabela 3.1 </w:t>
            </w:r>
            <w:r w:rsidR="005C70D4" w:rsidRPr="005B09F6">
              <w:rPr>
                <w:rFonts w:ascii="Calibri" w:hAnsi="Calibri" w:cs="Arial"/>
                <w:bCs/>
                <w:sz w:val="24"/>
                <w:szCs w:val="24"/>
                <w:lang w:eastAsia="pt-BR"/>
              </w:rPr>
              <w:t>―</w:t>
            </w:r>
            <w:r w:rsidRPr="005B09F6">
              <w:rPr>
                <w:rFonts w:ascii="Calibri" w:hAnsi="Calibri" w:cs="Arial"/>
                <w:bCs/>
                <w:sz w:val="24"/>
                <w:szCs w:val="24"/>
                <w:lang w:eastAsia="pt-BR"/>
              </w:rPr>
              <w:t xml:space="preserve"> Taxa de crescimento populacional - Média anual por década 1960-2060</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1960-1970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2,9%</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1970-1980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2,5%</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1980-1990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1,8%</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1990-2000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1,6%</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2000-2010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1,2%</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2010-2020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1,1%</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2020-2030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0,5%</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2030-2040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0,2%</w:t>
            </w:r>
          </w:p>
        </w:tc>
      </w:tr>
      <w:tr w:rsidR="004C177B" w:rsidRPr="005B09F6" w:rsidTr="00EB3834">
        <w:trPr>
          <w:trHeight w:hRule="exact" w:val="397"/>
          <w:jc w:val="center"/>
        </w:trPr>
        <w:tc>
          <w:tcPr>
            <w:tcW w:w="21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2040-2050</w:t>
            </w:r>
          </w:p>
        </w:tc>
        <w:tc>
          <w:tcPr>
            <w:tcW w:w="2740" w:type="dxa"/>
            <w:tcBorders>
              <w:top w:val="nil"/>
              <w:left w:val="nil"/>
              <w:bottom w:val="nil"/>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-0,1%</w:t>
            </w:r>
          </w:p>
        </w:tc>
      </w:tr>
      <w:tr w:rsidR="004C177B" w:rsidRPr="005B09F6" w:rsidTr="00EB3834">
        <w:trPr>
          <w:trHeight w:hRule="exact" w:val="397"/>
          <w:jc w:val="center"/>
        </w:trPr>
        <w:tc>
          <w:tcPr>
            <w:tcW w:w="2140" w:type="dxa"/>
            <w:tcBorders>
              <w:top w:val="nil"/>
              <w:left w:val="nil"/>
              <w:bottom w:val="single" w:sz="8" w:space="0" w:color="auto"/>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2050-2060</w:t>
            </w:r>
          </w:p>
        </w:tc>
        <w:tc>
          <w:tcPr>
            <w:tcW w:w="2740" w:type="dxa"/>
            <w:tcBorders>
              <w:top w:val="nil"/>
              <w:left w:val="nil"/>
              <w:bottom w:val="single" w:sz="8" w:space="0" w:color="auto"/>
              <w:right w:val="nil"/>
            </w:tcBorders>
            <w:shd w:val="clear" w:color="auto" w:fill="auto"/>
            <w:noWrap/>
            <w:vAlign w:val="center"/>
            <w:hideMark/>
          </w:tcPr>
          <w:p w:rsidR="004C177B" w:rsidRPr="005B09F6" w:rsidRDefault="004C177B" w:rsidP="000E05CD">
            <w:pPr>
              <w:tabs>
                <w:tab w:val="left" w:pos="142"/>
              </w:tabs>
              <w:jc w:val="center"/>
              <w:rPr>
                <w:rFonts w:ascii="Calibri" w:hAnsi="Calibri" w:cs="Arial"/>
                <w:sz w:val="24"/>
                <w:szCs w:val="24"/>
                <w:lang w:eastAsia="pt-BR"/>
              </w:rPr>
            </w:pPr>
            <w:r w:rsidRPr="005B09F6">
              <w:rPr>
                <w:rFonts w:ascii="Calibri" w:hAnsi="Calibri" w:cs="Arial"/>
                <w:sz w:val="24"/>
                <w:szCs w:val="24"/>
                <w:lang w:eastAsia="pt-BR"/>
              </w:rPr>
              <w:t>-0,4%</w:t>
            </w:r>
          </w:p>
        </w:tc>
      </w:tr>
      <w:tr w:rsidR="004C177B" w:rsidRPr="005B09F6" w:rsidTr="00EB3834">
        <w:trPr>
          <w:trHeight w:hRule="exact" w:val="397"/>
          <w:jc w:val="center"/>
        </w:trPr>
        <w:tc>
          <w:tcPr>
            <w:tcW w:w="4880" w:type="dxa"/>
            <w:gridSpan w:val="2"/>
            <w:tcBorders>
              <w:top w:val="nil"/>
              <w:left w:val="nil"/>
              <w:bottom w:val="nil"/>
              <w:right w:val="nil"/>
            </w:tcBorders>
            <w:shd w:val="clear" w:color="auto" w:fill="auto"/>
            <w:noWrap/>
            <w:vAlign w:val="center"/>
            <w:hideMark/>
          </w:tcPr>
          <w:p w:rsidR="004C177B" w:rsidRPr="005B09F6" w:rsidRDefault="004C177B" w:rsidP="000E05CD">
            <w:pPr>
              <w:tabs>
                <w:tab w:val="left" w:pos="142"/>
              </w:tabs>
              <w:rPr>
                <w:rFonts w:ascii="Calibri" w:hAnsi="Calibri" w:cs="Arial"/>
                <w:sz w:val="24"/>
                <w:szCs w:val="24"/>
                <w:lang w:eastAsia="pt-BR"/>
              </w:rPr>
            </w:pPr>
            <w:r w:rsidRPr="005B09F6">
              <w:rPr>
                <w:rFonts w:ascii="Calibri" w:hAnsi="Calibri" w:cs="Arial"/>
                <w:sz w:val="24"/>
                <w:szCs w:val="24"/>
                <w:lang w:eastAsia="pt-BR"/>
              </w:rPr>
              <w:t>Fonte: IBGE - Projeção Populacional - Revisão 2013</w:t>
            </w:r>
          </w:p>
        </w:tc>
      </w:tr>
    </w:tbl>
    <w:p w:rsidR="00EB3834" w:rsidRPr="005B09F6" w:rsidRDefault="00EB3834" w:rsidP="00E341F3">
      <w:pPr>
        <w:pStyle w:val="Recuodecorpodetexto"/>
        <w:tabs>
          <w:tab w:val="left" w:pos="142"/>
        </w:tabs>
        <w:spacing w:after="240" w:line="360" w:lineRule="auto"/>
        <w:ind w:firstLine="0"/>
        <w:rPr>
          <w:rFonts w:ascii="Calibri" w:hAnsi="Calibri" w:cs="Arial"/>
          <w:szCs w:val="24"/>
        </w:rPr>
      </w:pPr>
    </w:p>
    <w:p w:rsidR="009B2515" w:rsidRPr="005B09F6" w:rsidRDefault="009B2515"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Como a redução das taxas de crescimento da população não ocorre de forma idêntica entre as diversas coortes etárias, as pirâmides populacionais brasileiras indicam significativas modificações na estrutura etária com o progressivo envelhecimento populacional. Conforme as projeções do IBGE, base para a construção das pirâmides etárias apresentadas nos Gráficos 3.1, 3.2 e 3.3, observa-se claramente o estreitamento gradual da base da pirâmide demográfica e o alargamento de seu topo entre 1980 e 20</w:t>
      </w:r>
      <w:r w:rsidR="004C177B" w:rsidRPr="005B09F6">
        <w:rPr>
          <w:rFonts w:ascii="Calibri" w:hAnsi="Calibri" w:cs="Arial"/>
          <w:szCs w:val="24"/>
        </w:rPr>
        <w:t>6</w:t>
      </w:r>
      <w:r w:rsidR="00851D4A" w:rsidRPr="005B09F6">
        <w:rPr>
          <w:rFonts w:ascii="Calibri" w:hAnsi="Calibri" w:cs="Arial"/>
          <w:szCs w:val="24"/>
        </w:rPr>
        <w:t>0</w:t>
      </w:r>
      <w:r w:rsidRPr="005B09F6">
        <w:rPr>
          <w:rFonts w:ascii="Calibri" w:hAnsi="Calibri" w:cs="Arial"/>
          <w:szCs w:val="24"/>
        </w:rPr>
        <w:t>, refletindo os efeitos da redução da proporção da população jovem em relação ao total e o aumento gradativo da população com idade avançada. A marcação em cores diferentes permite uma visualização dos três grandes grupos etários em que pode ser dividida a população. Em amarelo os jovens, entre 0 e 15 anos. Em marrom os adultos em idade produtiva, entre 16 e 59 anos e em verde os idosos, com mais de 60 anos. A relação entre a massa marrom e a massa verde indica a relação entre população ativa e inativa, que é uma das relações relevantes para a análise da sustentabilidade do sistema previdenciário. Deve ser ressaltado, ainda, o expressivo crescimento da diferença entre gêneros existente na população idosa, especialmente entre os idosos com mais de 80 anos, resultado das menores taxas de mortalidade entre as mulheres, acentuada no caso brasileiro pelas elevadas taxas de mortalidade masculina nas idades entre 15 e 29 anos.</w:t>
      </w:r>
    </w:p>
    <w:p w:rsidR="004C177B" w:rsidRPr="005B09F6" w:rsidRDefault="006D1CC3"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O processo de envelhecimento populacional é explicado pela composição de dois fenômenos: o aumento da expectativa de vida e a redução da taxa de fecundidade. O aumento da expectativa de vida e de sobrevida em idades avançadas da população está relacionado aos avanços na área de saúde, assim como ao investimento em saneamento e educação. Nas décadas de 30 e </w:t>
      </w:r>
      <w:smartTag w:uri="urn:schemas-microsoft-com:office:smarttags" w:element="metricconverter">
        <w:smartTagPr>
          <w:attr w:name="ProductID" w:val="40, a"/>
        </w:smartTagPr>
        <w:r w:rsidRPr="005B09F6">
          <w:rPr>
            <w:rFonts w:ascii="Calibri" w:hAnsi="Calibri" w:cs="Arial"/>
            <w:szCs w:val="24"/>
          </w:rPr>
          <w:t>40, a</w:t>
        </w:r>
      </w:smartTag>
      <w:r w:rsidRPr="005B09F6">
        <w:rPr>
          <w:rFonts w:ascii="Calibri" w:hAnsi="Calibri" w:cs="Arial"/>
          <w:szCs w:val="24"/>
        </w:rPr>
        <w:t xml:space="preserve"> expectativa de sobrevida para uma pessoa de 40 anos era de 24 anos para homens e 26 anos para mulheres. Já em 2000 ela subiu para 31 e 36 anos para homens e mulheres, e em 2010 para 35 e 40 anos, respectivamente. No caso </w:t>
      </w:r>
      <w:r w:rsidR="004C177B" w:rsidRPr="005B09F6">
        <w:rPr>
          <w:rFonts w:ascii="Calibri" w:hAnsi="Calibri" w:cs="Arial"/>
          <w:szCs w:val="24"/>
        </w:rPr>
        <w:t>de uma pessoa de 60 anos, a expectativa era de 13 anos para homens e 14 anos para mulheres em 1930 e 1940 e de 16 e 19 anos em 2000, chegando a 20 e 23 anos em 2010, como pode ser observado na Tabela 3.2. Vê-se, portanto uma tendência de crescimento da expectativa de sobrevida de mais de 45% para os homens com 40 anos e de 54% para os homens com 60 anos entre 1930 e 2010. No caso das mulheres, no mesmo período, o aumento foi da ordem de 54% para a idade de 40 anos e de 64% para a idade de 60 anos.</w:t>
      </w:r>
    </w:p>
    <w:p w:rsidR="000E05CD" w:rsidRPr="005B09F6" w:rsidRDefault="000E05CD" w:rsidP="00E341F3">
      <w:pPr>
        <w:pStyle w:val="Recuodecorpodetexto"/>
        <w:tabs>
          <w:tab w:val="left" w:pos="142"/>
        </w:tabs>
        <w:spacing w:after="240" w:line="360" w:lineRule="auto"/>
        <w:ind w:firstLine="0"/>
        <w:rPr>
          <w:rFonts w:ascii="Calibri" w:hAnsi="Calibri" w:cs="Arial"/>
          <w:szCs w:val="24"/>
        </w:rPr>
      </w:pPr>
    </w:p>
    <w:p w:rsidR="00EB3834" w:rsidRPr="005B09F6" w:rsidRDefault="00EB3834" w:rsidP="005C70D4">
      <w:pPr>
        <w:tabs>
          <w:tab w:val="left" w:pos="142"/>
        </w:tabs>
        <w:spacing w:after="120" w:line="360" w:lineRule="auto"/>
        <w:jc w:val="center"/>
        <w:rPr>
          <w:rFonts w:ascii="Calibri" w:hAnsi="Calibri" w:cs="Arial"/>
          <w:b/>
          <w:sz w:val="24"/>
          <w:szCs w:val="24"/>
        </w:rPr>
      </w:pPr>
      <w:r w:rsidRPr="005B09F6">
        <w:rPr>
          <w:rFonts w:ascii="Calibri" w:hAnsi="Calibri" w:cs="Arial"/>
          <w:b/>
          <w:sz w:val="24"/>
          <w:szCs w:val="24"/>
        </w:rPr>
        <w:t>Tabela 3.2</w:t>
      </w:r>
      <w:r w:rsidR="005C70D4" w:rsidRPr="005B09F6">
        <w:rPr>
          <w:rFonts w:ascii="Calibri" w:hAnsi="Calibri" w:cs="Arial"/>
          <w:b/>
          <w:sz w:val="24"/>
          <w:szCs w:val="24"/>
        </w:rPr>
        <w:t xml:space="preserve"> </w:t>
      </w:r>
      <w:r w:rsidR="005C70D4" w:rsidRPr="005B09F6">
        <w:rPr>
          <w:rFonts w:ascii="Calibri" w:hAnsi="Calibri" w:cs="Arial"/>
          <w:sz w:val="24"/>
          <w:szCs w:val="24"/>
        </w:rPr>
        <w:t xml:space="preserve">― </w:t>
      </w:r>
      <w:r w:rsidRPr="005B09F6">
        <w:rPr>
          <w:rFonts w:ascii="Calibri" w:hAnsi="Calibri" w:cs="Arial"/>
          <w:sz w:val="24"/>
          <w:szCs w:val="24"/>
        </w:rPr>
        <w:t>Evolução da expectativa de sobrevida no Brasil - 1930/2010</w:t>
      </w:r>
      <w:r w:rsidRPr="005B09F6">
        <w:rPr>
          <w:rFonts w:ascii="Calibri" w:hAnsi="Calibri" w:cs="Arial"/>
          <w:b/>
          <w:sz w:val="24"/>
          <w:szCs w:val="24"/>
        </w:rPr>
        <w:t xml:space="preserve"> </w:t>
      </w:r>
    </w:p>
    <w:tbl>
      <w:tblPr>
        <w:tblW w:w="0" w:type="auto"/>
        <w:jc w:val="center"/>
        <w:tblLayout w:type="fixed"/>
        <w:tblCellMar>
          <w:left w:w="70" w:type="dxa"/>
          <w:right w:w="70" w:type="dxa"/>
        </w:tblCellMar>
        <w:tblLook w:val="0000" w:firstRow="0" w:lastRow="0" w:firstColumn="0" w:lastColumn="0" w:noHBand="0" w:noVBand="0"/>
      </w:tblPr>
      <w:tblGrid>
        <w:gridCol w:w="1021"/>
        <w:gridCol w:w="1021"/>
        <w:gridCol w:w="1021"/>
        <w:gridCol w:w="1021"/>
        <w:gridCol w:w="1021"/>
        <w:gridCol w:w="1021"/>
        <w:gridCol w:w="1021"/>
        <w:gridCol w:w="1021"/>
        <w:gridCol w:w="1021"/>
      </w:tblGrid>
      <w:tr w:rsidR="00EB3834" w:rsidRPr="005B09F6" w:rsidTr="00B05556">
        <w:trPr>
          <w:trHeight w:val="551"/>
          <w:jc w:val="center"/>
        </w:trPr>
        <w:tc>
          <w:tcPr>
            <w:tcW w:w="1021" w:type="dxa"/>
            <w:vMerge w:val="restart"/>
            <w:tcBorders>
              <w:top w:val="single" w:sz="4" w:space="0" w:color="auto"/>
              <w:left w:val="nil"/>
              <w:bottom w:val="single" w:sz="4" w:space="0" w:color="000000"/>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Idade</w:t>
            </w:r>
          </w:p>
        </w:tc>
        <w:tc>
          <w:tcPr>
            <w:tcW w:w="1021" w:type="dxa"/>
            <w:gridSpan w:val="2"/>
            <w:tcBorders>
              <w:top w:val="single" w:sz="4" w:space="0" w:color="auto"/>
              <w:left w:val="nil"/>
              <w:bottom w:val="single" w:sz="4" w:space="0" w:color="auto"/>
              <w:right w:val="single" w:sz="4" w:space="0" w:color="000000"/>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1930/40</w:t>
            </w:r>
          </w:p>
        </w:tc>
        <w:tc>
          <w:tcPr>
            <w:tcW w:w="1021" w:type="dxa"/>
            <w:gridSpan w:val="2"/>
            <w:tcBorders>
              <w:top w:val="single" w:sz="4" w:space="0" w:color="auto"/>
              <w:left w:val="nil"/>
              <w:bottom w:val="single" w:sz="4" w:space="0" w:color="auto"/>
              <w:right w:val="single" w:sz="4" w:space="0" w:color="000000"/>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1970/80</w:t>
            </w:r>
          </w:p>
        </w:tc>
        <w:tc>
          <w:tcPr>
            <w:tcW w:w="1021" w:type="dxa"/>
            <w:gridSpan w:val="2"/>
            <w:tcBorders>
              <w:top w:val="single" w:sz="4" w:space="0" w:color="auto"/>
              <w:left w:val="nil"/>
              <w:bottom w:val="single" w:sz="4" w:space="0" w:color="auto"/>
              <w:right w:val="single" w:sz="4" w:space="0" w:color="000000"/>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2000</w:t>
            </w:r>
          </w:p>
        </w:tc>
        <w:tc>
          <w:tcPr>
            <w:tcW w:w="1021" w:type="dxa"/>
            <w:gridSpan w:val="2"/>
            <w:tcBorders>
              <w:top w:val="single" w:sz="4" w:space="0" w:color="auto"/>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2010</w:t>
            </w:r>
          </w:p>
        </w:tc>
      </w:tr>
      <w:tr w:rsidR="00EB3834" w:rsidRPr="005B09F6" w:rsidTr="00B05556">
        <w:trPr>
          <w:trHeight w:val="542"/>
          <w:jc w:val="center"/>
        </w:trPr>
        <w:tc>
          <w:tcPr>
            <w:tcW w:w="1021" w:type="dxa"/>
            <w:vMerge/>
            <w:tcBorders>
              <w:top w:val="single" w:sz="4" w:space="0" w:color="auto"/>
              <w:left w:val="nil"/>
              <w:bottom w:val="single" w:sz="4" w:space="0" w:color="000000"/>
              <w:right w:val="single" w:sz="4" w:space="0" w:color="auto"/>
            </w:tcBorders>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Homem</w:t>
            </w:r>
          </w:p>
        </w:tc>
        <w:tc>
          <w:tcPr>
            <w:tcW w:w="1021" w:type="dxa"/>
            <w:tcBorders>
              <w:top w:val="nil"/>
              <w:left w:val="nil"/>
              <w:bottom w:val="single" w:sz="4" w:space="0" w:color="auto"/>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Mulher</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Homem</w:t>
            </w:r>
          </w:p>
        </w:tc>
        <w:tc>
          <w:tcPr>
            <w:tcW w:w="1021" w:type="dxa"/>
            <w:tcBorders>
              <w:top w:val="nil"/>
              <w:left w:val="nil"/>
              <w:bottom w:val="single" w:sz="4" w:space="0" w:color="auto"/>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Mulher</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Homem</w:t>
            </w:r>
          </w:p>
        </w:tc>
        <w:tc>
          <w:tcPr>
            <w:tcW w:w="1021" w:type="dxa"/>
            <w:tcBorders>
              <w:top w:val="nil"/>
              <w:left w:val="nil"/>
              <w:bottom w:val="single" w:sz="4" w:space="0" w:color="auto"/>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Mulher</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Homem</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Mulher</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39</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60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64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72</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70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77</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65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62</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69</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53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59</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31</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44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50</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40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29</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32</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31</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36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35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40</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18</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22</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27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31</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55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19</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21</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19</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23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23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27</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60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17</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19</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20</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23</w:t>
            </w:r>
          </w:p>
        </w:tc>
      </w:tr>
      <w:tr w:rsidR="00EB3834" w:rsidRPr="005B09F6" w:rsidTr="00B05556">
        <w:trPr>
          <w:trHeight w:hRule="exact" w:val="340"/>
          <w:jc w:val="center"/>
        </w:trPr>
        <w:tc>
          <w:tcPr>
            <w:tcW w:w="1021" w:type="dxa"/>
            <w:tcBorders>
              <w:top w:val="nil"/>
              <w:left w:val="nil"/>
              <w:bottom w:val="nil"/>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65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11</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11</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14</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13</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15</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16</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19</w:t>
            </w:r>
          </w:p>
        </w:tc>
      </w:tr>
      <w:tr w:rsidR="00EB3834" w:rsidRPr="005B09F6" w:rsidTr="00B05556">
        <w:trPr>
          <w:trHeight w:hRule="exact" w:val="340"/>
          <w:jc w:val="center"/>
        </w:trPr>
        <w:tc>
          <w:tcPr>
            <w:tcW w:w="1021" w:type="dxa"/>
            <w:tcBorders>
              <w:top w:val="nil"/>
              <w:left w:val="nil"/>
              <w:bottom w:val="single" w:sz="4" w:space="0" w:color="auto"/>
              <w:right w:val="single" w:sz="4" w:space="0" w:color="auto"/>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70</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8</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9</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11</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11</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10</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lang w:eastAsia="pt-BR"/>
              </w:rPr>
            </w:pPr>
            <w:r w:rsidRPr="005B09F6">
              <w:rPr>
                <w:rFonts w:ascii="Calibri" w:hAnsi="Calibri" w:cs="Arial"/>
                <w:sz w:val="24"/>
                <w:szCs w:val="24"/>
                <w:lang w:eastAsia="pt-BR"/>
              </w:rPr>
              <w:t>12</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13</w:t>
            </w:r>
          </w:p>
        </w:tc>
        <w:tc>
          <w:tcPr>
            <w:tcW w:w="1021" w:type="dxa"/>
            <w:tcBorders>
              <w:top w:val="nil"/>
              <w:left w:val="nil"/>
              <w:bottom w:val="single" w:sz="4" w:space="0" w:color="auto"/>
              <w:right w:val="nil"/>
            </w:tcBorders>
            <w:shd w:val="clear" w:color="auto" w:fill="auto"/>
            <w:noWrap/>
            <w:vAlign w:val="center"/>
          </w:tcPr>
          <w:p w:rsidR="00EB3834" w:rsidRPr="005B09F6" w:rsidRDefault="00EB3834" w:rsidP="000E05CD">
            <w:pPr>
              <w:tabs>
                <w:tab w:val="left" w:pos="142"/>
              </w:tabs>
              <w:spacing w:line="220" w:lineRule="atLeast"/>
              <w:jc w:val="center"/>
              <w:rPr>
                <w:rFonts w:ascii="Calibri" w:hAnsi="Calibri" w:cs="Arial"/>
                <w:sz w:val="24"/>
                <w:szCs w:val="24"/>
              </w:rPr>
            </w:pPr>
            <w:r w:rsidRPr="005B09F6">
              <w:rPr>
                <w:rFonts w:ascii="Calibri" w:hAnsi="Calibri" w:cs="Arial"/>
                <w:sz w:val="24"/>
                <w:szCs w:val="24"/>
              </w:rPr>
              <w:t>16</w:t>
            </w:r>
          </w:p>
        </w:tc>
      </w:tr>
      <w:tr w:rsidR="00EB3834" w:rsidRPr="005B09F6" w:rsidTr="00B05556">
        <w:trPr>
          <w:trHeight w:val="170"/>
          <w:jc w:val="center"/>
        </w:trPr>
        <w:tc>
          <w:tcPr>
            <w:tcW w:w="1021" w:type="dxa"/>
            <w:gridSpan w:val="2"/>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r w:rsidRPr="005B09F6">
              <w:rPr>
                <w:rFonts w:ascii="Calibri" w:hAnsi="Calibri" w:cs="Arial"/>
                <w:sz w:val="24"/>
                <w:szCs w:val="24"/>
                <w:lang w:eastAsia="pt-BR"/>
              </w:rPr>
              <w:t>Fonte: IBGE</w:t>
            </w:r>
            <w:r w:rsidR="00B05556" w:rsidRPr="005B09F6">
              <w:rPr>
                <w:rFonts w:ascii="Calibri" w:hAnsi="Calibri" w:cs="Arial"/>
                <w:sz w:val="24"/>
                <w:szCs w:val="24"/>
                <w:lang w:eastAsia="pt-BR"/>
              </w:rPr>
              <w:t xml:space="preserve">. </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r>
      <w:tr w:rsidR="00EB3834" w:rsidRPr="005B09F6" w:rsidTr="00B05556">
        <w:trPr>
          <w:trHeight w:val="227"/>
          <w:jc w:val="center"/>
        </w:trPr>
        <w:tc>
          <w:tcPr>
            <w:tcW w:w="1021" w:type="dxa"/>
            <w:gridSpan w:val="5"/>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r w:rsidRPr="005B09F6">
              <w:rPr>
                <w:rFonts w:ascii="Calibri" w:hAnsi="Calibri" w:cs="Arial"/>
                <w:sz w:val="24"/>
                <w:szCs w:val="24"/>
                <w:lang w:eastAsia="pt-BR"/>
              </w:rPr>
              <w:t>Obs. Valores arredondados para a unidade mais próxima.</w:t>
            </w: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c>
          <w:tcPr>
            <w:tcW w:w="1021" w:type="dxa"/>
            <w:tcBorders>
              <w:top w:val="nil"/>
              <w:left w:val="nil"/>
              <w:bottom w:val="nil"/>
              <w:right w:val="nil"/>
            </w:tcBorders>
            <w:shd w:val="clear" w:color="auto" w:fill="auto"/>
            <w:noWrap/>
            <w:vAlign w:val="center"/>
          </w:tcPr>
          <w:p w:rsidR="00EB3834" w:rsidRPr="005B09F6" w:rsidRDefault="00EB3834" w:rsidP="000E05CD">
            <w:pPr>
              <w:tabs>
                <w:tab w:val="left" w:pos="142"/>
              </w:tabs>
              <w:spacing w:line="220" w:lineRule="atLeast"/>
              <w:rPr>
                <w:rFonts w:ascii="Calibri" w:hAnsi="Calibri" w:cs="Arial"/>
                <w:sz w:val="24"/>
                <w:szCs w:val="24"/>
                <w:lang w:eastAsia="pt-BR"/>
              </w:rPr>
            </w:pPr>
          </w:p>
        </w:tc>
      </w:tr>
    </w:tbl>
    <w:p w:rsidR="009824CA" w:rsidRPr="005B09F6" w:rsidRDefault="009824CA" w:rsidP="00EB3834">
      <w:pPr>
        <w:tabs>
          <w:tab w:val="left" w:pos="142"/>
        </w:tabs>
        <w:jc w:val="center"/>
        <w:rPr>
          <w:rFonts w:ascii="Calibri" w:hAnsi="Calibri" w:cs="Arial"/>
          <w:b/>
          <w:sz w:val="24"/>
          <w:szCs w:val="24"/>
        </w:rPr>
      </w:pPr>
    </w:p>
    <w:p w:rsidR="009824CA" w:rsidRPr="005B09F6" w:rsidRDefault="009824CA" w:rsidP="00EB3834">
      <w:pPr>
        <w:tabs>
          <w:tab w:val="left" w:pos="142"/>
        </w:tabs>
        <w:jc w:val="center"/>
        <w:rPr>
          <w:rFonts w:ascii="Calibri" w:hAnsi="Calibri" w:cs="Arial"/>
          <w:b/>
          <w:sz w:val="24"/>
          <w:szCs w:val="24"/>
        </w:rPr>
      </w:pPr>
    </w:p>
    <w:p w:rsidR="00217A9B" w:rsidRPr="005B09F6" w:rsidRDefault="00217A9B">
      <w:pPr>
        <w:rPr>
          <w:rFonts w:ascii="Calibri" w:hAnsi="Calibri" w:cs="Arial"/>
          <w:b/>
          <w:sz w:val="24"/>
          <w:szCs w:val="24"/>
        </w:rPr>
      </w:pPr>
      <w:r w:rsidRPr="005B09F6">
        <w:rPr>
          <w:rFonts w:ascii="Calibri" w:hAnsi="Calibri" w:cs="Arial"/>
          <w:b/>
          <w:sz w:val="24"/>
          <w:szCs w:val="24"/>
        </w:rPr>
        <w:br w:type="page"/>
      </w:r>
    </w:p>
    <w:p w:rsidR="00D96D61" w:rsidRPr="005B09F6" w:rsidRDefault="001D086D" w:rsidP="00EB3834">
      <w:pPr>
        <w:tabs>
          <w:tab w:val="left" w:pos="142"/>
        </w:tabs>
        <w:jc w:val="center"/>
        <w:rPr>
          <w:rFonts w:ascii="Calibri" w:hAnsi="Calibri" w:cs="Arial"/>
          <w:b/>
          <w:sz w:val="24"/>
          <w:szCs w:val="24"/>
        </w:rPr>
      </w:pPr>
      <w:r w:rsidRPr="005B09F6">
        <w:rPr>
          <w:rFonts w:ascii="Calibri" w:hAnsi="Calibri" w:cs="Arial"/>
          <w:b/>
          <w:sz w:val="24"/>
          <w:szCs w:val="24"/>
        </w:rPr>
        <w:t xml:space="preserve">Gráfico 3.1 - Pirâmide Populacional Brasileira </w:t>
      </w:r>
      <w:r w:rsidR="00EB3834" w:rsidRPr="005B09F6">
        <w:rPr>
          <w:rFonts w:ascii="Calibri" w:hAnsi="Calibri" w:cs="Arial"/>
          <w:b/>
          <w:sz w:val="24"/>
          <w:szCs w:val="24"/>
        </w:rPr>
        <w:t>1980</w:t>
      </w:r>
    </w:p>
    <w:p w:rsidR="00D96D61" w:rsidRPr="005B09F6" w:rsidRDefault="00D96D61" w:rsidP="00EB3834">
      <w:pPr>
        <w:tabs>
          <w:tab w:val="left" w:pos="142"/>
        </w:tabs>
        <w:jc w:val="center"/>
        <w:rPr>
          <w:rFonts w:ascii="Calibri" w:hAnsi="Calibri" w:cs="Arial"/>
          <w:b/>
          <w:sz w:val="24"/>
          <w:szCs w:val="24"/>
        </w:rPr>
      </w:pPr>
    </w:p>
    <w:p w:rsidR="00D96D61" w:rsidRPr="005B09F6" w:rsidRDefault="009824CA" w:rsidP="00EB3834">
      <w:pPr>
        <w:tabs>
          <w:tab w:val="left" w:pos="142"/>
        </w:tabs>
        <w:jc w:val="center"/>
        <w:rPr>
          <w:rFonts w:ascii="Calibri" w:hAnsi="Calibri" w:cs="Arial"/>
          <w:b/>
          <w:sz w:val="24"/>
          <w:szCs w:val="24"/>
        </w:rPr>
      </w:pPr>
      <w:r w:rsidRPr="005B09F6">
        <w:rPr>
          <w:rFonts w:ascii="Calibri" w:hAnsi="Calibri"/>
          <w:noProof/>
          <w:sz w:val="24"/>
          <w:szCs w:val="24"/>
          <w:lang w:eastAsia="pt-BR"/>
        </w:rPr>
        <w:drawing>
          <wp:anchor distT="0" distB="0" distL="114300" distR="114300" simplePos="0" relativeHeight="251652608" behindDoc="0" locked="0" layoutInCell="1" allowOverlap="1" wp14:anchorId="0D656011" wp14:editId="7AF2A404">
            <wp:simplePos x="0" y="0"/>
            <wp:positionH relativeFrom="margin">
              <wp:align>center</wp:align>
            </wp:positionH>
            <wp:positionV relativeFrom="paragraph">
              <wp:posOffset>11702</wp:posOffset>
            </wp:positionV>
            <wp:extent cx="4459885" cy="2444980"/>
            <wp:effectExtent l="0" t="0" r="0" b="0"/>
            <wp:wrapNone/>
            <wp:docPr id="958" name="Imagem 9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59885" cy="2444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6D61" w:rsidRPr="005B09F6" w:rsidRDefault="00D96D61" w:rsidP="00EB3834">
      <w:pPr>
        <w:tabs>
          <w:tab w:val="left" w:pos="142"/>
        </w:tabs>
        <w:jc w:val="center"/>
        <w:rPr>
          <w:rFonts w:ascii="Calibri" w:hAnsi="Calibri" w:cs="Arial"/>
          <w:b/>
          <w:sz w:val="24"/>
          <w:szCs w:val="24"/>
        </w:rPr>
      </w:pPr>
    </w:p>
    <w:p w:rsidR="00D96D61" w:rsidRPr="005B09F6" w:rsidRDefault="00D96D61" w:rsidP="00EB3834">
      <w:pPr>
        <w:tabs>
          <w:tab w:val="left" w:pos="142"/>
        </w:tabs>
        <w:jc w:val="center"/>
        <w:rPr>
          <w:rFonts w:ascii="Calibri" w:hAnsi="Calibri" w:cs="Arial"/>
          <w:b/>
          <w:sz w:val="24"/>
          <w:szCs w:val="24"/>
        </w:rPr>
      </w:pPr>
    </w:p>
    <w:p w:rsidR="004743C4" w:rsidRPr="005B09F6" w:rsidRDefault="004743C4" w:rsidP="00EB3834">
      <w:pPr>
        <w:tabs>
          <w:tab w:val="left" w:pos="142"/>
        </w:tabs>
        <w:jc w:val="center"/>
        <w:rPr>
          <w:rFonts w:ascii="Calibri" w:hAnsi="Calibri" w:cs="Arial"/>
          <w:b/>
          <w:sz w:val="24"/>
          <w:szCs w:val="24"/>
        </w:rPr>
      </w:pPr>
      <w:r w:rsidRPr="005B09F6">
        <w:rPr>
          <w:rFonts w:ascii="Calibri" w:hAnsi="Calibri" w:cs="Arial"/>
          <w:b/>
          <w:sz w:val="24"/>
          <w:szCs w:val="24"/>
        </w:rPr>
        <w:t>Gráfico 3.</w:t>
      </w:r>
      <w:r w:rsidR="0068126E" w:rsidRPr="005B09F6">
        <w:rPr>
          <w:rFonts w:ascii="Calibri" w:hAnsi="Calibri" w:cs="Arial"/>
          <w:b/>
          <w:sz w:val="24"/>
          <w:szCs w:val="24"/>
        </w:rPr>
        <w:t>2</w:t>
      </w:r>
    </w:p>
    <w:p w:rsidR="004743C4" w:rsidRPr="005B09F6" w:rsidRDefault="004743C4" w:rsidP="00EB3834">
      <w:pPr>
        <w:tabs>
          <w:tab w:val="left" w:pos="142"/>
        </w:tabs>
        <w:jc w:val="center"/>
        <w:rPr>
          <w:rFonts w:ascii="Calibri" w:hAnsi="Calibri" w:cs="Arial"/>
          <w:b/>
          <w:sz w:val="24"/>
          <w:szCs w:val="24"/>
        </w:rPr>
      </w:pPr>
      <w:r w:rsidRPr="005B09F6">
        <w:rPr>
          <w:rFonts w:ascii="Calibri" w:hAnsi="Calibri" w:cs="Arial"/>
          <w:b/>
          <w:sz w:val="24"/>
          <w:szCs w:val="24"/>
        </w:rPr>
        <w:t xml:space="preserve">Pirâmide Populacional Brasileira – </w:t>
      </w:r>
      <w:r w:rsidR="00626B33" w:rsidRPr="005B09F6">
        <w:rPr>
          <w:rFonts w:ascii="Calibri" w:hAnsi="Calibri" w:cs="Arial"/>
          <w:b/>
          <w:sz w:val="24"/>
          <w:szCs w:val="24"/>
        </w:rPr>
        <w:t>201</w:t>
      </w:r>
      <w:r w:rsidR="007A5B8A" w:rsidRPr="005B09F6">
        <w:rPr>
          <w:rFonts w:ascii="Calibri" w:hAnsi="Calibri" w:cs="Arial"/>
          <w:b/>
          <w:sz w:val="24"/>
          <w:szCs w:val="24"/>
        </w:rPr>
        <w:t>5</w:t>
      </w:r>
    </w:p>
    <w:p w:rsidR="000B1C08" w:rsidRPr="005B09F6" w:rsidRDefault="000B1C08" w:rsidP="00EB3834">
      <w:pPr>
        <w:pStyle w:val="Recuodecorpodetexto"/>
        <w:tabs>
          <w:tab w:val="left" w:pos="142"/>
          <w:tab w:val="left" w:pos="426"/>
          <w:tab w:val="left" w:pos="10490"/>
        </w:tabs>
        <w:ind w:firstLine="0"/>
        <w:rPr>
          <w:rFonts w:ascii="Calibri" w:hAnsi="Calibri" w:cs="Arial"/>
          <w:szCs w:val="24"/>
        </w:rPr>
      </w:pPr>
    </w:p>
    <w:p w:rsidR="00191DE6" w:rsidRPr="005B09F6" w:rsidRDefault="00191DE6" w:rsidP="00EB3834">
      <w:pPr>
        <w:pStyle w:val="Recuodecorpodetexto"/>
        <w:tabs>
          <w:tab w:val="left" w:pos="142"/>
        </w:tabs>
        <w:ind w:firstLine="0"/>
        <w:rPr>
          <w:rFonts w:ascii="Calibri" w:hAnsi="Calibri" w:cs="Arial"/>
          <w:szCs w:val="24"/>
        </w:rPr>
      </w:pPr>
    </w:p>
    <w:p w:rsidR="000B1C08" w:rsidRPr="005B09F6" w:rsidRDefault="000B1C08" w:rsidP="00EB3834">
      <w:pPr>
        <w:pStyle w:val="Recuodecorpodetexto"/>
        <w:tabs>
          <w:tab w:val="left" w:pos="142"/>
        </w:tabs>
        <w:ind w:firstLine="0"/>
        <w:rPr>
          <w:rFonts w:ascii="Calibri" w:hAnsi="Calibri" w:cs="Arial"/>
          <w:szCs w:val="24"/>
        </w:rPr>
      </w:pPr>
    </w:p>
    <w:p w:rsidR="000B1C08" w:rsidRPr="005B09F6" w:rsidRDefault="000B1C08" w:rsidP="00EB3834">
      <w:pPr>
        <w:pStyle w:val="Recuodecorpodetexto"/>
        <w:tabs>
          <w:tab w:val="left" w:pos="142"/>
        </w:tabs>
        <w:ind w:firstLine="0"/>
        <w:rPr>
          <w:rFonts w:ascii="Calibri" w:hAnsi="Calibri" w:cs="Arial"/>
          <w:szCs w:val="24"/>
        </w:rPr>
      </w:pPr>
    </w:p>
    <w:p w:rsidR="00EB3834" w:rsidRPr="005B09F6" w:rsidRDefault="00EB3834" w:rsidP="00EB3834">
      <w:pPr>
        <w:pStyle w:val="Recuodecorpodetexto"/>
        <w:tabs>
          <w:tab w:val="left" w:pos="142"/>
        </w:tabs>
        <w:ind w:firstLine="0"/>
        <w:rPr>
          <w:rFonts w:ascii="Calibri" w:hAnsi="Calibri" w:cs="Arial"/>
          <w:szCs w:val="24"/>
        </w:rPr>
      </w:pPr>
    </w:p>
    <w:p w:rsidR="00EB3834" w:rsidRPr="005B09F6" w:rsidRDefault="00EB3834" w:rsidP="00EB3834">
      <w:pPr>
        <w:pStyle w:val="Recuodecorpodetexto"/>
        <w:tabs>
          <w:tab w:val="left" w:pos="142"/>
        </w:tabs>
        <w:ind w:firstLine="0"/>
        <w:rPr>
          <w:rFonts w:ascii="Calibri" w:hAnsi="Calibri" w:cs="Arial"/>
          <w:szCs w:val="24"/>
        </w:rPr>
      </w:pPr>
    </w:p>
    <w:p w:rsidR="00EB3834" w:rsidRPr="005B09F6" w:rsidRDefault="00EB3834" w:rsidP="00EB3834">
      <w:pPr>
        <w:pStyle w:val="Recuodecorpodetexto"/>
        <w:tabs>
          <w:tab w:val="left" w:pos="142"/>
        </w:tabs>
        <w:ind w:firstLine="0"/>
        <w:rPr>
          <w:rFonts w:ascii="Calibri" w:hAnsi="Calibri" w:cs="Arial"/>
          <w:szCs w:val="24"/>
        </w:rPr>
      </w:pPr>
    </w:p>
    <w:p w:rsidR="000B1C08" w:rsidRPr="005B09F6" w:rsidRDefault="000B1C08" w:rsidP="00EB3834">
      <w:pPr>
        <w:pStyle w:val="Recuodecorpodetexto"/>
        <w:tabs>
          <w:tab w:val="left" w:pos="142"/>
        </w:tabs>
        <w:ind w:firstLine="0"/>
        <w:rPr>
          <w:rFonts w:ascii="Calibri" w:hAnsi="Calibri" w:cs="Arial"/>
          <w:szCs w:val="24"/>
        </w:rPr>
      </w:pPr>
    </w:p>
    <w:p w:rsidR="00D96D61" w:rsidRPr="005B09F6" w:rsidRDefault="00D96D61" w:rsidP="00EB3834">
      <w:pPr>
        <w:pStyle w:val="Recuodecorpodetexto"/>
        <w:tabs>
          <w:tab w:val="left" w:pos="142"/>
        </w:tabs>
        <w:ind w:firstLine="0"/>
        <w:rPr>
          <w:rFonts w:ascii="Calibri" w:hAnsi="Calibri" w:cs="Arial"/>
          <w:szCs w:val="24"/>
        </w:rPr>
      </w:pPr>
    </w:p>
    <w:p w:rsidR="00EB3834" w:rsidRPr="005B09F6" w:rsidRDefault="001D086D" w:rsidP="00EB3834">
      <w:pPr>
        <w:tabs>
          <w:tab w:val="left" w:pos="142"/>
          <w:tab w:val="left" w:pos="10490"/>
        </w:tabs>
        <w:jc w:val="center"/>
        <w:rPr>
          <w:rFonts w:ascii="Calibri" w:hAnsi="Calibri" w:cs="Arial"/>
          <w:b/>
          <w:sz w:val="24"/>
          <w:szCs w:val="24"/>
        </w:rPr>
      </w:pPr>
      <w:r w:rsidRPr="005B09F6">
        <w:rPr>
          <w:rFonts w:ascii="Calibri" w:hAnsi="Calibri" w:cs="Arial"/>
          <w:b/>
          <w:sz w:val="24"/>
          <w:szCs w:val="24"/>
        </w:rPr>
        <w:t xml:space="preserve">Gráfico 3.2 - Pirâmide Populacional Brasileira </w:t>
      </w:r>
      <w:r w:rsidR="00EB3834" w:rsidRPr="005B09F6">
        <w:rPr>
          <w:rFonts w:ascii="Calibri" w:hAnsi="Calibri" w:cs="Arial"/>
          <w:b/>
          <w:sz w:val="24"/>
          <w:szCs w:val="24"/>
        </w:rPr>
        <w:t>201</w:t>
      </w:r>
      <w:r w:rsidRPr="005B09F6">
        <w:rPr>
          <w:rFonts w:ascii="Calibri" w:hAnsi="Calibri" w:cs="Arial"/>
          <w:b/>
          <w:sz w:val="24"/>
          <w:szCs w:val="24"/>
        </w:rPr>
        <w:t>8</w:t>
      </w:r>
    </w:p>
    <w:p w:rsidR="000B1C08" w:rsidRPr="005B09F6" w:rsidRDefault="001D086D" w:rsidP="00EB3834">
      <w:pPr>
        <w:tabs>
          <w:tab w:val="left" w:pos="142"/>
          <w:tab w:val="left" w:pos="10490"/>
        </w:tabs>
        <w:jc w:val="center"/>
        <w:rPr>
          <w:rFonts w:ascii="Calibri" w:hAnsi="Calibri" w:cs="Arial"/>
          <w:b/>
          <w:sz w:val="24"/>
          <w:szCs w:val="24"/>
        </w:rPr>
      </w:pPr>
      <w:r w:rsidRPr="005B09F6">
        <w:rPr>
          <w:rFonts w:ascii="Calibri" w:hAnsi="Calibri" w:cs="Arial"/>
          <w:b/>
          <w:noProof/>
          <w:sz w:val="24"/>
          <w:szCs w:val="24"/>
          <w:lang w:eastAsia="pt-BR"/>
        </w:rPr>
        <w:drawing>
          <wp:inline distT="0" distB="0" distL="0" distR="0" wp14:anchorId="094501FF">
            <wp:extent cx="4396740" cy="2294841"/>
            <wp:effectExtent l="0" t="0" r="381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426931" cy="2310599"/>
                    </a:xfrm>
                    <a:prstGeom prst="rect">
                      <a:avLst/>
                    </a:prstGeom>
                    <a:noFill/>
                  </pic:spPr>
                </pic:pic>
              </a:graphicData>
            </a:graphic>
          </wp:inline>
        </w:drawing>
      </w:r>
    </w:p>
    <w:p w:rsidR="00EB3834" w:rsidRPr="005B09F6" w:rsidRDefault="00EB3834" w:rsidP="00EB3834">
      <w:pPr>
        <w:tabs>
          <w:tab w:val="left" w:pos="142"/>
          <w:tab w:val="left" w:pos="10490"/>
        </w:tabs>
        <w:jc w:val="center"/>
        <w:rPr>
          <w:rFonts w:ascii="Calibri" w:hAnsi="Calibri" w:cs="Arial"/>
          <w:b/>
          <w:sz w:val="24"/>
          <w:szCs w:val="24"/>
        </w:rPr>
      </w:pPr>
    </w:p>
    <w:p w:rsidR="00EB3834" w:rsidRPr="005B09F6" w:rsidRDefault="001D086D" w:rsidP="00EB3834">
      <w:pPr>
        <w:tabs>
          <w:tab w:val="left" w:pos="142"/>
          <w:tab w:val="left" w:pos="10490"/>
        </w:tabs>
        <w:jc w:val="center"/>
        <w:rPr>
          <w:rFonts w:ascii="Calibri" w:hAnsi="Calibri" w:cs="Arial"/>
          <w:b/>
          <w:sz w:val="24"/>
          <w:szCs w:val="24"/>
        </w:rPr>
      </w:pPr>
      <w:r w:rsidRPr="005B09F6">
        <w:rPr>
          <w:rFonts w:ascii="Calibri" w:hAnsi="Calibri" w:cs="Arial"/>
          <w:b/>
          <w:sz w:val="24"/>
          <w:szCs w:val="24"/>
        </w:rPr>
        <w:t xml:space="preserve">Gráfico 3.3 - Pirâmide Populacional Brasileira </w:t>
      </w:r>
      <w:r w:rsidR="00EB3834" w:rsidRPr="005B09F6">
        <w:rPr>
          <w:rFonts w:ascii="Calibri" w:hAnsi="Calibri" w:cs="Arial"/>
          <w:b/>
          <w:sz w:val="24"/>
          <w:szCs w:val="24"/>
        </w:rPr>
        <w:t>2060</w:t>
      </w:r>
    </w:p>
    <w:p w:rsidR="00EB3834" w:rsidRPr="005B09F6" w:rsidRDefault="001D086D" w:rsidP="00EB3834">
      <w:pPr>
        <w:pStyle w:val="Recuodecorpodetexto"/>
        <w:tabs>
          <w:tab w:val="left" w:pos="142"/>
        </w:tabs>
        <w:ind w:left="142" w:firstLine="0"/>
        <w:jc w:val="center"/>
        <w:rPr>
          <w:rFonts w:ascii="Calibri" w:hAnsi="Calibri" w:cs="Arial"/>
          <w:szCs w:val="24"/>
        </w:rPr>
      </w:pPr>
      <w:r w:rsidRPr="005B09F6">
        <w:rPr>
          <w:rFonts w:ascii="Calibri" w:hAnsi="Calibri" w:cs="Arial"/>
          <w:noProof/>
          <w:szCs w:val="24"/>
          <w:lang w:eastAsia="pt-BR"/>
        </w:rPr>
        <w:drawing>
          <wp:inline distT="0" distB="0" distL="0" distR="0" wp14:anchorId="2BE4CC8A">
            <wp:extent cx="4424096" cy="2347595"/>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56803" cy="2364951"/>
                    </a:xfrm>
                    <a:prstGeom prst="rect">
                      <a:avLst/>
                    </a:prstGeom>
                    <a:noFill/>
                  </pic:spPr>
                </pic:pic>
              </a:graphicData>
            </a:graphic>
          </wp:inline>
        </w:drawing>
      </w:r>
    </w:p>
    <w:p w:rsidR="00EB3834" w:rsidRPr="005B09F6" w:rsidRDefault="007F050D" w:rsidP="00EB3834">
      <w:pPr>
        <w:pStyle w:val="Recuodecorpodetexto"/>
        <w:tabs>
          <w:tab w:val="left" w:pos="142"/>
        </w:tabs>
        <w:ind w:firstLine="0"/>
        <w:jc w:val="left"/>
        <w:rPr>
          <w:rFonts w:ascii="Calibri" w:hAnsi="Calibri" w:cs="Arial"/>
          <w:szCs w:val="24"/>
        </w:rPr>
      </w:pPr>
      <w:r w:rsidRPr="005B09F6">
        <w:rPr>
          <w:rFonts w:ascii="Calibri" w:hAnsi="Calibri" w:cs="Arial"/>
          <w:szCs w:val="24"/>
        </w:rPr>
        <w:t>Fonte: IBGE.</w:t>
      </w:r>
    </w:p>
    <w:p w:rsidR="00EB3834" w:rsidRPr="005B09F6" w:rsidRDefault="007F050D" w:rsidP="00EB3834">
      <w:pPr>
        <w:pStyle w:val="Corpodetexto"/>
        <w:tabs>
          <w:tab w:val="left" w:pos="142"/>
        </w:tabs>
        <w:rPr>
          <w:rFonts w:ascii="Calibri" w:hAnsi="Calibri" w:cs="Arial"/>
          <w:szCs w:val="24"/>
        </w:rPr>
      </w:pPr>
      <w:r w:rsidRPr="005B09F6">
        <w:rPr>
          <w:rFonts w:ascii="Calibri" w:hAnsi="Calibri" w:cs="Arial"/>
          <w:szCs w:val="24"/>
        </w:rPr>
        <w:t>Elaboração: SPREV/MF.</w:t>
      </w:r>
    </w:p>
    <w:p w:rsidR="00EB3834" w:rsidRPr="005B09F6" w:rsidRDefault="00EB3834" w:rsidP="00EB3834">
      <w:pPr>
        <w:tabs>
          <w:tab w:val="left" w:pos="142"/>
        </w:tabs>
        <w:spacing w:after="240" w:line="360" w:lineRule="auto"/>
        <w:rPr>
          <w:rFonts w:ascii="Calibri" w:hAnsi="Calibri" w:cs="Arial"/>
          <w:b/>
          <w:sz w:val="24"/>
          <w:szCs w:val="24"/>
        </w:rPr>
      </w:pPr>
    </w:p>
    <w:p w:rsidR="00307A75" w:rsidRPr="005B09F6" w:rsidRDefault="00307A75"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Além das pessoas estarem, em média, vivendo por mais tempo, o número de filhos por mulher em seu período fértil, mensurado pela taxa de fecundidade, </w:t>
      </w:r>
      <w:r w:rsidR="00A755EC" w:rsidRPr="005B09F6">
        <w:rPr>
          <w:rFonts w:ascii="Calibri" w:hAnsi="Calibri" w:cs="Arial"/>
          <w:szCs w:val="24"/>
        </w:rPr>
        <w:t xml:space="preserve">tem </w:t>
      </w:r>
      <w:r w:rsidRPr="005B09F6">
        <w:rPr>
          <w:rFonts w:ascii="Calibri" w:hAnsi="Calibri" w:cs="Arial"/>
          <w:szCs w:val="24"/>
        </w:rPr>
        <w:t xml:space="preserve">declinado de maneira acelerada. Conforme o Gráfico 3.4, enquanto em 1960, cada mulher tinha em média 6,3 filhos, em 2000 esse indicador caiu para 2,4 e em 2010 para apenas 1,86. A queda nas taxas de fecundidade está associada a aspectos sociais e culturais, como a revisão de valores relacionados à família e o aumento da escolaridade feminina; científicos, como o desenvolvimento de métodos contraceptivos; e econômicos, como o aumento da participação da mulher no mercado trabalho. </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A profundidade do impacto das tendências já observadas de queda de fecundidade e aumento da expectativa de vida, quando estendido o período de análise, pode ser percebida quando se analisa o comportamento da projeção da população total segundo a revisão 2013 do IBGE utilizada nesse estudo. Quando comparada com a revisão 2004 da projeção populacional a nova projeção traz alterações substantivas nas taxas de crescimento das populações com idades inferiores a 60 anos, decorrente essencialmente da acentuada queda de fecundidade ocorrida ao longo da década de 2000/2010. Essa queda levou a alterações importantes na estrutura projetada da população brasileira no período </w:t>
      </w:r>
      <w:smartTag w:uri="urn:schemas-microsoft-com:office:smarttags" w:element="metricconverter">
        <w:smartTagPr>
          <w:attr w:name="ProductID" w:val="2000 a"/>
        </w:smartTagPr>
        <w:r w:rsidRPr="005B09F6">
          <w:rPr>
            <w:rFonts w:ascii="Calibri" w:hAnsi="Calibri" w:cs="Arial"/>
            <w:szCs w:val="24"/>
          </w:rPr>
          <w:t>2000 a</w:t>
        </w:r>
      </w:smartTag>
      <w:r w:rsidRPr="005B09F6">
        <w:rPr>
          <w:rFonts w:ascii="Calibri" w:hAnsi="Calibri" w:cs="Arial"/>
          <w:szCs w:val="24"/>
        </w:rPr>
        <w:t xml:space="preserve"> 2050</w:t>
      </w:r>
      <w:r w:rsidRPr="005B09F6">
        <w:rPr>
          <w:rStyle w:val="Refdenotaderodap"/>
          <w:rFonts w:ascii="Calibri" w:hAnsi="Calibri" w:cs="Arial"/>
          <w:szCs w:val="24"/>
        </w:rPr>
        <w:footnoteReference w:id="4"/>
      </w:r>
      <w:r w:rsidRPr="005B09F6">
        <w:rPr>
          <w:rFonts w:ascii="Calibri" w:hAnsi="Calibri" w:cs="Arial"/>
          <w:szCs w:val="24"/>
        </w:rPr>
        <w:t>. O Gráfico 3.5 permite visualizar o impacto que a redução das taxas de fecundidade utilizadas na revisão 2013 teve sobre a projeção populacional.</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Pode-se ver claramente que para 2016 a nova projeção </w:t>
      </w:r>
      <w:r w:rsidR="00A755EC" w:rsidRPr="005B09F6">
        <w:rPr>
          <w:rFonts w:ascii="Calibri" w:hAnsi="Calibri" w:cs="Arial"/>
          <w:szCs w:val="24"/>
        </w:rPr>
        <w:t xml:space="preserve">indicou </w:t>
      </w:r>
      <w:r w:rsidRPr="005B09F6">
        <w:rPr>
          <w:rFonts w:ascii="Calibri" w:hAnsi="Calibri" w:cs="Arial"/>
          <w:szCs w:val="24"/>
        </w:rPr>
        <w:t xml:space="preserve">uma população menor em cerca de 4,5 milhões do que a revisão 2004 da projeção populacional. Em </w:t>
      </w:r>
      <w:smartTag w:uri="urn:schemas-microsoft-com:office:smarttags" w:element="metricconverter">
        <w:smartTagPr>
          <w:attr w:name="ProductID" w:val="2042 a"/>
        </w:smartTagPr>
        <w:r w:rsidRPr="005B09F6">
          <w:rPr>
            <w:rFonts w:ascii="Calibri" w:hAnsi="Calibri" w:cs="Arial"/>
            <w:szCs w:val="24"/>
          </w:rPr>
          <w:t>2042 a</w:t>
        </w:r>
      </w:smartTag>
      <w:r w:rsidRPr="005B09F6">
        <w:rPr>
          <w:rFonts w:ascii="Calibri" w:hAnsi="Calibri" w:cs="Arial"/>
          <w:szCs w:val="24"/>
        </w:rPr>
        <w:t xml:space="preserve"> população atingirá seu ponto de máximo, com cerca de 228 milhões de habitantes. A projeção anterior indicava para esse ano uma população com 25 milhões de pessoas a mais. Em </w:t>
      </w:r>
      <w:smartTag w:uri="urn:schemas-microsoft-com:office:smarttags" w:element="metricconverter">
        <w:smartTagPr>
          <w:attr w:name="ProductID" w:val="2050 a"/>
        </w:smartTagPr>
        <w:r w:rsidRPr="005B09F6">
          <w:rPr>
            <w:rFonts w:ascii="Calibri" w:hAnsi="Calibri" w:cs="Arial"/>
            <w:szCs w:val="24"/>
          </w:rPr>
          <w:t>2050 a</w:t>
        </w:r>
      </w:smartTag>
      <w:r w:rsidRPr="005B09F6">
        <w:rPr>
          <w:rFonts w:ascii="Calibri" w:hAnsi="Calibri" w:cs="Arial"/>
          <w:szCs w:val="24"/>
        </w:rPr>
        <w:t xml:space="preserve"> revisão 2004 indicava uma população total, ainda em crescimento de cerca de 259 milhões. A revisão 2008 aponta para 2050 uma população já em declínio com cerca de 226 milhões de habitantes, 33 milhões de pessoas a menos do que a revisão 2004 indicava. Essa redução está concentrada nas populações com idade inferior a 46 anos, uma vez que todas as pessoas que em 2050 terão 45 anos ou mais nasceram antes de 2004. Isso mostra o enorme impacto que a aceleração da queda da fecundidade terá sobre a estrutura da</w:t>
      </w:r>
      <w:r w:rsidR="007F050D" w:rsidRPr="005B09F6">
        <w:rPr>
          <w:rFonts w:ascii="Calibri" w:hAnsi="Calibri" w:cs="Arial"/>
          <w:szCs w:val="24"/>
        </w:rPr>
        <w:t xml:space="preserve"> população brasileira e, consequ</w:t>
      </w:r>
      <w:r w:rsidRPr="005B09F6">
        <w:rPr>
          <w:rFonts w:ascii="Calibri" w:hAnsi="Calibri" w:cs="Arial"/>
          <w:szCs w:val="24"/>
        </w:rPr>
        <w:t>entemente, sobre as políticas públicas e, dentro destas, a previdência social.</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É importante aqui destacar que a redução no tamanho das coortes mais jovens já está ocorrendo, o que levará, no futuro próximo, à redução da população em idade ativa, entre 16 e 59 anos. Esse processo terá fortes impactos na estrutura de financiamento da previdência social e também na dinâmica da economia brasileira, que não contará mais com </w:t>
      </w:r>
      <w:r w:rsidR="00A755EC" w:rsidRPr="005B09F6">
        <w:rPr>
          <w:rFonts w:ascii="Calibri" w:hAnsi="Calibri" w:cs="Arial"/>
          <w:szCs w:val="24"/>
        </w:rPr>
        <w:t xml:space="preserve">o mesmo nível atual de </w:t>
      </w:r>
      <w:r w:rsidRPr="005B09F6">
        <w:rPr>
          <w:rFonts w:ascii="Calibri" w:hAnsi="Calibri" w:cs="Arial"/>
          <w:szCs w:val="24"/>
        </w:rPr>
        <w:t xml:space="preserve">oferta de mão-de-obra. O Gráfico 3.6 apresenta a evolução da população em idade ativa, sendo digno de nota o ano de 2031, quando essa população atingirá seu </w:t>
      </w:r>
      <w:r w:rsidR="00A755EC" w:rsidRPr="005B09F6">
        <w:rPr>
          <w:rFonts w:ascii="Calibri" w:hAnsi="Calibri" w:cs="Arial"/>
          <w:szCs w:val="24"/>
        </w:rPr>
        <w:t xml:space="preserve">ponto de máximo </w:t>
      </w:r>
      <w:r w:rsidRPr="005B09F6">
        <w:rPr>
          <w:rFonts w:ascii="Calibri" w:hAnsi="Calibri" w:cs="Arial"/>
          <w:szCs w:val="24"/>
        </w:rPr>
        <w:t xml:space="preserve">com 139 milhões de pessoas, caindo de forma </w:t>
      </w:r>
      <w:proofErr w:type="spellStart"/>
      <w:r w:rsidRPr="005B09F6">
        <w:rPr>
          <w:rFonts w:ascii="Calibri" w:hAnsi="Calibri" w:cs="Arial"/>
          <w:szCs w:val="24"/>
        </w:rPr>
        <w:t>monotônica</w:t>
      </w:r>
      <w:proofErr w:type="spellEnd"/>
      <w:r w:rsidRPr="005B09F6">
        <w:rPr>
          <w:rFonts w:ascii="Calibri" w:hAnsi="Calibri" w:cs="Arial"/>
          <w:szCs w:val="24"/>
        </w:rPr>
        <w:t xml:space="preserve"> a partir daí. </w:t>
      </w:r>
      <w:r w:rsidR="00A755EC" w:rsidRPr="005B09F6">
        <w:rPr>
          <w:rFonts w:ascii="Calibri" w:hAnsi="Calibri" w:cs="Arial"/>
          <w:szCs w:val="24"/>
        </w:rPr>
        <w:t xml:space="preserve">Ao </w:t>
      </w:r>
      <w:r w:rsidRPr="005B09F6">
        <w:rPr>
          <w:rFonts w:ascii="Calibri" w:hAnsi="Calibri" w:cs="Arial"/>
          <w:szCs w:val="24"/>
        </w:rPr>
        <w:t>constatarmos que em 16 anos, entre 2000 e 2016, a população em idade ativa cresceu em 27,4 milhões de pessoas, e imaginarmos que nos 16 anos</w:t>
      </w:r>
      <w:r w:rsidR="00A755EC" w:rsidRPr="005B09F6">
        <w:rPr>
          <w:rFonts w:ascii="Calibri" w:hAnsi="Calibri" w:cs="Arial"/>
          <w:szCs w:val="24"/>
        </w:rPr>
        <w:t xml:space="preserve"> seguintes</w:t>
      </w:r>
      <w:r w:rsidRPr="005B09F6">
        <w:rPr>
          <w:rFonts w:ascii="Calibri" w:hAnsi="Calibri" w:cs="Arial"/>
          <w:szCs w:val="24"/>
        </w:rPr>
        <w:t>, entre 2016 e 2032, ela crescerá 8,5 milhões, é possível perceber que caminhamos rapidamente para um cenário em que a oferta de mão-de-obra será bem mais restrita do que no passado.</w:t>
      </w:r>
    </w:p>
    <w:p w:rsidR="00191DE6" w:rsidRPr="005B09F6" w:rsidRDefault="00191DE6" w:rsidP="00E341F3">
      <w:pPr>
        <w:pStyle w:val="Corpodetexto"/>
        <w:tabs>
          <w:tab w:val="left" w:pos="142"/>
        </w:tabs>
        <w:spacing w:after="240" w:line="360" w:lineRule="auto"/>
        <w:jc w:val="center"/>
        <w:rPr>
          <w:rFonts w:ascii="Calibri" w:hAnsi="Calibri" w:cs="Arial"/>
          <w:b/>
          <w:szCs w:val="24"/>
        </w:rPr>
      </w:pPr>
      <w:r w:rsidRPr="005B09F6">
        <w:rPr>
          <w:rFonts w:ascii="Calibri" w:hAnsi="Calibri" w:cs="Arial"/>
          <w:b/>
          <w:szCs w:val="24"/>
        </w:rPr>
        <w:t>Gráfico 3.</w:t>
      </w:r>
      <w:r w:rsidR="001D086D" w:rsidRPr="005B09F6">
        <w:rPr>
          <w:rFonts w:ascii="Calibri" w:hAnsi="Calibri" w:cs="Arial"/>
          <w:b/>
          <w:szCs w:val="24"/>
        </w:rPr>
        <w:t>4</w:t>
      </w:r>
      <w:r w:rsidRPr="005B09F6">
        <w:rPr>
          <w:rFonts w:ascii="Calibri" w:hAnsi="Calibri" w:cs="Arial"/>
          <w:b/>
          <w:szCs w:val="24"/>
        </w:rPr>
        <w:t xml:space="preserve"> - Evolução da Taxa de Fecundidade - Brasil - 1940-2010</w:t>
      </w:r>
    </w:p>
    <w:p w:rsidR="006C777E" w:rsidRPr="005B09F6" w:rsidRDefault="007D6EEE" w:rsidP="00DC3F44">
      <w:pPr>
        <w:pStyle w:val="Corpodetexto"/>
        <w:tabs>
          <w:tab w:val="left" w:pos="142"/>
        </w:tabs>
        <w:jc w:val="center"/>
        <w:rPr>
          <w:rFonts w:ascii="Calibri" w:hAnsi="Calibri"/>
          <w:szCs w:val="24"/>
        </w:rPr>
      </w:pPr>
      <w:r w:rsidRPr="005B09F6">
        <w:rPr>
          <w:rFonts w:ascii="Calibri" w:hAnsi="Calibri"/>
          <w:noProof/>
          <w:szCs w:val="24"/>
          <w:lang w:eastAsia="pt-BR"/>
        </w:rPr>
        <w:drawing>
          <wp:inline distT="0" distB="0" distL="0" distR="0" wp14:anchorId="1C4B46EF" wp14:editId="0EECFCDE">
            <wp:extent cx="5869760" cy="322166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92039" cy="3233893"/>
                    </a:xfrm>
                    <a:prstGeom prst="rect">
                      <a:avLst/>
                    </a:prstGeom>
                    <a:noFill/>
                    <a:ln>
                      <a:noFill/>
                    </a:ln>
                  </pic:spPr>
                </pic:pic>
              </a:graphicData>
            </a:graphic>
          </wp:inline>
        </w:drawing>
      </w:r>
    </w:p>
    <w:p w:rsidR="00191DE6" w:rsidRPr="005B09F6" w:rsidRDefault="003D7820" w:rsidP="003D7820">
      <w:pPr>
        <w:pStyle w:val="Corpodetexto"/>
        <w:tabs>
          <w:tab w:val="left" w:pos="142"/>
        </w:tabs>
        <w:jc w:val="left"/>
        <w:rPr>
          <w:rFonts w:ascii="Calibri" w:hAnsi="Calibri" w:cs="Arial"/>
          <w:szCs w:val="24"/>
        </w:rPr>
      </w:pPr>
      <w:r w:rsidRPr="005B09F6">
        <w:rPr>
          <w:rFonts w:ascii="Calibri" w:hAnsi="Calibri" w:cs="Arial"/>
          <w:szCs w:val="24"/>
        </w:rPr>
        <w:t>Fonte</w:t>
      </w:r>
      <w:r w:rsidR="00191DE6" w:rsidRPr="005B09F6">
        <w:rPr>
          <w:rFonts w:ascii="Calibri" w:hAnsi="Calibri" w:cs="Arial"/>
          <w:szCs w:val="24"/>
        </w:rPr>
        <w:t xml:space="preserve">: a) </w:t>
      </w:r>
      <w:smartTag w:uri="urn:schemas-microsoft-com:office:smarttags" w:element="metricconverter">
        <w:smartTagPr>
          <w:attr w:name="ProductID" w:val="1940 a"/>
        </w:smartTagPr>
        <w:r w:rsidR="00191DE6" w:rsidRPr="005B09F6">
          <w:rPr>
            <w:rFonts w:ascii="Calibri" w:hAnsi="Calibri" w:cs="Arial"/>
            <w:szCs w:val="24"/>
          </w:rPr>
          <w:t>1940 a</w:t>
        </w:r>
      </w:smartTag>
      <w:r w:rsidR="00191DE6" w:rsidRPr="005B09F6">
        <w:rPr>
          <w:rFonts w:ascii="Calibri" w:hAnsi="Calibri" w:cs="Arial"/>
          <w:szCs w:val="24"/>
        </w:rPr>
        <w:t xml:space="preserve"> 2000 - </w:t>
      </w:r>
      <w:proofErr w:type="spellStart"/>
      <w:r w:rsidR="00191DE6" w:rsidRPr="005B09F6">
        <w:rPr>
          <w:rFonts w:ascii="Calibri" w:hAnsi="Calibri" w:cs="Arial"/>
          <w:szCs w:val="24"/>
        </w:rPr>
        <w:t>Berquó</w:t>
      </w:r>
      <w:proofErr w:type="spellEnd"/>
      <w:r w:rsidR="00191DE6" w:rsidRPr="005B09F6">
        <w:rPr>
          <w:rFonts w:ascii="Calibri" w:hAnsi="Calibri" w:cs="Arial"/>
          <w:szCs w:val="24"/>
        </w:rPr>
        <w:t xml:space="preserve">, Elza &amp; </w:t>
      </w:r>
      <w:proofErr w:type="spellStart"/>
      <w:r w:rsidR="00191DE6" w:rsidRPr="005B09F6">
        <w:rPr>
          <w:rFonts w:ascii="Calibri" w:hAnsi="Calibri" w:cs="Arial"/>
          <w:szCs w:val="24"/>
        </w:rPr>
        <w:t>Cavenaghi</w:t>
      </w:r>
      <w:proofErr w:type="spellEnd"/>
      <w:r w:rsidR="00191DE6" w:rsidRPr="005B09F6">
        <w:rPr>
          <w:rFonts w:ascii="Calibri" w:hAnsi="Calibri" w:cs="Arial"/>
          <w:szCs w:val="24"/>
        </w:rPr>
        <w:t>, Suzana. Fecundidade em Declínio, Novos Estudos CEBRAP, nº 74, março de 2006, pp. 11-15</w:t>
      </w:r>
      <w:r w:rsidRPr="005B09F6">
        <w:rPr>
          <w:rFonts w:ascii="Calibri" w:hAnsi="Calibri" w:cs="Arial"/>
          <w:szCs w:val="24"/>
        </w:rPr>
        <w:t xml:space="preserve">; </w:t>
      </w:r>
      <w:smartTag w:uri="urn:schemas-microsoft-com:office:smarttags" w:element="metricconverter">
        <w:smartTagPr>
          <w:attr w:name="ProductID" w:val="2004 a"/>
        </w:smartTagPr>
        <w:r w:rsidRPr="005B09F6">
          <w:rPr>
            <w:rFonts w:ascii="Calibri" w:hAnsi="Calibri" w:cs="Arial"/>
            <w:szCs w:val="24"/>
          </w:rPr>
          <w:t xml:space="preserve">b) </w:t>
        </w:r>
        <w:r w:rsidR="00191DE6" w:rsidRPr="005B09F6">
          <w:rPr>
            <w:rFonts w:ascii="Calibri" w:hAnsi="Calibri" w:cs="Arial"/>
            <w:szCs w:val="24"/>
          </w:rPr>
          <w:t>2004 a</w:t>
        </w:r>
      </w:smartTag>
      <w:r w:rsidR="00191DE6" w:rsidRPr="005B09F6">
        <w:rPr>
          <w:rFonts w:ascii="Calibri" w:hAnsi="Calibri" w:cs="Arial"/>
          <w:szCs w:val="24"/>
        </w:rPr>
        <w:t xml:space="preserve"> </w:t>
      </w:r>
      <w:proofErr w:type="gramStart"/>
      <w:r w:rsidR="00191DE6" w:rsidRPr="005B09F6">
        <w:rPr>
          <w:rFonts w:ascii="Calibri" w:hAnsi="Calibri" w:cs="Arial"/>
          <w:szCs w:val="24"/>
        </w:rPr>
        <w:t>2010 .</w:t>
      </w:r>
      <w:proofErr w:type="gramEnd"/>
      <w:r w:rsidR="00191DE6" w:rsidRPr="005B09F6">
        <w:rPr>
          <w:rFonts w:ascii="Calibri" w:hAnsi="Calibri" w:cs="Arial"/>
          <w:szCs w:val="24"/>
        </w:rPr>
        <w:t xml:space="preserve"> Fonte: IBGE/Diretoria de Pesquisas. Coordenação de População e Indicadores Sociais.</w:t>
      </w:r>
    </w:p>
    <w:p w:rsidR="003D7820" w:rsidRPr="005B09F6" w:rsidRDefault="003D7820" w:rsidP="003D7820">
      <w:pPr>
        <w:pStyle w:val="Corpodetexto"/>
        <w:tabs>
          <w:tab w:val="left" w:pos="142"/>
        </w:tabs>
        <w:jc w:val="left"/>
        <w:rPr>
          <w:rFonts w:ascii="Calibri" w:hAnsi="Calibri" w:cs="Arial"/>
          <w:szCs w:val="24"/>
        </w:rPr>
      </w:pPr>
    </w:p>
    <w:p w:rsidR="006C777E" w:rsidRPr="005B09F6" w:rsidRDefault="007D6EEE" w:rsidP="00DC3F44">
      <w:pPr>
        <w:pStyle w:val="Recuodecorpodetexto"/>
        <w:tabs>
          <w:tab w:val="left" w:pos="142"/>
        </w:tabs>
        <w:ind w:firstLine="0"/>
        <w:jc w:val="center"/>
        <w:rPr>
          <w:rFonts w:ascii="Calibri" w:hAnsi="Calibri"/>
          <w:szCs w:val="24"/>
        </w:rPr>
      </w:pPr>
      <w:r w:rsidRPr="005B09F6">
        <w:rPr>
          <w:rFonts w:ascii="Calibri" w:hAnsi="Calibri"/>
          <w:noProof/>
          <w:szCs w:val="24"/>
          <w:lang w:eastAsia="pt-BR"/>
        </w:rPr>
        <w:drawing>
          <wp:inline distT="0" distB="0" distL="0" distR="0" wp14:anchorId="34AD9369" wp14:editId="01FCF6EB">
            <wp:extent cx="6077902" cy="3795823"/>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05995" cy="3813368"/>
                    </a:xfrm>
                    <a:prstGeom prst="rect">
                      <a:avLst/>
                    </a:prstGeom>
                    <a:noFill/>
                    <a:ln>
                      <a:noFill/>
                    </a:ln>
                  </pic:spPr>
                </pic:pic>
              </a:graphicData>
            </a:graphic>
          </wp:inline>
        </w:drawing>
      </w:r>
    </w:p>
    <w:p w:rsidR="00191DE6" w:rsidRPr="005B09F6" w:rsidRDefault="007F050D" w:rsidP="003D7820">
      <w:pPr>
        <w:pStyle w:val="Recuodecorpodetexto"/>
        <w:tabs>
          <w:tab w:val="left" w:pos="142"/>
        </w:tabs>
        <w:ind w:firstLine="0"/>
        <w:jc w:val="left"/>
        <w:rPr>
          <w:rFonts w:ascii="Calibri" w:hAnsi="Calibri" w:cs="Arial"/>
          <w:szCs w:val="24"/>
        </w:rPr>
      </w:pPr>
      <w:r w:rsidRPr="005B09F6">
        <w:rPr>
          <w:rFonts w:ascii="Calibri" w:hAnsi="Calibri" w:cs="Arial"/>
          <w:szCs w:val="24"/>
        </w:rPr>
        <w:t>Fonte: IBGE.</w:t>
      </w:r>
    </w:p>
    <w:p w:rsidR="00EB3834" w:rsidRPr="005B09F6" w:rsidRDefault="007F050D" w:rsidP="00217A9B">
      <w:pPr>
        <w:pStyle w:val="Recuodecorpodetexto"/>
        <w:tabs>
          <w:tab w:val="left" w:pos="142"/>
        </w:tabs>
        <w:spacing w:after="240"/>
        <w:ind w:firstLine="0"/>
        <w:jc w:val="left"/>
        <w:rPr>
          <w:rFonts w:ascii="Calibri" w:hAnsi="Calibri" w:cs="Arial"/>
          <w:szCs w:val="24"/>
        </w:rPr>
      </w:pPr>
      <w:r w:rsidRPr="005B09F6">
        <w:rPr>
          <w:rFonts w:ascii="Calibri" w:hAnsi="Calibri" w:cs="Arial"/>
          <w:szCs w:val="24"/>
        </w:rPr>
        <w:t>Elaboração: SPREV/MF.</w:t>
      </w:r>
    </w:p>
    <w:p w:rsidR="006D1CC3" w:rsidRPr="005B09F6" w:rsidRDefault="007010C7" w:rsidP="00E341F3">
      <w:pPr>
        <w:pStyle w:val="Corpodetexto"/>
        <w:tabs>
          <w:tab w:val="left" w:pos="142"/>
        </w:tabs>
        <w:spacing w:after="240" w:line="360" w:lineRule="auto"/>
        <w:jc w:val="center"/>
        <w:rPr>
          <w:rFonts w:ascii="Calibri" w:hAnsi="Calibri"/>
          <w:szCs w:val="24"/>
        </w:rPr>
      </w:pPr>
      <w:r w:rsidRPr="005B09F6">
        <w:rPr>
          <w:rFonts w:ascii="Calibri" w:hAnsi="Calibri" w:cs="Arial"/>
          <w:b/>
          <w:szCs w:val="24"/>
        </w:rPr>
        <w:t>Gráfico 3.6 - Projeção da evolução da população em idade ativa (</w:t>
      </w:r>
      <w:smartTag w:uri="urn:schemas-microsoft-com:office:smarttags" w:element="metricconverter">
        <w:smartTagPr>
          <w:attr w:name="ProductID" w:val="16 a"/>
        </w:smartTagPr>
        <w:r w:rsidRPr="005B09F6">
          <w:rPr>
            <w:rFonts w:ascii="Calibri" w:hAnsi="Calibri" w:cs="Arial"/>
            <w:b/>
            <w:szCs w:val="24"/>
          </w:rPr>
          <w:t>16 a</w:t>
        </w:r>
      </w:smartTag>
      <w:r w:rsidRPr="005B09F6">
        <w:rPr>
          <w:rFonts w:ascii="Calibri" w:hAnsi="Calibri" w:cs="Arial"/>
          <w:b/>
          <w:szCs w:val="24"/>
        </w:rPr>
        <w:t xml:space="preserve"> 59 anos) - 2000-20</w:t>
      </w:r>
      <w:r w:rsidR="00D93417" w:rsidRPr="005B09F6">
        <w:rPr>
          <w:rFonts w:ascii="Calibri" w:hAnsi="Calibri" w:cs="Arial"/>
          <w:b/>
          <w:szCs w:val="24"/>
        </w:rPr>
        <w:t>6</w:t>
      </w:r>
      <w:r w:rsidRPr="005B09F6">
        <w:rPr>
          <w:rFonts w:ascii="Calibri" w:hAnsi="Calibri" w:cs="Arial"/>
          <w:b/>
          <w:szCs w:val="24"/>
        </w:rPr>
        <w:t>0</w:t>
      </w:r>
      <w:r w:rsidR="00D93417" w:rsidRPr="005B09F6">
        <w:rPr>
          <w:rFonts w:ascii="Calibri" w:hAnsi="Calibri"/>
          <w:noProof/>
          <w:szCs w:val="24"/>
          <w:lang w:eastAsia="pt-BR"/>
        </w:rPr>
        <w:t xml:space="preserve"> </w:t>
      </w:r>
    </w:p>
    <w:p w:rsidR="00BC4DC9" w:rsidRPr="005B09F6" w:rsidRDefault="007D6EEE" w:rsidP="00DC3F44">
      <w:pPr>
        <w:pStyle w:val="Corpodetexto"/>
        <w:tabs>
          <w:tab w:val="left" w:pos="142"/>
        </w:tabs>
        <w:jc w:val="center"/>
        <w:rPr>
          <w:rFonts w:ascii="Calibri" w:hAnsi="Calibri"/>
          <w:szCs w:val="24"/>
        </w:rPr>
      </w:pPr>
      <w:r w:rsidRPr="005B09F6">
        <w:rPr>
          <w:rFonts w:ascii="Calibri" w:hAnsi="Calibri"/>
          <w:noProof/>
          <w:szCs w:val="24"/>
          <w:lang w:eastAsia="pt-BR"/>
        </w:rPr>
        <w:drawing>
          <wp:inline distT="0" distB="0" distL="0" distR="0" wp14:anchorId="60994BB1" wp14:editId="73F9B997">
            <wp:extent cx="6156252" cy="3405046"/>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187535" cy="3422349"/>
                    </a:xfrm>
                    <a:prstGeom prst="rect">
                      <a:avLst/>
                    </a:prstGeom>
                    <a:noFill/>
                    <a:ln>
                      <a:noFill/>
                    </a:ln>
                  </pic:spPr>
                </pic:pic>
              </a:graphicData>
            </a:graphic>
          </wp:inline>
        </w:drawing>
      </w:r>
    </w:p>
    <w:p w:rsidR="003D7820" w:rsidRPr="005B09F6" w:rsidRDefault="007F050D" w:rsidP="003D7820">
      <w:pPr>
        <w:pStyle w:val="Recuodecorpodetexto"/>
        <w:tabs>
          <w:tab w:val="left" w:pos="142"/>
        </w:tabs>
        <w:ind w:firstLine="0"/>
        <w:jc w:val="left"/>
        <w:rPr>
          <w:rFonts w:ascii="Calibri" w:hAnsi="Calibri" w:cs="Arial"/>
          <w:szCs w:val="24"/>
        </w:rPr>
      </w:pPr>
      <w:r w:rsidRPr="005B09F6">
        <w:rPr>
          <w:rFonts w:ascii="Calibri" w:hAnsi="Calibri" w:cs="Arial"/>
          <w:szCs w:val="24"/>
        </w:rPr>
        <w:t>Fonte: IBGE.</w:t>
      </w:r>
    </w:p>
    <w:p w:rsidR="003D7820" w:rsidRPr="005B09F6" w:rsidRDefault="007F050D" w:rsidP="003D7820">
      <w:pPr>
        <w:pStyle w:val="Recuodecorpodetexto"/>
        <w:tabs>
          <w:tab w:val="left" w:pos="142"/>
        </w:tabs>
        <w:ind w:firstLine="0"/>
        <w:jc w:val="left"/>
        <w:rPr>
          <w:rFonts w:ascii="Calibri" w:hAnsi="Calibri" w:cs="Arial"/>
          <w:szCs w:val="24"/>
        </w:rPr>
      </w:pPr>
      <w:r w:rsidRPr="005B09F6">
        <w:rPr>
          <w:rFonts w:ascii="Calibri" w:hAnsi="Calibri" w:cs="Arial"/>
          <w:szCs w:val="24"/>
        </w:rPr>
        <w:t>Elaboração: SPREV/MF.</w:t>
      </w:r>
    </w:p>
    <w:p w:rsidR="006C777E" w:rsidRPr="005B09F6" w:rsidRDefault="001D086D" w:rsidP="001D086D">
      <w:pPr>
        <w:pStyle w:val="Corpodetexto"/>
        <w:tabs>
          <w:tab w:val="left" w:pos="142"/>
        </w:tabs>
        <w:ind w:right="255"/>
        <w:jc w:val="center"/>
        <w:rPr>
          <w:rFonts w:ascii="Calibri" w:hAnsi="Calibri" w:cs="Arial"/>
          <w:b/>
          <w:szCs w:val="24"/>
        </w:rPr>
      </w:pPr>
      <w:r w:rsidRPr="005B09F6">
        <w:rPr>
          <w:rFonts w:ascii="Calibri" w:hAnsi="Calibri" w:cs="Arial"/>
          <w:b/>
          <w:noProof/>
          <w:szCs w:val="24"/>
          <w:lang w:eastAsia="pt-BR"/>
        </w:rPr>
        <w:drawing>
          <wp:inline distT="0" distB="0" distL="0" distR="0" wp14:anchorId="137B7051">
            <wp:extent cx="5520055" cy="3421516"/>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30732" cy="3428134"/>
                    </a:xfrm>
                    <a:prstGeom prst="rect">
                      <a:avLst/>
                    </a:prstGeom>
                    <a:noFill/>
                  </pic:spPr>
                </pic:pic>
              </a:graphicData>
            </a:graphic>
          </wp:inline>
        </w:drawing>
      </w:r>
    </w:p>
    <w:p w:rsidR="003D7820" w:rsidRPr="005B09F6" w:rsidRDefault="007F050D" w:rsidP="001D086D">
      <w:pPr>
        <w:pStyle w:val="Recuodecorpodetexto"/>
        <w:tabs>
          <w:tab w:val="left" w:pos="142"/>
        </w:tabs>
        <w:ind w:left="426" w:firstLine="0"/>
        <w:jc w:val="left"/>
        <w:rPr>
          <w:rFonts w:ascii="Calibri" w:hAnsi="Calibri" w:cs="Arial"/>
          <w:szCs w:val="24"/>
        </w:rPr>
      </w:pPr>
      <w:r w:rsidRPr="005B09F6">
        <w:rPr>
          <w:rFonts w:ascii="Calibri" w:hAnsi="Calibri" w:cs="Arial"/>
          <w:szCs w:val="24"/>
        </w:rPr>
        <w:t>Fonte: IBGE.</w:t>
      </w:r>
    </w:p>
    <w:p w:rsidR="003D7820" w:rsidRPr="005B09F6" w:rsidRDefault="007F050D" w:rsidP="001D086D">
      <w:pPr>
        <w:pStyle w:val="Recuodecorpodetexto"/>
        <w:tabs>
          <w:tab w:val="left" w:pos="142"/>
        </w:tabs>
        <w:spacing w:after="240"/>
        <w:ind w:left="426" w:firstLine="0"/>
        <w:jc w:val="left"/>
        <w:rPr>
          <w:rFonts w:ascii="Calibri" w:hAnsi="Calibri" w:cs="Arial"/>
          <w:szCs w:val="24"/>
        </w:rPr>
      </w:pPr>
      <w:r w:rsidRPr="005B09F6">
        <w:rPr>
          <w:rFonts w:ascii="Calibri" w:hAnsi="Calibri" w:cs="Arial"/>
          <w:szCs w:val="24"/>
        </w:rPr>
        <w:t>Elaboração: SPREV/MF.</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Quando se observa a população em idade ativa como proporção da população total, conforme o Gráfico 3.7, verifica-se que em termos relativos</w:t>
      </w:r>
      <w:r w:rsidR="00B32A5C" w:rsidRPr="005B09F6">
        <w:rPr>
          <w:rFonts w:ascii="Calibri" w:hAnsi="Calibri" w:cs="Arial"/>
          <w:szCs w:val="24"/>
        </w:rPr>
        <w:t>,</w:t>
      </w:r>
      <w:r w:rsidRPr="005B09F6">
        <w:rPr>
          <w:rFonts w:ascii="Calibri" w:hAnsi="Calibri" w:cs="Arial"/>
          <w:szCs w:val="24"/>
        </w:rPr>
        <w:t xml:space="preserve"> o </w:t>
      </w:r>
      <w:r w:rsidR="00A755EC" w:rsidRPr="005B09F6">
        <w:rPr>
          <w:rFonts w:ascii="Calibri" w:hAnsi="Calibri" w:cs="Arial"/>
          <w:szCs w:val="24"/>
        </w:rPr>
        <w:t xml:space="preserve">ponto de máximo </w:t>
      </w:r>
      <w:r w:rsidRPr="005B09F6">
        <w:rPr>
          <w:rFonts w:ascii="Calibri" w:hAnsi="Calibri" w:cs="Arial"/>
          <w:szCs w:val="24"/>
        </w:rPr>
        <w:t xml:space="preserve">dessa proporção ocorrerá em 2021, quando esse grupo etário responderá por 63,7% da população total, caindo de forma constante a partir desse ano. Se observarmos que o crescimento desse percentual entre 2016 e 2021 é de apenas 0,2% podemos concluir que já estamos, na prática, no ponto de máximo dessa curva e também na condição de maior aproveitamento do </w:t>
      </w:r>
      <w:r w:rsidR="00A755EC" w:rsidRPr="005B09F6">
        <w:rPr>
          <w:rFonts w:ascii="Calibri" w:hAnsi="Calibri" w:cs="Arial"/>
          <w:szCs w:val="24"/>
        </w:rPr>
        <w:t xml:space="preserve">bônus </w:t>
      </w:r>
      <w:r w:rsidRPr="005B09F6">
        <w:rPr>
          <w:rFonts w:ascii="Calibri" w:hAnsi="Calibri" w:cs="Arial"/>
          <w:szCs w:val="24"/>
        </w:rPr>
        <w:t>demográfico</w:t>
      </w:r>
      <w:r w:rsidRPr="005B09F6">
        <w:rPr>
          <w:rStyle w:val="Refdenotaderodap"/>
          <w:rFonts w:ascii="Calibri" w:hAnsi="Calibri" w:cs="Arial"/>
          <w:szCs w:val="24"/>
        </w:rPr>
        <w:footnoteReference w:id="5"/>
      </w:r>
      <w:r w:rsidRPr="005B09F6">
        <w:rPr>
          <w:rFonts w:ascii="Calibri" w:hAnsi="Calibri" w:cs="Arial"/>
          <w:szCs w:val="24"/>
        </w:rPr>
        <w:t>.</w:t>
      </w:r>
    </w:p>
    <w:p w:rsidR="007010C7" w:rsidRPr="005B09F6" w:rsidRDefault="007010C7"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O aumento da expectativa de sobrevida e a diminuição da taxa de fecundidade trazem o aumento da participação dos idosos na composição da população. Conforme se pode observar no gráfico 3.8, o percentual da população idosa, considerada neste documento com idade superior a 60 anos, deverá aumentar de 1</w:t>
      </w:r>
      <w:r w:rsidR="000C48A1" w:rsidRPr="005B09F6">
        <w:rPr>
          <w:rFonts w:ascii="Calibri" w:hAnsi="Calibri" w:cs="Arial"/>
          <w:szCs w:val="24"/>
        </w:rPr>
        <w:t>2</w:t>
      </w:r>
      <w:r w:rsidRPr="005B09F6">
        <w:rPr>
          <w:rFonts w:ascii="Calibri" w:hAnsi="Calibri" w:cs="Arial"/>
          <w:szCs w:val="24"/>
        </w:rPr>
        <w:t>,</w:t>
      </w:r>
      <w:r w:rsidR="000C48A1" w:rsidRPr="005B09F6">
        <w:rPr>
          <w:rFonts w:ascii="Calibri" w:hAnsi="Calibri" w:cs="Arial"/>
          <w:szCs w:val="24"/>
        </w:rPr>
        <w:t>1</w:t>
      </w:r>
      <w:r w:rsidRPr="005B09F6">
        <w:rPr>
          <w:rFonts w:ascii="Calibri" w:hAnsi="Calibri" w:cs="Arial"/>
          <w:szCs w:val="24"/>
        </w:rPr>
        <w:t>% no ano 201</w:t>
      </w:r>
      <w:r w:rsidR="000C48A1" w:rsidRPr="005B09F6">
        <w:rPr>
          <w:rFonts w:ascii="Calibri" w:hAnsi="Calibri" w:cs="Arial"/>
          <w:szCs w:val="24"/>
        </w:rPr>
        <w:t>6</w:t>
      </w:r>
      <w:r w:rsidRPr="005B09F6">
        <w:rPr>
          <w:rFonts w:ascii="Calibri" w:hAnsi="Calibri" w:cs="Arial"/>
          <w:szCs w:val="24"/>
        </w:rPr>
        <w:t xml:space="preserve"> para </w:t>
      </w:r>
      <w:r w:rsidR="000C48A1" w:rsidRPr="005B09F6">
        <w:rPr>
          <w:rFonts w:ascii="Calibri" w:hAnsi="Calibri" w:cs="Arial"/>
          <w:szCs w:val="24"/>
        </w:rPr>
        <w:t>33,7</w:t>
      </w:r>
      <w:r w:rsidRPr="005B09F6">
        <w:rPr>
          <w:rFonts w:ascii="Calibri" w:hAnsi="Calibri" w:cs="Arial"/>
          <w:szCs w:val="24"/>
        </w:rPr>
        <w:t>% no ano 20</w:t>
      </w:r>
      <w:r w:rsidR="000C48A1" w:rsidRPr="005B09F6">
        <w:rPr>
          <w:rFonts w:ascii="Calibri" w:hAnsi="Calibri" w:cs="Arial"/>
          <w:szCs w:val="24"/>
        </w:rPr>
        <w:t>6</w:t>
      </w:r>
      <w:r w:rsidRPr="005B09F6">
        <w:rPr>
          <w:rFonts w:ascii="Calibri" w:hAnsi="Calibri" w:cs="Arial"/>
          <w:szCs w:val="24"/>
        </w:rPr>
        <w:t xml:space="preserve">0. Esse processo deve ser mais intenso em relação às mulheres para as quais o percentual de idosos aumentará </w:t>
      </w:r>
      <w:r w:rsidR="009753B3" w:rsidRPr="005B09F6">
        <w:rPr>
          <w:rFonts w:ascii="Calibri" w:hAnsi="Calibri" w:cs="Arial"/>
          <w:szCs w:val="24"/>
        </w:rPr>
        <w:t xml:space="preserve">quase </w:t>
      </w:r>
      <w:r w:rsidR="000C48A1" w:rsidRPr="005B09F6">
        <w:rPr>
          <w:rFonts w:ascii="Calibri" w:hAnsi="Calibri" w:cs="Arial"/>
          <w:szCs w:val="24"/>
        </w:rPr>
        <w:t>23</w:t>
      </w:r>
      <w:r w:rsidRPr="005B09F6">
        <w:rPr>
          <w:rFonts w:ascii="Calibri" w:hAnsi="Calibri" w:cs="Arial"/>
          <w:szCs w:val="24"/>
        </w:rPr>
        <w:t xml:space="preserve"> pontos percentuais no período 201</w:t>
      </w:r>
      <w:r w:rsidR="000C48A1" w:rsidRPr="005B09F6">
        <w:rPr>
          <w:rFonts w:ascii="Calibri" w:hAnsi="Calibri" w:cs="Arial"/>
          <w:szCs w:val="24"/>
        </w:rPr>
        <w:t>6</w:t>
      </w:r>
      <w:r w:rsidRPr="005B09F6">
        <w:rPr>
          <w:rFonts w:ascii="Calibri" w:hAnsi="Calibri" w:cs="Arial"/>
          <w:szCs w:val="24"/>
        </w:rPr>
        <w:t>/20</w:t>
      </w:r>
      <w:r w:rsidR="000C48A1" w:rsidRPr="005B09F6">
        <w:rPr>
          <w:rFonts w:ascii="Calibri" w:hAnsi="Calibri" w:cs="Arial"/>
          <w:szCs w:val="24"/>
        </w:rPr>
        <w:t>6</w:t>
      </w:r>
      <w:r w:rsidRPr="005B09F6">
        <w:rPr>
          <w:rFonts w:ascii="Calibri" w:hAnsi="Calibri" w:cs="Arial"/>
          <w:szCs w:val="24"/>
        </w:rPr>
        <w:t>0, passando de 1</w:t>
      </w:r>
      <w:r w:rsidR="000C48A1" w:rsidRPr="005B09F6">
        <w:rPr>
          <w:rFonts w:ascii="Calibri" w:hAnsi="Calibri" w:cs="Arial"/>
          <w:szCs w:val="24"/>
        </w:rPr>
        <w:t>3,3</w:t>
      </w:r>
      <w:r w:rsidRPr="005B09F6">
        <w:rPr>
          <w:rFonts w:ascii="Calibri" w:hAnsi="Calibri" w:cs="Arial"/>
          <w:szCs w:val="24"/>
        </w:rPr>
        <w:t>% no ano 201</w:t>
      </w:r>
      <w:r w:rsidR="000C48A1" w:rsidRPr="005B09F6">
        <w:rPr>
          <w:rFonts w:ascii="Calibri" w:hAnsi="Calibri" w:cs="Arial"/>
          <w:szCs w:val="24"/>
        </w:rPr>
        <w:t>6</w:t>
      </w:r>
      <w:r w:rsidRPr="005B09F6">
        <w:rPr>
          <w:rFonts w:ascii="Calibri" w:hAnsi="Calibri" w:cs="Arial"/>
          <w:szCs w:val="24"/>
        </w:rPr>
        <w:t xml:space="preserve"> para 3</w:t>
      </w:r>
      <w:r w:rsidR="000C48A1" w:rsidRPr="005B09F6">
        <w:rPr>
          <w:rFonts w:ascii="Calibri" w:hAnsi="Calibri" w:cs="Arial"/>
          <w:szCs w:val="24"/>
        </w:rPr>
        <w:t>6,2</w:t>
      </w:r>
      <w:r w:rsidRPr="005B09F6">
        <w:rPr>
          <w:rFonts w:ascii="Calibri" w:hAnsi="Calibri" w:cs="Arial"/>
          <w:szCs w:val="24"/>
        </w:rPr>
        <w:t>% em 20</w:t>
      </w:r>
      <w:r w:rsidR="000C48A1" w:rsidRPr="005B09F6">
        <w:rPr>
          <w:rFonts w:ascii="Calibri" w:hAnsi="Calibri" w:cs="Arial"/>
          <w:szCs w:val="24"/>
        </w:rPr>
        <w:t>6</w:t>
      </w:r>
      <w:r w:rsidRPr="005B09F6">
        <w:rPr>
          <w:rFonts w:ascii="Calibri" w:hAnsi="Calibri" w:cs="Arial"/>
          <w:szCs w:val="24"/>
        </w:rPr>
        <w:t xml:space="preserve">0. Para os homens o crescimento da população idosa no período será de </w:t>
      </w:r>
      <w:r w:rsidR="000C48A1" w:rsidRPr="005B09F6">
        <w:rPr>
          <w:rFonts w:ascii="Calibri" w:hAnsi="Calibri" w:cs="Arial"/>
          <w:szCs w:val="24"/>
        </w:rPr>
        <w:t>20</w:t>
      </w:r>
      <w:r w:rsidRPr="005B09F6">
        <w:rPr>
          <w:rFonts w:ascii="Calibri" w:hAnsi="Calibri" w:cs="Arial"/>
          <w:szCs w:val="24"/>
        </w:rPr>
        <w:t xml:space="preserve"> pontos percentuais, passando de 10,</w:t>
      </w:r>
      <w:r w:rsidR="000C48A1" w:rsidRPr="005B09F6">
        <w:rPr>
          <w:rFonts w:ascii="Calibri" w:hAnsi="Calibri" w:cs="Arial"/>
          <w:szCs w:val="24"/>
        </w:rPr>
        <w:t>8</w:t>
      </w:r>
      <w:r w:rsidRPr="005B09F6">
        <w:rPr>
          <w:rFonts w:ascii="Calibri" w:hAnsi="Calibri" w:cs="Arial"/>
          <w:szCs w:val="24"/>
        </w:rPr>
        <w:t>% no ano 201</w:t>
      </w:r>
      <w:r w:rsidR="000C48A1" w:rsidRPr="005B09F6">
        <w:rPr>
          <w:rFonts w:ascii="Calibri" w:hAnsi="Calibri" w:cs="Arial"/>
          <w:szCs w:val="24"/>
        </w:rPr>
        <w:t>6</w:t>
      </w:r>
      <w:r w:rsidRPr="005B09F6">
        <w:rPr>
          <w:rFonts w:ascii="Calibri" w:hAnsi="Calibri" w:cs="Arial"/>
          <w:szCs w:val="24"/>
        </w:rPr>
        <w:t xml:space="preserve"> para </w:t>
      </w:r>
      <w:r w:rsidR="000C48A1" w:rsidRPr="005B09F6">
        <w:rPr>
          <w:rFonts w:ascii="Calibri" w:hAnsi="Calibri" w:cs="Arial"/>
          <w:szCs w:val="24"/>
        </w:rPr>
        <w:t>31,1</w:t>
      </w:r>
      <w:r w:rsidRPr="005B09F6">
        <w:rPr>
          <w:rFonts w:ascii="Calibri" w:hAnsi="Calibri" w:cs="Arial"/>
          <w:szCs w:val="24"/>
        </w:rPr>
        <w:t xml:space="preserve">% em 2050. Isto ocorre em função da expectativa de vida feminina ser maior do que a da masculina. </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Quando se analisa a evolução da parcela da população com idade entre 16 e 59 anos, observa-se que a participação desse grupo etário na população total terá crescimento negativo entre 2016 e 2060 com redução de sua participação de 63,5% para 52,4% da população total. Quando analisada por gênero, verifica-se que a partir de 2021 terá início a queda na participação das mulheres, queda que também começará a se manifestar entre os homens a partir de 2022 (Gráfico 3.9).</w:t>
      </w:r>
    </w:p>
    <w:p w:rsidR="005C70D4" w:rsidRPr="005B09F6" w:rsidRDefault="00EB3834" w:rsidP="005C70D4">
      <w:pPr>
        <w:pStyle w:val="Corpodetexto"/>
        <w:tabs>
          <w:tab w:val="left" w:pos="142"/>
        </w:tabs>
        <w:spacing w:line="360" w:lineRule="auto"/>
        <w:rPr>
          <w:rFonts w:ascii="Calibri" w:hAnsi="Calibri" w:cs="Arial"/>
          <w:szCs w:val="24"/>
        </w:rPr>
      </w:pPr>
      <w:r w:rsidRPr="005B09F6">
        <w:rPr>
          <w:rFonts w:ascii="Calibri" w:hAnsi="Calibri" w:cs="Arial"/>
          <w:szCs w:val="24"/>
        </w:rPr>
        <w:t xml:space="preserve">A faixa etária inferior a 16 anos apresenta o caminho inverso das faixas analisadas anteriormente, ou seja, observa-se uma trajetória decrescente ao longo de todo o período entre 2016 e 2060. No ano 2016, o percentual de pessoas com menos de 16 anos em relação ao total será de 24,4%, caindo para 13,9% em 2060. Para as mulheres o percentual cai de 23,5% em 2016 para 13,2% em 2060, enquanto para os homens a queda no período vai de 25,2% para 14,7% (Gráfico 3.10). </w:t>
      </w:r>
    </w:p>
    <w:p w:rsidR="005C70D4" w:rsidRPr="005B09F6" w:rsidRDefault="005C70D4" w:rsidP="005C70D4">
      <w:pPr>
        <w:pStyle w:val="Corpodetexto"/>
        <w:tabs>
          <w:tab w:val="left" w:pos="142"/>
        </w:tabs>
        <w:spacing w:line="360" w:lineRule="auto"/>
        <w:rPr>
          <w:rFonts w:ascii="Calibri" w:hAnsi="Calibri" w:cs="Arial"/>
          <w:szCs w:val="24"/>
        </w:rPr>
      </w:pPr>
    </w:p>
    <w:p w:rsidR="00EB3834" w:rsidRPr="005B09F6" w:rsidRDefault="00EB3834" w:rsidP="005C70D4">
      <w:pPr>
        <w:pStyle w:val="Corpodetexto"/>
        <w:tabs>
          <w:tab w:val="left" w:pos="142"/>
        </w:tabs>
        <w:spacing w:line="360" w:lineRule="auto"/>
        <w:rPr>
          <w:rFonts w:ascii="Calibri" w:hAnsi="Calibri" w:cs="Arial"/>
          <w:szCs w:val="24"/>
        </w:rPr>
      </w:pPr>
      <w:r w:rsidRPr="005B09F6">
        <w:rPr>
          <w:rFonts w:ascii="Calibri" w:hAnsi="Calibri" w:cs="Arial"/>
          <w:szCs w:val="24"/>
        </w:rPr>
        <w:t>Por meio da divisão entre o número de pessoas com idade entre 16 e 59 anos e o número de pessoas com mais de 60 anos obtém-se a razão de dependência invertida, que é um importante indicador para os sistemas previdenciários que funcionam em regime de repartição. Essa taxa nos diz quantas pessoas em idade ativa existem para cada pessoa em idade inativa. As projeções do IBGE demonstram a deterioração desta relação nos próximos 44 anos. No ano 2016, para cada pessoa com mais de 60 anos, ter-se-á 5,3 pessoas com idade entre 16 e 59. Em 2060</w:t>
      </w:r>
      <w:r w:rsidR="00DE2B77" w:rsidRPr="005B09F6">
        <w:rPr>
          <w:rFonts w:ascii="Calibri" w:hAnsi="Calibri" w:cs="Arial"/>
          <w:szCs w:val="24"/>
        </w:rPr>
        <w:t>,</w:t>
      </w:r>
      <w:r w:rsidRPr="005B09F6">
        <w:rPr>
          <w:rFonts w:ascii="Calibri" w:hAnsi="Calibri" w:cs="Arial"/>
          <w:szCs w:val="24"/>
        </w:rPr>
        <w:t xml:space="preserve"> esta relação deverá diminuir para 1,6 (Gráfico 3.11).</w:t>
      </w:r>
    </w:p>
    <w:p w:rsidR="007010C7" w:rsidRPr="005B09F6" w:rsidRDefault="001D086D" w:rsidP="001D086D">
      <w:pPr>
        <w:pStyle w:val="Recuodecorpodetexto"/>
        <w:tabs>
          <w:tab w:val="left" w:pos="142"/>
        </w:tabs>
        <w:ind w:firstLine="0"/>
        <w:jc w:val="center"/>
        <w:rPr>
          <w:rFonts w:ascii="Calibri" w:hAnsi="Calibri" w:cs="Arial"/>
          <w:szCs w:val="24"/>
        </w:rPr>
      </w:pPr>
      <w:r w:rsidRPr="005B09F6">
        <w:rPr>
          <w:rFonts w:ascii="Calibri" w:hAnsi="Calibri" w:cs="Arial"/>
          <w:noProof/>
          <w:szCs w:val="24"/>
          <w:lang w:eastAsia="pt-BR"/>
        </w:rPr>
        <w:drawing>
          <wp:inline distT="0" distB="0" distL="0" distR="0" wp14:anchorId="0170F857">
            <wp:extent cx="5510525" cy="3415609"/>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26334" cy="3425408"/>
                    </a:xfrm>
                    <a:prstGeom prst="rect">
                      <a:avLst/>
                    </a:prstGeom>
                    <a:noFill/>
                  </pic:spPr>
                </pic:pic>
              </a:graphicData>
            </a:graphic>
          </wp:inline>
        </w:drawing>
      </w:r>
    </w:p>
    <w:p w:rsidR="003D7820" w:rsidRPr="005B09F6" w:rsidRDefault="007F050D" w:rsidP="001D086D">
      <w:pPr>
        <w:pStyle w:val="Recuodecorpodetexto"/>
        <w:tabs>
          <w:tab w:val="left" w:pos="142"/>
        </w:tabs>
        <w:ind w:left="567" w:firstLine="0"/>
        <w:jc w:val="left"/>
        <w:rPr>
          <w:rFonts w:ascii="Calibri" w:hAnsi="Calibri" w:cs="Arial"/>
          <w:szCs w:val="24"/>
        </w:rPr>
      </w:pPr>
      <w:r w:rsidRPr="005B09F6">
        <w:rPr>
          <w:rFonts w:ascii="Calibri" w:hAnsi="Calibri" w:cs="Arial"/>
          <w:szCs w:val="24"/>
        </w:rPr>
        <w:t>Fonte: IBGE.</w:t>
      </w:r>
    </w:p>
    <w:p w:rsidR="003D7820" w:rsidRDefault="007F050D" w:rsidP="001D086D">
      <w:pPr>
        <w:pStyle w:val="Recuodecorpodetexto"/>
        <w:tabs>
          <w:tab w:val="left" w:pos="142"/>
        </w:tabs>
        <w:ind w:left="567" w:firstLine="0"/>
        <w:jc w:val="left"/>
        <w:rPr>
          <w:rFonts w:ascii="Calibri" w:hAnsi="Calibri" w:cs="Arial"/>
          <w:szCs w:val="24"/>
        </w:rPr>
      </w:pPr>
      <w:r w:rsidRPr="005B09F6">
        <w:rPr>
          <w:rFonts w:ascii="Calibri" w:hAnsi="Calibri" w:cs="Arial"/>
          <w:szCs w:val="24"/>
        </w:rPr>
        <w:t>Elaboração: SPREV/MF.</w:t>
      </w:r>
    </w:p>
    <w:p w:rsidR="00DC3F44" w:rsidRPr="005B09F6" w:rsidRDefault="00DC3F44" w:rsidP="001D086D">
      <w:pPr>
        <w:pStyle w:val="Recuodecorpodetexto"/>
        <w:tabs>
          <w:tab w:val="left" w:pos="142"/>
        </w:tabs>
        <w:ind w:left="567" w:firstLine="0"/>
        <w:jc w:val="left"/>
        <w:rPr>
          <w:rFonts w:ascii="Calibri" w:hAnsi="Calibri" w:cs="Arial"/>
          <w:szCs w:val="24"/>
        </w:rPr>
      </w:pPr>
    </w:p>
    <w:p w:rsidR="00542A9E" w:rsidRPr="005B09F6" w:rsidRDefault="001D086D" w:rsidP="001D086D">
      <w:pPr>
        <w:pStyle w:val="Corpodetexto"/>
        <w:tabs>
          <w:tab w:val="left" w:pos="142"/>
        </w:tabs>
        <w:jc w:val="center"/>
        <w:rPr>
          <w:rFonts w:ascii="Calibri" w:hAnsi="Calibri"/>
          <w:szCs w:val="24"/>
        </w:rPr>
      </w:pPr>
      <w:r w:rsidRPr="005B09F6">
        <w:rPr>
          <w:rFonts w:ascii="Calibri" w:hAnsi="Calibri"/>
          <w:noProof/>
          <w:szCs w:val="24"/>
          <w:lang w:eastAsia="pt-BR"/>
        </w:rPr>
        <w:drawing>
          <wp:inline distT="0" distB="0" distL="0" distR="0" wp14:anchorId="4DAE4EB2">
            <wp:extent cx="5570163" cy="3452574"/>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583612" cy="3460910"/>
                    </a:xfrm>
                    <a:prstGeom prst="rect">
                      <a:avLst/>
                    </a:prstGeom>
                    <a:noFill/>
                  </pic:spPr>
                </pic:pic>
              </a:graphicData>
            </a:graphic>
          </wp:inline>
        </w:drawing>
      </w:r>
    </w:p>
    <w:p w:rsidR="003D7820" w:rsidRPr="005B09F6" w:rsidRDefault="007F050D" w:rsidP="001D086D">
      <w:pPr>
        <w:pStyle w:val="Recuodecorpodetexto"/>
        <w:tabs>
          <w:tab w:val="left" w:pos="142"/>
        </w:tabs>
        <w:ind w:left="567" w:firstLine="0"/>
        <w:jc w:val="left"/>
        <w:rPr>
          <w:rFonts w:ascii="Calibri" w:hAnsi="Calibri" w:cs="Arial"/>
          <w:szCs w:val="24"/>
        </w:rPr>
      </w:pPr>
      <w:r w:rsidRPr="005B09F6">
        <w:rPr>
          <w:rFonts w:ascii="Calibri" w:hAnsi="Calibri" w:cs="Arial"/>
          <w:szCs w:val="24"/>
        </w:rPr>
        <w:t>Fonte: IBGE.</w:t>
      </w:r>
    </w:p>
    <w:p w:rsidR="003D7820" w:rsidRPr="005B09F6" w:rsidRDefault="007F050D" w:rsidP="001D086D">
      <w:pPr>
        <w:pStyle w:val="Recuodecorpodetexto"/>
        <w:tabs>
          <w:tab w:val="left" w:pos="142"/>
        </w:tabs>
        <w:ind w:left="567" w:firstLine="0"/>
        <w:jc w:val="left"/>
        <w:rPr>
          <w:rFonts w:ascii="Calibri" w:hAnsi="Calibri" w:cs="Arial"/>
          <w:szCs w:val="24"/>
        </w:rPr>
      </w:pPr>
      <w:r w:rsidRPr="005B09F6">
        <w:rPr>
          <w:rFonts w:ascii="Calibri" w:hAnsi="Calibri" w:cs="Arial"/>
          <w:szCs w:val="24"/>
        </w:rPr>
        <w:t>Elaboração: SPREV/MF.</w:t>
      </w:r>
    </w:p>
    <w:p w:rsidR="001D086D" w:rsidRPr="005B09F6" w:rsidRDefault="001D086D" w:rsidP="001D086D">
      <w:pPr>
        <w:pStyle w:val="Recuodecorpodetexto"/>
        <w:tabs>
          <w:tab w:val="left" w:pos="142"/>
        </w:tabs>
        <w:ind w:left="567" w:firstLine="0"/>
        <w:jc w:val="left"/>
        <w:rPr>
          <w:rFonts w:ascii="Calibri" w:hAnsi="Calibri" w:cs="Arial"/>
          <w:szCs w:val="24"/>
        </w:rPr>
      </w:pPr>
    </w:p>
    <w:p w:rsidR="004815EE" w:rsidRPr="005B09F6" w:rsidRDefault="001D086D" w:rsidP="001D086D">
      <w:pPr>
        <w:pStyle w:val="Corpodetexto"/>
        <w:tabs>
          <w:tab w:val="left" w:pos="142"/>
        </w:tabs>
        <w:jc w:val="center"/>
        <w:rPr>
          <w:rFonts w:ascii="Calibri" w:hAnsi="Calibri"/>
          <w:szCs w:val="24"/>
        </w:rPr>
      </w:pPr>
      <w:r w:rsidRPr="005B09F6">
        <w:rPr>
          <w:rFonts w:ascii="Calibri" w:hAnsi="Calibri"/>
          <w:noProof/>
          <w:szCs w:val="24"/>
          <w:lang w:eastAsia="pt-BR"/>
        </w:rPr>
        <w:drawing>
          <wp:inline distT="0" distB="0" distL="0" distR="0" wp14:anchorId="38527FC7">
            <wp:extent cx="5637649" cy="3494405"/>
            <wp:effectExtent l="0" t="0" r="127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652992" cy="3503915"/>
                    </a:xfrm>
                    <a:prstGeom prst="rect">
                      <a:avLst/>
                    </a:prstGeom>
                    <a:noFill/>
                  </pic:spPr>
                </pic:pic>
              </a:graphicData>
            </a:graphic>
          </wp:inline>
        </w:drawing>
      </w:r>
    </w:p>
    <w:p w:rsidR="003D7820" w:rsidRPr="005B09F6" w:rsidRDefault="007F050D" w:rsidP="001D086D">
      <w:pPr>
        <w:pStyle w:val="Recuodecorpodetexto"/>
        <w:tabs>
          <w:tab w:val="left" w:pos="142"/>
        </w:tabs>
        <w:ind w:left="426" w:firstLine="0"/>
        <w:jc w:val="left"/>
        <w:rPr>
          <w:rFonts w:ascii="Calibri" w:hAnsi="Calibri" w:cs="Arial"/>
          <w:szCs w:val="24"/>
        </w:rPr>
      </w:pPr>
      <w:r w:rsidRPr="005B09F6">
        <w:rPr>
          <w:rFonts w:ascii="Calibri" w:hAnsi="Calibri" w:cs="Arial"/>
          <w:szCs w:val="24"/>
        </w:rPr>
        <w:t>Fonte: IBGE.</w:t>
      </w:r>
    </w:p>
    <w:p w:rsidR="003D7820" w:rsidRDefault="007F050D" w:rsidP="001D086D">
      <w:pPr>
        <w:pStyle w:val="Recuodecorpodetexto"/>
        <w:tabs>
          <w:tab w:val="left" w:pos="142"/>
        </w:tabs>
        <w:ind w:left="426" w:firstLine="0"/>
        <w:jc w:val="left"/>
        <w:rPr>
          <w:rFonts w:ascii="Calibri" w:hAnsi="Calibri" w:cs="Arial"/>
          <w:szCs w:val="24"/>
        </w:rPr>
      </w:pPr>
      <w:r w:rsidRPr="005B09F6">
        <w:rPr>
          <w:rFonts w:ascii="Calibri" w:hAnsi="Calibri" w:cs="Arial"/>
          <w:szCs w:val="24"/>
        </w:rPr>
        <w:t>Elaboração: SPREV/MF.</w:t>
      </w:r>
    </w:p>
    <w:p w:rsidR="00DC3F44" w:rsidRPr="005B09F6" w:rsidRDefault="00DC3F44" w:rsidP="001D086D">
      <w:pPr>
        <w:pStyle w:val="Recuodecorpodetexto"/>
        <w:tabs>
          <w:tab w:val="left" w:pos="142"/>
        </w:tabs>
        <w:ind w:left="426" w:firstLine="0"/>
        <w:jc w:val="left"/>
        <w:rPr>
          <w:rFonts w:ascii="Calibri" w:hAnsi="Calibri" w:cs="Arial"/>
          <w:szCs w:val="24"/>
        </w:rPr>
      </w:pPr>
    </w:p>
    <w:p w:rsidR="001D086D" w:rsidRPr="005B09F6" w:rsidRDefault="007D6EEE" w:rsidP="003D7820">
      <w:pPr>
        <w:pStyle w:val="Recuodecorpodetexto"/>
        <w:tabs>
          <w:tab w:val="left" w:pos="142"/>
        </w:tabs>
        <w:ind w:firstLine="0"/>
        <w:jc w:val="left"/>
        <w:rPr>
          <w:rFonts w:ascii="Calibri" w:hAnsi="Calibri" w:cs="Arial"/>
          <w:szCs w:val="24"/>
        </w:rPr>
      </w:pPr>
      <w:r w:rsidRPr="005B09F6">
        <w:rPr>
          <w:rFonts w:ascii="Calibri" w:hAnsi="Calibri"/>
          <w:noProof/>
          <w:szCs w:val="24"/>
          <w:lang w:eastAsia="pt-BR"/>
        </w:rPr>
        <w:drawing>
          <wp:inline distT="0" distB="0" distL="0" distR="0" wp14:anchorId="7AA64ADA" wp14:editId="58927951">
            <wp:extent cx="5736660" cy="3577447"/>
            <wp:effectExtent l="0" t="0" r="0" b="4445"/>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54135" cy="3588344"/>
                    </a:xfrm>
                    <a:prstGeom prst="rect">
                      <a:avLst/>
                    </a:prstGeom>
                    <a:noFill/>
                    <a:ln>
                      <a:noFill/>
                    </a:ln>
                  </pic:spPr>
                </pic:pic>
              </a:graphicData>
            </a:graphic>
          </wp:inline>
        </w:drawing>
      </w:r>
    </w:p>
    <w:p w:rsidR="003D7820" w:rsidRPr="005B09F6" w:rsidRDefault="007F050D" w:rsidP="003D7820">
      <w:pPr>
        <w:pStyle w:val="Recuodecorpodetexto"/>
        <w:tabs>
          <w:tab w:val="left" w:pos="142"/>
        </w:tabs>
        <w:ind w:firstLine="0"/>
        <w:jc w:val="left"/>
        <w:rPr>
          <w:rFonts w:ascii="Calibri" w:hAnsi="Calibri" w:cs="Arial"/>
          <w:szCs w:val="24"/>
        </w:rPr>
      </w:pPr>
      <w:r w:rsidRPr="005B09F6">
        <w:rPr>
          <w:rFonts w:ascii="Calibri" w:hAnsi="Calibri" w:cs="Arial"/>
          <w:szCs w:val="24"/>
        </w:rPr>
        <w:t>Fonte: IBGE.</w:t>
      </w:r>
    </w:p>
    <w:p w:rsidR="003D7820" w:rsidRPr="005B09F6" w:rsidRDefault="007F050D" w:rsidP="003D7820">
      <w:pPr>
        <w:pStyle w:val="Recuodecorpodetexto"/>
        <w:tabs>
          <w:tab w:val="left" w:pos="142"/>
        </w:tabs>
        <w:ind w:firstLine="0"/>
        <w:jc w:val="left"/>
        <w:rPr>
          <w:rFonts w:ascii="Calibri" w:hAnsi="Calibri" w:cs="Arial"/>
          <w:szCs w:val="24"/>
        </w:rPr>
      </w:pPr>
      <w:r w:rsidRPr="005B09F6">
        <w:rPr>
          <w:rFonts w:ascii="Calibri" w:hAnsi="Calibri" w:cs="Arial"/>
          <w:szCs w:val="24"/>
        </w:rPr>
        <w:t>Elaboração: SPREV/MF.</w:t>
      </w:r>
    </w:p>
    <w:p w:rsidR="00EB3834" w:rsidRPr="005B09F6" w:rsidRDefault="00EB3834" w:rsidP="00EB3834">
      <w:pPr>
        <w:pStyle w:val="Recuodecorpodetexto"/>
        <w:tabs>
          <w:tab w:val="left" w:pos="142"/>
        </w:tabs>
        <w:spacing w:after="240" w:line="360" w:lineRule="auto"/>
        <w:ind w:firstLine="0"/>
        <w:rPr>
          <w:rFonts w:ascii="Calibri" w:hAnsi="Calibri" w:cs="Arial"/>
          <w:szCs w:val="24"/>
        </w:rPr>
      </w:pPr>
    </w:p>
    <w:p w:rsidR="007010C7" w:rsidRPr="005B09F6" w:rsidRDefault="007010C7"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Em resumo, as projeções demográficas utilizadas neste estudo indicam o progressivo crescimento da participação dos idosos na população nos próximos </w:t>
      </w:r>
      <w:r w:rsidR="00A755EC" w:rsidRPr="005B09F6">
        <w:rPr>
          <w:rFonts w:ascii="Calibri" w:hAnsi="Calibri" w:cs="Arial"/>
          <w:szCs w:val="24"/>
        </w:rPr>
        <w:t xml:space="preserve">43 </w:t>
      </w:r>
      <w:r w:rsidRPr="005B09F6">
        <w:rPr>
          <w:rFonts w:ascii="Calibri" w:hAnsi="Calibri" w:cs="Arial"/>
          <w:szCs w:val="24"/>
        </w:rPr>
        <w:t xml:space="preserve">anos. Para a Previdência, o incremento do número de idosos é parcialmente compensado pelo fato de que a população </w:t>
      </w:r>
      <w:r w:rsidR="00177321" w:rsidRPr="005B09F6">
        <w:rPr>
          <w:rFonts w:ascii="Calibri" w:hAnsi="Calibri" w:cs="Arial"/>
          <w:szCs w:val="24"/>
        </w:rPr>
        <w:t xml:space="preserve">em </w:t>
      </w:r>
      <w:r w:rsidRPr="005B09F6">
        <w:rPr>
          <w:rFonts w:ascii="Calibri" w:hAnsi="Calibri" w:cs="Arial"/>
          <w:szCs w:val="24"/>
        </w:rPr>
        <w:t xml:space="preserve">idade </w:t>
      </w:r>
      <w:r w:rsidR="00177321" w:rsidRPr="005B09F6">
        <w:rPr>
          <w:rFonts w:ascii="Calibri" w:hAnsi="Calibri" w:cs="Arial"/>
          <w:szCs w:val="24"/>
        </w:rPr>
        <w:t xml:space="preserve">ativa </w:t>
      </w:r>
      <w:r w:rsidRPr="005B09F6">
        <w:rPr>
          <w:rFonts w:ascii="Calibri" w:hAnsi="Calibri" w:cs="Arial"/>
          <w:szCs w:val="24"/>
        </w:rPr>
        <w:t xml:space="preserve">entre </w:t>
      </w:r>
      <w:r w:rsidR="00177321" w:rsidRPr="005B09F6">
        <w:rPr>
          <w:rFonts w:ascii="Calibri" w:hAnsi="Calibri" w:cs="Arial"/>
          <w:szCs w:val="24"/>
        </w:rPr>
        <w:t>16</w:t>
      </w:r>
      <w:r w:rsidRPr="005B09F6">
        <w:rPr>
          <w:rFonts w:ascii="Calibri" w:hAnsi="Calibri" w:cs="Arial"/>
          <w:szCs w:val="24"/>
        </w:rPr>
        <w:t xml:space="preserve"> e </w:t>
      </w:r>
      <w:r w:rsidR="00177321" w:rsidRPr="005B09F6">
        <w:rPr>
          <w:rFonts w:ascii="Calibri" w:hAnsi="Calibri" w:cs="Arial"/>
          <w:szCs w:val="24"/>
        </w:rPr>
        <w:t>59</w:t>
      </w:r>
      <w:r w:rsidRPr="005B09F6">
        <w:rPr>
          <w:rFonts w:ascii="Calibri" w:hAnsi="Calibri" w:cs="Arial"/>
          <w:szCs w:val="24"/>
        </w:rPr>
        <w:t xml:space="preserve"> anos também deverá crescer, embora a taxas decrescentes, atingindo seu tamanho </w:t>
      </w:r>
      <w:r w:rsidR="00A45897" w:rsidRPr="005B09F6">
        <w:rPr>
          <w:rFonts w:ascii="Calibri" w:hAnsi="Calibri" w:cs="Arial"/>
          <w:szCs w:val="24"/>
        </w:rPr>
        <w:t xml:space="preserve">absoluto </w:t>
      </w:r>
      <w:r w:rsidRPr="005B09F6">
        <w:rPr>
          <w:rFonts w:ascii="Calibri" w:hAnsi="Calibri" w:cs="Arial"/>
          <w:szCs w:val="24"/>
        </w:rPr>
        <w:t>máximo em 20</w:t>
      </w:r>
      <w:r w:rsidR="00177321" w:rsidRPr="005B09F6">
        <w:rPr>
          <w:rFonts w:ascii="Calibri" w:hAnsi="Calibri" w:cs="Arial"/>
          <w:szCs w:val="24"/>
        </w:rPr>
        <w:t>31</w:t>
      </w:r>
      <w:r w:rsidRPr="005B09F6">
        <w:rPr>
          <w:rFonts w:ascii="Calibri" w:hAnsi="Calibri" w:cs="Arial"/>
          <w:szCs w:val="24"/>
        </w:rPr>
        <w:t>. Em 20</w:t>
      </w:r>
      <w:r w:rsidR="00A45897" w:rsidRPr="005B09F6">
        <w:rPr>
          <w:rFonts w:ascii="Calibri" w:hAnsi="Calibri" w:cs="Arial"/>
          <w:szCs w:val="24"/>
        </w:rPr>
        <w:t>6</w:t>
      </w:r>
      <w:r w:rsidRPr="005B09F6">
        <w:rPr>
          <w:rFonts w:ascii="Calibri" w:hAnsi="Calibri" w:cs="Arial"/>
          <w:szCs w:val="24"/>
        </w:rPr>
        <w:t>0, para cada pessoa com mais de 60 anos, teremos 1,</w:t>
      </w:r>
      <w:r w:rsidR="00A45897" w:rsidRPr="005B09F6">
        <w:rPr>
          <w:rFonts w:ascii="Calibri" w:hAnsi="Calibri" w:cs="Arial"/>
          <w:szCs w:val="24"/>
        </w:rPr>
        <w:t>6</w:t>
      </w:r>
      <w:r w:rsidRPr="005B09F6">
        <w:rPr>
          <w:rFonts w:ascii="Calibri" w:hAnsi="Calibri" w:cs="Arial"/>
          <w:szCs w:val="24"/>
        </w:rPr>
        <w:t xml:space="preserve"> pessoa com idade entre 16 e 59 anos. Essa relação é substancialmente inferior à atual, que está em 5,</w:t>
      </w:r>
      <w:r w:rsidR="00A45897" w:rsidRPr="005B09F6">
        <w:rPr>
          <w:rFonts w:ascii="Calibri" w:hAnsi="Calibri" w:cs="Arial"/>
          <w:szCs w:val="24"/>
        </w:rPr>
        <w:t>3</w:t>
      </w:r>
      <w:r w:rsidRPr="005B09F6">
        <w:rPr>
          <w:rFonts w:ascii="Calibri" w:hAnsi="Calibri" w:cs="Arial"/>
          <w:szCs w:val="24"/>
        </w:rPr>
        <w:t xml:space="preserve"> indicando um progressivo comprometimento da base de sustentação da previdência social. Cabe observar que o horizonte temporal dessa análise permite visualizar apenas parte dos impactos que a evolução demográfica terá a partir </w:t>
      </w:r>
      <w:r w:rsidR="00A45897" w:rsidRPr="005B09F6">
        <w:rPr>
          <w:rFonts w:ascii="Calibri" w:hAnsi="Calibri" w:cs="Arial"/>
          <w:szCs w:val="24"/>
        </w:rPr>
        <w:t xml:space="preserve">do início </w:t>
      </w:r>
      <w:r w:rsidRPr="005B09F6">
        <w:rPr>
          <w:rFonts w:ascii="Calibri" w:hAnsi="Calibri" w:cs="Arial"/>
          <w:szCs w:val="24"/>
        </w:rPr>
        <w:t xml:space="preserve">da década de 30 desse século, quando </w:t>
      </w:r>
      <w:r w:rsidR="00A45897" w:rsidRPr="005B09F6">
        <w:rPr>
          <w:rFonts w:ascii="Calibri" w:hAnsi="Calibri" w:cs="Arial"/>
          <w:szCs w:val="24"/>
        </w:rPr>
        <w:t>deverá iniciar a redução em termos absolutos d</w:t>
      </w:r>
      <w:r w:rsidRPr="005B09F6">
        <w:rPr>
          <w:rFonts w:ascii="Calibri" w:hAnsi="Calibri" w:cs="Arial"/>
          <w:szCs w:val="24"/>
        </w:rPr>
        <w:t xml:space="preserve">a população em idade ativa e </w:t>
      </w:r>
      <w:r w:rsidR="00177321" w:rsidRPr="005B09F6">
        <w:rPr>
          <w:rFonts w:ascii="Calibri" w:hAnsi="Calibri" w:cs="Arial"/>
          <w:szCs w:val="24"/>
        </w:rPr>
        <w:t xml:space="preserve">da década de 40, quando </w:t>
      </w:r>
      <w:r w:rsidRPr="005B09F6">
        <w:rPr>
          <w:rFonts w:ascii="Calibri" w:hAnsi="Calibri" w:cs="Arial"/>
          <w:szCs w:val="24"/>
        </w:rPr>
        <w:t xml:space="preserve">terá início a queda </w:t>
      </w:r>
      <w:r w:rsidR="00177321" w:rsidRPr="005B09F6">
        <w:rPr>
          <w:rFonts w:ascii="Calibri" w:hAnsi="Calibri" w:cs="Arial"/>
          <w:szCs w:val="24"/>
        </w:rPr>
        <w:t xml:space="preserve">da </w:t>
      </w:r>
      <w:r w:rsidRPr="005B09F6">
        <w:rPr>
          <w:rFonts w:ascii="Calibri" w:hAnsi="Calibri" w:cs="Arial"/>
          <w:szCs w:val="24"/>
        </w:rPr>
        <w:t>população total do país.</w:t>
      </w:r>
    </w:p>
    <w:p w:rsidR="007010C7" w:rsidRPr="005B09F6" w:rsidRDefault="007010C7" w:rsidP="00E341F3">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Embora o Brasil ainda tenha uma estrutura etária relativamente jovem, a forte queda nas taxas de fecundidade levará a um rápido </w:t>
      </w:r>
      <w:r w:rsidR="00A755EC" w:rsidRPr="005B09F6">
        <w:rPr>
          <w:rFonts w:ascii="Calibri" w:hAnsi="Calibri" w:cs="Arial"/>
          <w:szCs w:val="24"/>
        </w:rPr>
        <w:t xml:space="preserve">processo de </w:t>
      </w:r>
      <w:r w:rsidRPr="005B09F6">
        <w:rPr>
          <w:rFonts w:ascii="Calibri" w:hAnsi="Calibri" w:cs="Arial"/>
          <w:szCs w:val="24"/>
        </w:rPr>
        <w:t xml:space="preserve">envelhecimento da população e a uma redução acentuada da participação </w:t>
      </w:r>
      <w:r w:rsidR="00A45897" w:rsidRPr="005B09F6">
        <w:rPr>
          <w:rFonts w:ascii="Calibri" w:hAnsi="Calibri" w:cs="Arial"/>
          <w:szCs w:val="24"/>
        </w:rPr>
        <w:t xml:space="preserve">dos jovens </w:t>
      </w:r>
      <w:r w:rsidRPr="005B09F6">
        <w:rPr>
          <w:rFonts w:ascii="Calibri" w:hAnsi="Calibri" w:cs="Arial"/>
          <w:szCs w:val="24"/>
        </w:rPr>
        <w:t>no total da população, gerando grandes pressões por mudanças nas políticas públicas de forma geral e especificamente na previdenciária.</w:t>
      </w:r>
    </w:p>
    <w:p w:rsidR="00AC3986" w:rsidRPr="005B09F6" w:rsidRDefault="00AC3986" w:rsidP="00E341F3">
      <w:pPr>
        <w:pStyle w:val="Recuodecorpodetexto"/>
        <w:tabs>
          <w:tab w:val="left" w:pos="142"/>
        </w:tabs>
        <w:spacing w:after="240" w:line="360" w:lineRule="auto"/>
        <w:ind w:firstLine="0"/>
        <w:rPr>
          <w:rFonts w:ascii="Calibri" w:hAnsi="Calibri" w:cs="Arial"/>
          <w:szCs w:val="24"/>
        </w:rPr>
      </w:pPr>
    </w:p>
    <w:p w:rsidR="00EB3834" w:rsidRPr="005B09F6" w:rsidRDefault="00EB3834">
      <w:pPr>
        <w:rPr>
          <w:rFonts w:ascii="Calibri" w:hAnsi="Calibri"/>
          <w:b/>
          <w:snapToGrid w:val="0"/>
          <w:sz w:val="24"/>
          <w:szCs w:val="24"/>
          <w:u w:val="single"/>
          <w:lang w:eastAsia="pt-BR"/>
        </w:rPr>
      </w:pPr>
      <w:bookmarkStart w:id="108" w:name="_Toc4303280"/>
      <w:bookmarkStart w:id="109" w:name="_Toc4831156"/>
      <w:bookmarkStart w:id="110" w:name="_Toc4831226"/>
      <w:bookmarkStart w:id="111" w:name="_Toc511311210"/>
      <w:bookmarkStart w:id="112" w:name="_Toc511460490"/>
      <w:r w:rsidRPr="005B09F6">
        <w:rPr>
          <w:rFonts w:ascii="Calibri" w:hAnsi="Calibri"/>
          <w:sz w:val="24"/>
          <w:szCs w:val="24"/>
        </w:rPr>
        <w:br w:type="page"/>
      </w:r>
    </w:p>
    <w:p w:rsidR="00FF5C5E" w:rsidRPr="005B09F6" w:rsidRDefault="00DB3B6E" w:rsidP="00511A13">
      <w:pPr>
        <w:pStyle w:val="Ttulo1"/>
        <w:rPr>
          <w:rFonts w:ascii="Calibri" w:hAnsi="Calibri"/>
          <w:color w:val="264356" w:themeColor="text2" w:themeShade="BF"/>
          <w:sz w:val="24"/>
          <w:szCs w:val="24"/>
        </w:rPr>
      </w:pPr>
      <w:bookmarkStart w:id="113" w:name="_Toc479081346"/>
      <w:bookmarkEnd w:id="108"/>
      <w:bookmarkEnd w:id="109"/>
      <w:bookmarkEnd w:id="110"/>
      <w:bookmarkEnd w:id="111"/>
      <w:bookmarkEnd w:id="112"/>
      <w:r w:rsidRPr="005B09F6">
        <w:rPr>
          <w:rFonts w:ascii="Calibri" w:hAnsi="Calibri"/>
          <w:sz w:val="24"/>
          <w:szCs w:val="24"/>
        </w:rPr>
        <w:t>4</w:t>
      </w:r>
      <w:r w:rsidR="00735D74" w:rsidRPr="005B09F6">
        <w:rPr>
          <w:rFonts w:ascii="Calibri" w:hAnsi="Calibri"/>
          <w:sz w:val="24"/>
          <w:szCs w:val="24"/>
        </w:rPr>
        <w:t xml:space="preserve">. </w:t>
      </w:r>
      <w:r w:rsidR="00FF5C5E" w:rsidRPr="005B09F6">
        <w:rPr>
          <w:rFonts w:ascii="Calibri" w:hAnsi="Calibri"/>
          <w:sz w:val="24"/>
          <w:szCs w:val="24"/>
        </w:rPr>
        <w:t>MODELO DE PROJEÇÕES FISCAIS DO REGIME GERAL DE PREVIDÊNCIA SOCIAL</w:t>
      </w:r>
      <w:bookmarkEnd w:id="113"/>
    </w:p>
    <w:p w:rsidR="00FF5C5E" w:rsidRPr="005B09F6" w:rsidRDefault="00FF5C5E" w:rsidP="00FF5C5E">
      <w:pPr>
        <w:pStyle w:val="TtuloPrincipal"/>
        <w:spacing w:after="0" w:line="360" w:lineRule="auto"/>
        <w:rPr>
          <w:rFonts w:ascii="Calibri" w:hAnsi="Calibri"/>
          <w:sz w:val="24"/>
          <w:szCs w:val="24"/>
        </w:rPr>
      </w:pPr>
    </w:p>
    <w:p w:rsidR="00FF5C5E" w:rsidRPr="005B09F6" w:rsidRDefault="00FF5C5E" w:rsidP="00FF5C5E">
      <w:pPr>
        <w:pStyle w:val="TtuloPrincipal"/>
        <w:spacing w:after="0" w:line="360" w:lineRule="auto"/>
        <w:rPr>
          <w:rFonts w:ascii="Calibri" w:hAnsi="Calibri"/>
          <w:color w:val="1C6194" w:themeColor="accent2" w:themeShade="BF"/>
          <w:sz w:val="24"/>
          <w:szCs w:val="24"/>
        </w:rPr>
      </w:pPr>
      <w:r w:rsidRPr="005B09F6">
        <w:rPr>
          <w:rFonts w:ascii="Calibri" w:hAnsi="Calibri"/>
          <w:color w:val="1C6194" w:themeColor="accent2" w:themeShade="BF"/>
          <w:sz w:val="24"/>
          <w:szCs w:val="24"/>
        </w:rPr>
        <w:t>Apresentação</w:t>
      </w:r>
    </w:p>
    <w:p w:rsidR="00FF5C5E" w:rsidRPr="005B09F6" w:rsidRDefault="00FF5C5E" w:rsidP="00FF5C5E">
      <w:pPr>
        <w:pStyle w:val="TtuloPrincipal"/>
        <w:spacing w:after="0" w:line="360" w:lineRule="auto"/>
        <w:rPr>
          <w:rFonts w:ascii="Calibri" w:hAnsi="Calibri"/>
          <w:sz w:val="24"/>
          <w:szCs w:val="24"/>
        </w:rPr>
      </w:pPr>
    </w:p>
    <w:p w:rsidR="007D3871" w:rsidRPr="005B09F6" w:rsidRDefault="007F050D" w:rsidP="007D3871">
      <w:pPr>
        <w:pStyle w:val="TtuloPrincipal"/>
        <w:spacing w:after="240" w:line="360" w:lineRule="auto"/>
        <w:rPr>
          <w:rFonts w:ascii="Calibri" w:hAnsi="Calibri"/>
          <w:b w:val="0"/>
          <w:color w:val="auto"/>
          <w:sz w:val="24"/>
          <w:szCs w:val="24"/>
        </w:rPr>
      </w:pPr>
      <w:r w:rsidRPr="005B09F6">
        <w:rPr>
          <w:rFonts w:ascii="Calibri" w:hAnsi="Calibri"/>
          <w:b w:val="0"/>
          <w:color w:val="auto"/>
          <w:sz w:val="24"/>
          <w:szCs w:val="24"/>
        </w:rPr>
        <w:t>Historicamente, a</w:t>
      </w:r>
      <w:r w:rsidR="007D3871" w:rsidRPr="005B09F6">
        <w:rPr>
          <w:rFonts w:ascii="Calibri" w:hAnsi="Calibri"/>
          <w:b w:val="0"/>
          <w:color w:val="auto"/>
          <w:sz w:val="24"/>
          <w:szCs w:val="24"/>
        </w:rPr>
        <w:t xml:space="preserve"> Previdência Social contava com um modelo de projeção de longo prazo, criado no final da década de 90, o qual permitia estimativas de receitas e despesas previdenciárias até o último ano de projeção populacional divulgada pelo Instituto Brasileiro de Geografia e Estatística – IBGE. Esse modelo foi amplamente utilizado para realização de simulações de propostas de reforma previdenciária recebidas do Congresso Nacional, do Poder Executivo e aquelas advindas das discussões ocorridas durante o Fórum da Previdência Social promovido em 2007 e o Fórum de Debates sobre Políticas de Emprego, Trabalho e Renda e de Previdência Social ocorrido em 2015, cujos resultados auxiliaram os participantes no processo de tomada de decisão.</w:t>
      </w:r>
      <w:r w:rsidR="00582C69" w:rsidRPr="005B09F6">
        <w:rPr>
          <w:rFonts w:ascii="Calibri" w:hAnsi="Calibri"/>
          <w:b w:val="0"/>
          <w:color w:val="auto"/>
          <w:sz w:val="24"/>
          <w:szCs w:val="24"/>
        </w:rPr>
        <w:t xml:space="preserve"> </w:t>
      </w:r>
      <w:r w:rsidR="007D3871" w:rsidRPr="005B09F6">
        <w:rPr>
          <w:rFonts w:ascii="Calibri" w:hAnsi="Calibri"/>
          <w:b w:val="0"/>
          <w:color w:val="auto"/>
          <w:sz w:val="24"/>
          <w:szCs w:val="24"/>
        </w:rPr>
        <w:t xml:space="preserve">Ele também foi responsável, em conjunto com outros instrumentos, pelo atendimento de demanda por projeções atuariais do RGPS conforme necessidades legais para elaboração dos projetos de Lei de Diretrizes Orçamentárias, fato que ocorreu até março de 2016 quando seus resultados foram publicados na Tabela 5.2 do Anexo IV.6 – Metas Fiscais da LDO 2017. </w:t>
      </w:r>
    </w:p>
    <w:p w:rsidR="00FF5C5E" w:rsidRPr="005B09F6" w:rsidRDefault="00FF5C5E" w:rsidP="00FF5C5E">
      <w:pPr>
        <w:pStyle w:val="TtuloPrincipal"/>
        <w:spacing w:after="240" w:line="360" w:lineRule="auto"/>
        <w:rPr>
          <w:rFonts w:ascii="Calibri" w:hAnsi="Calibri"/>
          <w:b w:val="0"/>
          <w:color w:val="auto"/>
          <w:sz w:val="24"/>
          <w:szCs w:val="24"/>
        </w:rPr>
      </w:pPr>
      <w:r w:rsidRPr="005B09F6">
        <w:rPr>
          <w:rFonts w:ascii="Calibri" w:hAnsi="Calibri"/>
          <w:b w:val="0"/>
          <w:color w:val="auto"/>
          <w:sz w:val="24"/>
          <w:szCs w:val="24"/>
        </w:rPr>
        <w:t xml:space="preserve">Em 2016, técnicos da Secretaria do Tesouro Nacional e da Secretaria de Política Econômica do Ministério da Fazenda, em conjunto com a equipe de Previdência Social do Instituto de Pesquisa Econômica Aplicada, concluíram o desenvolvimento de um modelo atualizado de projeção de receitas e despesas previdenciárias de longo prazo. Esse novo modelo foi desenvolvido visando ter melhor aderência à conjuntura e principalmente à legislação vigente do RGPS, incorporando as alterações estabelecidas pelas Leis nº 13.135/15 e </w:t>
      </w:r>
      <w:r w:rsidR="00DB3B6E" w:rsidRPr="005B09F6">
        <w:rPr>
          <w:rFonts w:ascii="Calibri" w:hAnsi="Calibri"/>
          <w:b w:val="0"/>
          <w:color w:val="auto"/>
          <w:sz w:val="24"/>
          <w:szCs w:val="24"/>
        </w:rPr>
        <w:t xml:space="preserve">nº </w:t>
      </w:r>
      <w:r w:rsidRPr="005B09F6">
        <w:rPr>
          <w:rFonts w:ascii="Calibri" w:hAnsi="Calibri"/>
          <w:b w:val="0"/>
          <w:color w:val="auto"/>
          <w:sz w:val="24"/>
          <w:szCs w:val="24"/>
        </w:rPr>
        <w:t xml:space="preserve">13.183/15, que afetaram respectivamente a duração das pensões por morte e a regra de cálculo dos benefícios de aposentadoria, além de contar com incorporação de módulo que permite avaliação da Despesa com os Benefícios de Prestação Continuada (BPC, de natureza assistencial) concedidos e mantidos pelo Instituto Nacional do Seguro Social – INSS. É fundamental o entendimento de que o arcabouço metodológico desse modelo segue padrões internacionais tais como os modelos amplamente utilizados pelo Banco Mundial (Modelo Prost ― </w:t>
      </w:r>
      <w:proofErr w:type="spellStart"/>
      <w:r w:rsidRPr="005B09F6">
        <w:rPr>
          <w:rFonts w:ascii="Calibri" w:hAnsi="Calibri"/>
          <w:b w:val="0"/>
          <w:i/>
          <w:color w:val="auto"/>
          <w:sz w:val="24"/>
          <w:szCs w:val="24"/>
        </w:rPr>
        <w:t>Pension</w:t>
      </w:r>
      <w:proofErr w:type="spellEnd"/>
      <w:r w:rsidRPr="005B09F6">
        <w:rPr>
          <w:rFonts w:ascii="Calibri" w:hAnsi="Calibri"/>
          <w:b w:val="0"/>
          <w:i/>
          <w:color w:val="auto"/>
          <w:sz w:val="24"/>
          <w:szCs w:val="24"/>
        </w:rPr>
        <w:t xml:space="preserve"> </w:t>
      </w:r>
      <w:proofErr w:type="spellStart"/>
      <w:r w:rsidRPr="005B09F6">
        <w:rPr>
          <w:rFonts w:ascii="Calibri" w:hAnsi="Calibri"/>
          <w:b w:val="0"/>
          <w:i/>
          <w:color w:val="auto"/>
          <w:sz w:val="24"/>
          <w:szCs w:val="24"/>
        </w:rPr>
        <w:t>Reform</w:t>
      </w:r>
      <w:proofErr w:type="spellEnd"/>
      <w:r w:rsidRPr="005B09F6">
        <w:rPr>
          <w:rFonts w:ascii="Calibri" w:hAnsi="Calibri"/>
          <w:b w:val="0"/>
          <w:i/>
          <w:color w:val="auto"/>
          <w:sz w:val="24"/>
          <w:szCs w:val="24"/>
        </w:rPr>
        <w:t xml:space="preserve"> </w:t>
      </w:r>
      <w:proofErr w:type="spellStart"/>
      <w:r w:rsidRPr="005B09F6">
        <w:rPr>
          <w:rFonts w:ascii="Calibri" w:hAnsi="Calibri"/>
          <w:b w:val="0"/>
          <w:i/>
          <w:color w:val="auto"/>
          <w:sz w:val="24"/>
          <w:szCs w:val="24"/>
        </w:rPr>
        <w:t>Options</w:t>
      </w:r>
      <w:proofErr w:type="spellEnd"/>
      <w:r w:rsidRPr="005B09F6">
        <w:rPr>
          <w:rFonts w:ascii="Calibri" w:hAnsi="Calibri"/>
          <w:b w:val="0"/>
          <w:i/>
          <w:color w:val="auto"/>
          <w:sz w:val="24"/>
          <w:szCs w:val="24"/>
        </w:rPr>
        <w:t xml:space="preserve"> </w:t>
      </w:r>
      <w:proofErr w:type="spellStart"/>
      <w:r w:rsidRPr="005B09F6">
        <w:rPr>
          <w:rFonts w:ascii="Calibri" w:hAnsi="Calibri"/>
          <w:b w:val="0"/>
          <w:i/>
          <w:color w:val="auto"/>
          <w:sz w:val="24"/>
          <w:szCs w:val="24"/>
        </w:rPr>
        <w:t>Simulation</w:t>
      </w:r>
      <w:proofErr w:type="spellEnd"/>
      <w:r w:rsidRPr="005B09F6">
        <w:rPr>
          <w:rFonts w:ascii="Calibri" w:hAnsi="Calibri"/>
          <w:b w:val="0"/>
          <w:i/>
          <w:color w:val="auto"/>
          <w:sz w:val="24"/>
          <w:szCs w:val="24"/>
        </w:rPr>
        <w:t xml:space="preserve"> Tool kit</w:t>
      </w:r>
      <w:r w:rsidRPr="005B09F6">
        <w:rPr>
          <w:rFonts w:ascii="Calibri" w:hAnsi="Calibri"/>
          <w:b w:val="0"/>
          <w:color w:val="auto"/>
          <w:sz w:val="24"/>
          <w:szCs w:val="24"/>
        </w:rPr>
        <w:t>) e pela Organização Internacional do Trabalho (</w:t>
      </w:r>
      <w:r w:rsidRPr="005B09F6">
        <w:rPr>
          <w:rFonts w:ascii="Calibri" w:hAnsi="Calibri"/>
          <w:b w:val="0"/>
          <w:i/>
          <w:color w:val="auto"/>
          <w:sz w:val="24"/>
          <w:szCs w:val="24"/>
        </w:rPr>
        <w:t>ILO-</w:t>
      </w:r>
      <w:proofErr w:type="spellStart"/>
      <w:r w:rsidRPr="005B09F6">
        <w:rPr>
          <w:rFonts w:ascii="Calibri" w:hAnsi="Calibri"/>
          <w:b w:val="0"/>
          <w:i/>
          <w:color w:val="auto"/>
          <w:sz w:val="24"/>
          <w:szCs w:val="24"/>
        </w:rPr>
        <w:t>Pension</w:t>
      </w:r>
      <w:proofErr w:type="spellEnd"/>
      <w:r w:rsidRPr="005B09F6">
        <w:rPr>
          <w:rFonts w:ascii="Calibri" w:hAnsi="Calibri"/>
          <w:b w:val="0"/>
          <w:i/>
          <w:color w:val="auto"/>
          <w:sz w:val="24"/>
          <w:szCs w:val="24"/>
        </w:rPr>
        <w:t xml:space="preserve"> </w:t>
      </w:r>
      <w:proofErr w:type="spellStart"/>
      <w:r w:rsidRPr="005B09F6">
        <w:rPr>
          <w:rFonts w:ascii="Calibri" w:hAnsi="Calibri"/>
          <w:b w:val="0"/>
          <w:i/>
          <w:color w:val="auto"/>
          <w:sz w:val="24"/>
          <w:szCs w:val="24"/>
        </w:rPr>
        <w:t>Model</w:t>
      </w:r>
      <w:proofErr w:type="spellEnd"/>
      <w:r w:rsidRPr="005B09F6">
        <w:rPr>
          <w:rFonts w:ascii="Calibri" w:hAnsi="Calibri"/>
          <w:b w:val="0"/>
          <w:color w:val="auto"/>
          <w:sz w:val="24"/>
          <w:szCs w:val="24"/>
        </w:rPr>
        <w:t xml:space="preserve">). </w:t>
      </w:r>
    </w:p>
    <w:p w:rsidR="007D3871" w:rsidRPr="005B09F6" w:rsidRDefault="00FF5C5E" w:rsidP="00FF5C5E">
      <w:pPr>
        <w:pStyle w:val="TtuloPrincipal"/>
        <w:spacing w:after="240" w:line="360" w:lineRule="auto"/>
        <w:rPr>
          <w:rFonts w:ascii="Calibri" w:hAnsi="Calibri"/>
          <w:b w:val="0"/>
          <w:color w:val="auto"/>
          <w:sz w:val="24"/>
          <w:szCs w:val="24"/>
        </w:rPr>
      </w:pPr>
      <w:r w:rsidRPr="005B09F6">
        <w:rPr>
          <w:rFonts w:ascii="Calibri" w:hAnsi="Calibri"/>
          <w:b w:val="0"/>
          <w:color w:val="auto"/>
          <w:sz w:val="24"/>
          <w:szCs w:val="24"/>
        </w:rPr>
        <w:t xml:space="preserve">Desde então, esse novo modelo foi incorporado pela Secretaria de Previdência e vem sendo utilizado para realizar as projeções oficiais de receitas e despesas previdenciárias, incluídas de forma complementar as projeções de despesas com benefícios assistenciais, associadas ao cenário atual e às alterações propostas na PEC 287/2016, assim como nas simulações dos impactos fiscais das propostas de emenda encaminhadas pelo Congresso Nacional. </w:t>
      </w:r>
    </w:p>
    <w:p w:rsidR="00FF5C5E" w:rsidRPr="005B09F6" w:rsidRDefault="00FF5C5E" w:rsidP="00FF5C5E">
      <w:pPr>
        <w:pStyle w:val="TtuloPrincipal"/>
        <w:spacing w:after="240" w:line="360" w:lineRule="auto"/>
        <w:rPr>
          <w:rFonts w:ascii="Calibri" w:hAnsi="Calibri"/>
          <w:b w:val="0"/>
          <w:color w:val="auto"/>
          <w:sz w:val="24"/>
          <w:szCs w:val="24"/>
        </w:rPr>
      </w:pPr>
      <w:r w:rsidRPr="005B09F6">
        <w:rPr>
          <w:rFonts w:ascii="Calibri" w:hAnsi="Calibri"/>
          <w:b w:val="0"/>
          <w:color w:val="auto"/>
          <w:sz w:val="24"/>
          <w:szCs w:val="24"/>
        </w:rPr>
        <w:t>Nesse contexto, a Secretaria de Previdência do Ministério da Fazenda apresenta descrição detalhada da metodologia do modelo, bem como das fontes de dados primários necessários e das hipóteses utilizadas. Almeja-se que a descrição do ferramental analítico desenvolvido contribua para o aumento da transparência e amplo conhecimento da sociedade.</w:t>
      </w:r>
    </w:p>
    <w:p w:rsidR="00FF5C5E" w:rsidRPr="005B09F6" w:rsidRDefault="00B37896" w:rsidP="0079121C">
      <w:pPr>
        <w:pStyle w:val="Ttulo2"/>
        <w:rPr>
          <w:rFonts w:ascii="Calibri" w:hAnsi="Calibri"/>
          <w:sz w:val="24"/>
          <w:szCs w:val="24"/>
        </w:rPr>
      </w:pPr>
      <w:bookmarkStart w:id="114" w:name="_Toc479081347"/>
      <w:r w:rsidRPr="005B09F6">
        <w:rPr>
          <w:rFonts w:ascii="Calibri" w:hAnsi="Calibri"/>
          <w:sz w:val="24"/>
          <w:szCs w:val="24"/>
        </w:rPr>
        <w:t>4</w:t>
      </w:r>
      <w:r w:rsidR="006A0D4B" w:rsidRPr="005B09F6">
        <w:rPr>
          <w:rFonts w:ascii="Calibri" w:hAnsi="Calibri"/>
          <w:sz w:val="24"/>
          <w:szCs w:val="24"/>
        </w:rPr>
        <w:t>.1</w:t>
      </w:r>
      <w:r w:rsidR="008D7859" w:rsidRPr="005B09F6">
        <w:rPr>
          <w:rFonts w:ascii="Calibri" w:hAnsi="Calibri"/>
          <w:sz w:val="24"/>
          <w:szCs w:val="24"/>
        </w:rPr>
        <w:tab/>
      </w:r>
      <w:r w:rsidR="00735D74" w:rsidRPr="005B09F6">
        <w:rPr>
          <w:rFonts w:ascii="Calibri" w:hAnsi="Calibri"/>
          <w:sz w:val="24"/>
          <w:szCs w:val="24"/>
        </w:rPr>
        <w:t>Abrangência do Modelo</w:t>
      </w:r>
      <w:bookmarkEnd w:id="114"/>
    </w:p>
    <w:p w:rsidR="00FF5C5E" w:rsidRPr="005B09F6" w:rsidRDefault="00FF5C5E" w:rsidP="00FF5C5E">
      <w:pPr>
        <w:spacing w:line="360" w:lineRule="auto"/>
        <w:jc w:val="both"/>
        <w:rPr>
          <w:rFonts w:ascii="Calibri" w:eastAsiaTheme="minorEastAsia" w:hAnsi="Calibri"/>
          <w:sz w:val="24"/>
          <w:szCs w:val="24"/>
        </w:rPr>
      </w:pPr>
      <w:r w:rsidRPr="005B09F6">
        <w:rPr>
          <w:rFonts w:ascii="Calibri" w:hAnsi="Calibri"/>
          <w:sz w:val="24"/>
          <w:szCs w:val="24"/>
        </w:rPr>
        <w:t>O modelo desenvolvido de projeção de receitas e despesas contempla a evolução das quantidades, dos preços e dos valores de dezesseis (16) grupos de espécie de benefícios previdenciários e assistenciais, dos quais doze (12) são previdenciários, sendo sete (7) modalidades de Aposentadorias e três (3) modalidades de Auxílios, o Salário-Maternidade e Pensões, a qual subdividida em dois (2) tipos de benefícios (concedidos anterior e posteriormente à Lei nº 13.135/2015).</w:t>
      </w:r>
      <w:r w:rsidRPr="005B09F6">
        <w:rPr>
          <w:rStyle w:val="Refdenotaderodap"/>
          <w:rFonts w:ascii="Calibri" w:hAnsi="Calibri"/>
          <w:sz w:val="24"/>
          <w:szCs w:val="24"/>
        </w:rPr>
        <w:footnoteReference w:id="6"/>
      </w:r>
      <w:r w:rsidRPr="005B09F6">
        <w:rPr>
          <w:rFonts w:ascii="Calibri" w:hAnsi="Calibri"/>
          <w:sz w:val="24"/>
          <w:szCs w:val="24"/>
        </w:rPr>
        <w:t xml:space="preserve"> Ademais, também são modeladas as despesas com </w:t>
      </w:r>
      <w:r w:rsidR="00DB3B6E" w:rsidRPr="005B09F6">
        <w:rPr>
          <w:rFonts w:ascii="Calibri" w:hAnsi="Calibri"/>
          <w:sz w:val="24"/>
          <w:szCs w:val="24"/>
        </w:rPr>
        <w:t xml:space="preserve">quatro </w:t>
      </w:r>
      <w:r w:rsidRPr="005B09F6">
        <w:rPr>
          <w:rFonts w:ascii="Calibri" w:hAnsi="Calibri"/>
          <w:sz w:val="24"/>
          <w:szCs w:val="24"/>
        </w:rPr>
        <w:t xml:space="preserve">modalidades de benefícios assistenciais. Além da divisão por grupos de espécie de benefícios, os benefícios previdenciários são especificados por três Clientelas: Rural, Urbana que recebe o piso previdenciário (Urbana-Piso) e Urbana que recebe acima do piso previdenciário (Urbana-Acima). Com exceção ao Salário-Maternidade, todo o conjunto de benefícios citados são modelados com diferenciação por sexo (Homem, Mulher). Sucintamente, as interações possíveis entre grupos de espécie de benefícios, clientelas e sexo totaliza um universo de oitenta e três (83) categorias específicas benefícios do RGPS modelados, de acordo com a distribuição representada a seguir na Tabela 1. </w:t>
      </w:r>
    </w:p>
    <w:p w:rsidR="00FF5C5E" w:rsidRPr="005B09F6" w:rsidRDefault="00FF5C5E" w:rsidP="00FF5C5E">
      <w:pPr>
        <w:spacing w:line="360" w:lineRule="auto"/>
        <w:jc w:val="both"/>
        <w:rPr>
          <w:rFonts w:ascii="Calibri" w:eastAsiaTheme="minorEastAsia" w:hAnsi="Calibri"/>
          <w:sz w:val="24"/>
          <w:szCs w:val="24"/>
        </w:rPr>
      </w:pPr>
    </w:p>
    <w:p w:rsidR="00FF5C5E" w:rsidRPr="005B09F6" w:rsidRDefault="00FF5C5E" w:rsidP="00FF5C5E">
      <w:pPr>
        <w:spacing w:line="360" w:lineRule="auto"/>
        <w:jc w:val="both"/>
        <w:rPr>
          <w:rFonts w:ascii="Calibri" w:eastAsiaTheme="minorEastAsia" w:hAnsi="Calibri"/>
          <w:sz w:val="24"/>
          <w:szCs w:val="24"/>
        </w:rPr>
      </w:pPr>
      <w:r w:rsidRPr="005B09F6">
        <w:rPr>
          <w:rFonts w:ascii="Calibri" w:eastAsiaTheme="minorEastAsia" w:hAnsi="Calibri"/>
          <w:sz w:val="24"/>
          <w:szCs w:val="24"/>
        </w:rPr>
        <w:t xml:space="preserve">É importante verificar que o modelo não utiliza informações individuais, mas sim informações de </w:t>
      </w:r>
      <w:r w:rsidRPr="005B09F6">
        <w:rPr>
          <w:rFonts w:ascii="Calibri" w:eastAsiaTheme="minorEastAsia" w:hAnsi="Calibri"/>
          <w:b/>
          <w:i/>
          <w:sz w:val="24"/>
          <w:szCs w:val="24"/>
        </w:rPr>
        <w:t>coortes</w:t>
      </w:r>
      <w:r w:rsidRPr="005B09F6">
        <w:rPr>
          <w:rFonts w:ascii="Calibri" w:eastAsiaTheme="minorEastAsia" w:hAnsi="Calibri"/>
          <w:sz w:val="24"/>
          <w:szCs w:val="24"/>
        </w:rPr>
        <w:t xml:space="preserve"> (ou classes anuais) populacionais. Essas promovem o agrupamento de indivíduos nascidos em mesmo momento do tempo e ao longo do tempo, os quais possuem características demográficas similares. Assim, as coortes apresentam-se como a unidade demográfica diretamente acima do nível individual. </w:t>
      </w:r>
      <w:r w:rsidRPr="005B09F6">
        <w:rPr>
          <w:rFonts w:ascii="Calibri" w:hAnsi="Calibri"/>
          <w:sz w:val="24"/>
          <w:szCs w:val="24"/>
        </w:rPr>
        <w:t xml:space="preserve">Por fim, destaca-se que todas as projeções são realizadas por coortes de Idade e compreendem o período até 2060, assim, todas as equações do modelo são especificadas pelas 3 dimensões a seguir: </w:t>
      </w:r>
      <w:r w:rsidRPr="005B09F6">
        <w:rPr>
          <w:rFonts w:ascii="Calibri" w:eastAsiaTheme="minorEastAsia" w:hAnsi="Calibri"/>
          <w:sz w:val="24"/>
          <w:szCs w:val="24"/>
        </w:rPr>
        <w:t xml:space="preserve">Idade = </w:t>
      </w:r>
      <w:r w:rsidRPr="005B09F6">
        <w:rPr>
          <w:rFonts w:ascii="Calibri" w:eastAsiaTheme="minorEastAsia" w:hAnsi="Calibri"/>
          <w:i/>
          <w:sz w:val="24"/>
          <w:szCs w:val="24"/>
        </w:rPr>
        <w:t xml:space="preserve">i </w:t>
      </w:r>
      <w:r w:rsidRPr="005B09F6">
        <w:rPr>
          <w:rFonts w:ascii="Calibri" w:eastAsiaTheme="minorEastAsia" w:hAnsi="Calibri"/>
          <w:sz w:val="24"/>
          <w:szCs w:val="24"/>
        </w:rPr>
        <w:t xml:space="preserve">= {0, …, 89, 90+}; Ano = </w:t>
      </w:r>
      <w:r w:rsidRPr="005B09F6">
        <w:rPr>
          <w:rFonts w:ascii="Calibri" w:eastAsiaTheme="minorEastAsia" w:hAnsi="Calibri"/>
          <w:i/>
          <w:sz w:val="24"/>
          <w:szCs w:val="24"/>
        </w:rPr>
        <w:t xml:space="preserve">t </w:t>
      </w:r>
      <w:r w:rsidRPr="005B09F6">
        <w:rPr>
          <w:rFonts w:ascii="Calibri" w:eastAsiaTheme="minorEastAsia" w:hAnsi="Calibri"/>
          <w:sz w:val="24"/>
          <w:szCs w:val="24"/>
        </w:rPr>
        <w:t xml:space="preserve">= {2014, …, 2060}; Sexo = </w:t>
      </w:r>
      <w:r w:rsidRPr="005B09F6">
        <w:rPr>
          <w:rFonts w:ascii="Calibri" w:eastAsiaTheme="minorEastAsia" w:hAnsi="Calibri"/>
          <w:i/>
          <w:sz w:val="24"/>
          <w:szCs w:val="24"/>
        </w:rPr>
        <w:t xml:space="preserve">s </w:t>
      </w:r>
      <w:r w:rsidRPr="005B09F6">
        <w:rPr>
          <w:rFonts w:ascii="Calibri" w:eastAsiaTheme="minorEastAsia" w:hAnsi="Calibri"/>
          <w:sz w:val="24"/>
          <w:szCs w:val="24"/>
        </w:rPr>
        <w:t xml:space="preserve">= {H, M}: </w:t>
      </w:r>
    </w:p>
    <w:p w:rsidR="00FF5C5E" w:rsidRPr="005B09F6" w:rsidRDefault="00FF5C5E" w:rsidP="00FF5C5E">
      <w:pPr>
        <w:spacing w:line="360" w:lineRule="auto"/>
        <w:jc w:val="both"/>
        <w:rPr>
          <w:rFonts w:ascii="Calibri" w:eastAsiaTheme="minorEastAsia" w:hAnsi="Calibri"/>
          <w:sz w:val="24"/>
          <w:szCs w:val="24"/>
        </w:rPr>
      </w:pPr>
    </w:p>
    <w:p w:rsidR="00FF5C5E" w:rsidRPr="005B09F6" w:rsidRDefault="00FF5C5E" w:rsidP="00FF5C5E">
      <w:pPr>
        <w:jc w:val="both"/>
        <w:rPr>
          <w:rFonts w:ascii="Calibri" w:hAnsi="Calibri"/>
          <w:sz w:val="24"/>
          <w:szCs w:val="24"/>
        </w:rPr>
      </w:pPr>
      <w:r w:rsidRPr="005B09F6">
        <w:rPr>
          <w:rFonts w:ascii="Calibri" w:hAnsi="Calibri"/>
          <w:b/>
          <w:sz w:val="24"/>
          <w:szCs w:val="24"/>
        </w:rPr>
        <w:t>T</w:t>
      </w:r>
      <w:r w:rsidR="007F050D" w:rsidRPr="005B09F6">
        <w:rPr>
          <w:rFonts w:ascii="Calibri" w:hAnsi="Calibri"/>
          <w:b/>
          <w:sz w:val="24"/>
          <w:szCs w:val="24"/>
        </w:rPr>
        <w:t>abela</w:t>
      </w:r>
      <w:r w:rsidRPr="005B09F6">
        <w:rPr>
          <w:rFonts w:ascii="Calibri" w:hAnsi="Calibri"/>
          <w:b/>
          <w:sz w:val="24"/>
          <w:szCs w:val="24"/>
        </w:rPr>
        <w:t xml:space="preserve"> </w:t>
      </w:r>
      <w:r w:rsidR="00B37896" w:rsidRPr="005B09F6">
        <w:rPr>
          <w:rFonts w:ascii="Calibri" w:hAnsi="Calibri"/>
          <w:b/>
          <w:sz w:val="24"/>
          <w:szCs w:val="24"/>
        </w:rPr>
        <w:t>4</w:t>
      </w:r>
      <w:r w:rsidR="00E85BBB" w:rsidRPr="005B09F6">
        <w:rPr>
          <w:rFonts w:ascii="Calibri" w:hAnsi="Calibri"/>
          <w:b/>
          <w:sz w:val="24"/>
          <w:szCs w:val="24"/>
        </w:rPr>
        <w:t>.</w:t>
      </w:r>
      <w:r w:rsidRPr="005B09F6">
        <w:rPr>
          <w:rFonts w:ascii="Calibri" w:hAnsi="Calibri"/>
          <w:b/>
          <w:sz w:val="24"/>
          <w:szCs w:val="24"/>
        </w:rPr>
        <w:t>1</w:t>
      </w:r>
      <w:r w:rsidR="00E85BBB" w:rsidRPr="005B09F6">
        <w:rPr>
          <w:rFonts w:ascii="Calibri" w:hAnsi="Calibri"/>
          <w:b/>
          <w:sz w:val="24"/>
          <w:szCs w:val="24"/>
        </w:rPr>
        <w:t xml:space="preserve"> </w:t>
      </w:r>
      <w:r w:rsidR="00E85BBB" w:rsidRPr="005B09F6">
        <w:rPr>
          <w:rFonts w:ascii="Calibri" w:hAnsi="Calibri"/>
          <w:sz w:val="24"/>
          <w:szCs w:val="24"/>
        </w:rPr>
        <w:t>―</w:t>
      </w:r>
      <w:r w:rsidR="00E85BBB" w:rsidRPr="005B09F6">
        <w:rPr>
          <w:rFonts w:ascii="Calibri" w:hAnsi="Calibri"/>
          <w:b/>
          <w:sz w:val="24"/>
          <w:szCs w:val="24"/>
        </w:rPr>
        <w:t xml:space="preserve"> </w:t>
      </w:r>
      <w:r w:rsidRPr="005B09F6">
        <w:rPr>
          <w:rFonts w:ascii="Calibri" w:hAnsi="Calibri"/>
          <w:sz w:val="24"/>
          <w:szCs w:val="24"/>
        </w:rPr>
        <w:t>Descrição do conjunto de benefícios contemplados no modelo de projeções previdenciárias</w:t>
      </w:r>
    </w:p>
    <w:tbl>
      <w:tblPr>
        <w:tblStyle w:val="TabeladeLista1Clara-nfase2"/>
        <w:tblpPr w:leftFromText="141" w:rightFromText="141" w:vertAnchor="text" w:horzAnchor="margin" w:tblpX="-5" w:tblpY="179"/>
        <w:tblW w:w="9776" w:type="dxa"/>
        <w:shd w:val="clear" w:color="auto" w:fill="FFFFFF" w:themeFill="background1"/>
        <w:tblLayout w:type="fixed"/>
        <w:tblLook w:val="04A0" w:firstRow="1" w:lastRow="0" w:firstColumn="1" w:lastColumn="0" w:noHBand="0" w:noVBand="1"/>
      </w:tblPr>
      <w:tblGrid>
        <w:gridCol w:w="2263"/>
        <w:gridCol w:w="3686"/>
        <w:gridCol w:w="992"/>
        <w:gridCol w:w="993"/>
        <w:gridCol w:w="992"/>
        <w:gridCol w:w="850"/>
      </w:tblGrid>
      <w:tr w:rsidR="00FF5C5E" w:rsidRPr="005B09F6" w:rsidTr="00637C42">
        <w:trPr>
          <w:cnfStyle w:val="100000000000" w:firstRow="1" w:lastRow="0" w:firstColumn="0" w:lastColumn="0" w:oddVBand="0" w:evenVBand="0" w:oddHBand="0" w:evenHBand="0" w:firstRowFirstColumn="0" w:firstRowLastColumn="0" w:lastRowFirstColumn="0" w:lastRowLastColumn="0"/>
          <w:trHeight w:hRule="exact" w:val="722"/>
        </w:trPr>
        <w:tc>
          <w:tcPr>
            <w:cnfStyle w:val="001000000000" w:firstRow="0" w:lastRow="0" w:firstColumn="1" w:lastColumn="0" w:oddVBand="0" w:evenVBand="0" w:oddHBand="0" w:evenHBand="0" w:firstRowFirstColumn="0" w:firstRowLastColumn="0" w:lastRowFirstColumn="0" w:lastRowLastColumn="0"/>
            <w:tcW w:w="5949" w:type="dxa"/>
            <w:gridSpan w:val="2"/>
            <w:tcBorders>
              <w:top w:val="single" w:sz="4" w:space="0" w:color="2683C6" w:themeColor="accent2"/>
              <w:bottom w:val="single" w:sz="4" w:space="0" w:color="2683C6" w:themeColor="accent2"/>
            </w:tcBorders>
            <w:shd w:val="clear" w:color="auto" w:fill="FFFFFF" w:themeFill="background1"/>
            <w:vAlign w:val="center"/>
          </w:tcPr>
          <w:p w:rsidR="00FF5C5E" w:rsidRPr="005B09F6" w:rsidRDefault="00FF5C5E" w:rsidP="00637C42">
            <w:pPr>
              <w:ind w:left="-113"/>
              <w:jc w:val="center"/>
              <w:rPr>
                <w:rFonts w:ascii="Calibri" w:hAnsi="Calibri"/>
                <w:i/>
                <w:sz w:val="24"/>
                <w:szCs w:val="24"/>
                <w:lang w:val="pt-BR"/>
              </w:rPr>
            </w:pPr>
            <w:r w:rsidRPr="005B09F6">
              <w:rPr>
                <w:rFonts w:ascii="Calibri" w:hAnsi="Calibri"/>
                <w:i/>
                <w:sz w:val="24"/>
                <w:szCs w:val="24"/>
                <w:lang w:val="pt-BR"/>
              </w:rPr>
              <w:t>Benefícios</w:t>
            </w:r>
          </w:p>
        </w:tc>
        <w:tc>
          <w:tcPr>
            <w:tcW w:w="992" w:type="dxa"/>
            <w:tcBorders>
              <w:top w:val="single" w:sz="4" w:space="0" w:color="2683C6" w:themeColor="accent2"/>
              <w:bottom w:val="single" w:sz="4" w:space="0" w:color="2683C6" w:themeColor="accent2"/>
            </w:tcBorders>
            <w:shd w:val="clear" w:color="auto" w:fill="FFFFFF" w:themeFill="background1"/>
            <w:vAlign w:val="center"/>
          </w:tcPr>
          <w:p w:rsidR="00FF5C5E" w:rsidRPr="005B09F6" w:rsidRDefault="00FF5C5E" w:rsidP="00637C42">
            <w:pPr>
              <w:ind w:left="-113" w:right="-249" w:hanging="132"/>
              <w:jc w:val="center"/>
              <w:cnfStyle w:val="100000000000" w:firstRow="1" w:lastRow="0" w:firstColumn="0" w:lastColumn="0" w:oddVBand="0" w:evenVBand="0" w:oddHBand="0" w:evenHBand="0" w:firstRowFirstColumn="0" w:firstRowLastColumn="0" w:lastRowFirstColumn="0" w:lastRowLastColumn="0"/>
              <w:rPr>
                <w:rFonts w:ascii="Calibri" w:hAnsi="Calibri"/>
                <w:i/>
                <w:sz w:val="24"/>
                <w:szCs w:val="24"/>
                <w:lang w:val="pt-BR"/>
              </w:rPr>
            </w:pPr>
            <w:r w:rsidRPr="005B09F6">
              <w:rPr>
                <w:rFonts w:ascii="Calibri" w:hAnsi="Calibri"/>
                <w:i/>
                <w:sz w:val="24"/>
                <w:szCs w:val="24"/>
                <w:lang w:val="pt-BR"/>
              </w:rPr>
              <w:t>Modalidade</w:t>
            </w:r>
          </w:p>
        </w:tc>
        <w:tc>
          <w:tcPr>
            <w:tcW w:w="993" w:type="dxa"/>
            <w:tcBorders>
              <w:top w:val="single" w:sz="4" w:space="0" w:color="2683C6" w:themeColor="accent2"/>
              <w:bottom w:val="single" w:sz="4" w:space="0" w:color="2683C6" w:themeColor="accent2"/>
            </w:tcBorders>
            <w:shd w:val="clear" w:color="auto" w:fill="FFFFFF" w:themeFill="background1"/>
            <w:vAlign w:val="center"/>
          </w:tcPr>
          <w:p w:rsidR="00FF5C5E" w:rsidRPr="005B09F6" w:rsidRDefault="00FF5C5E" w:rsidP="00637C42">
            <w:pPr>
              <w:ind w:left="-113"/>
              <w:jc w:val="center"/>
              <w:cnfStyle w:val="100000000000" w:firstRow="1" w:lastRow="0" w:firstColumn="0" w:lastColumn="0" w:oddVBand="0" w:evenVBand="0" w:oddHBand="0" w:evenHBand="0" w:firstRowFirstColumn="0" w:firstRowLastColumn="0" w:lastRowFirstColumn="0" w:lastRowLastColumn="0"/>
              <w:rPr>
                <w:rFonts w:ascii="Calibri" w:hAnsi="Calibri"/>
                <w:i/>
                <w:sz w:val="24"/>
                <w:szCs w:val="24"/>
                <w:lang w:val="pt-BR"/>
              </w:rPr>
            </w:pPr>
            <w:r w:rsidRPr="005B09F6">
              <w:rPr>
                <w:rFonts w:ascii="Calibri" w:hAnsi="Calibri"/>
                <w:i/>
                <w:sz w:val="24"/>
                <w:szCs w:val="24"/>
                <w:lang w:val="pt-BR"/>
              </w:rPr>
              <w:t>Clientela</w:t>
            </w:r>
          </w:p>
        </w:tc>
        <w:tc>
          <w:tcPr>
            <w:tcW w:w="992" w:type="dxa"/>
            <w:tcBorders>
              <w:top w:val="single" w:sz="4" w:space="0" w:color="2683C6" w:themeColor="accent2"/>
              <w:bottom w:val="single" w:sz="4" w:space="0" w:color="2683C6" w:themeColor="accent2"/>
            </w:tcBorders>
            <w:shd w:val="clear" w:color="auto" w:fill="FFFFFF" w:themeFill="background1"/>
            <w:vAlign w:val="center"/>
          </w:tcPr>
          <w:p w:rsidR="00FF5C5E" w:rsidRPr="005B09F6" w:rsidRDefault="00FF5C5E" w:rsidP="00637C42">
            <w:pPr>
              <w:ind w:left="-113"/>
              <w:jc w:val="center"/>
              <w:cnfStyle w:val="100000000000" w:firstRow="1" w:lastRow="0" w:firstColumn="0" w:lastColumn="0" w:oddVBand="0" w:evenVBand="0" w:oddHBand="0" w:evenHBand="0" w:firstRowFirstColumn="0" w:firstRowLastColumn="0" w:lastRowFirstColumn="0" w:lastRowLastColumn="0"/>
              <w:rPr>
                <w:rFonts w:ascii="Calibri" w:hAnsi="Calibri"/>
                <w:i/>
                <w:sz w:val="24"/>
                <w:szCs w:val="24"/>
                <w:lang w:val="pt-BR"/>
              </w:rPr>
            </w:pPr>
            <w:r w:rsidRPr="005B09F6">
              <w:rPr>
                <w:rFonts w:ascii="Calibri" w:hAnsi="Calibri"/>
                <w:i/>
                <w:sz w:val="24"/>
                <w:szCs w:val="24"/>
                <w:lang w:val="pt-BR"/>
              </w:rPr>
              <w:t>Sexo</w:t>
            </w:r>
          </w:p>
        </w:tc>
        <w:tc>
          <w:tcPr>
            <w:tcW w:w="850" w:type="dxa"/>
            <w:tcBorders>
              <w:top w:val="single" w:sz="4" w:space="0" w:color="2683C6" w:themeColor="accent2"/>
              <w:bottom w:val="single" w:sz="4" w:space="0" w:color="2683C6" w:themeColor="accent2"/>
            </w:tcBorders>
            <w:shd w:val="clear" w:color="auto" w:fill="FFFFFF" w:themeFill="background1"/>
            <w:vAlign w:val="center"/>
          </w:tcPr>
          <w:p w:rsidR="00FF5C5E" w:rsidRPr="005B09F6" w:rsidRDefault="00FF5C5E" w:rsidP="00637C42">
            <w:pPr>
              <w:ind w:left="-113"/>
              <w:jc w:val="center"/>
              <w:cnfStyle w:val="100000000000" w:firstRow="1" w:lastRow="0" w:firstColumn="0" w:lastColumn="0" w:oddVBand="0" w:evenVBand="0" w:oddHBand="0" w:evenHBand="0" w:firstRowFirstColumn="0" w:firstRowLastColumn="0" w:lastRowFirstColumn="0" w:lastRowLastColumn="0"/>
              <w:rPr>
                <w:rFonts w:ascii="Calibri" w:hAnsi="Calibri"/>
                <w:i/>
                <w:sz w:val="24"/>
                <w:szCs w:val="24"/>
                <w:lang w:val="pt-BR"/>
              </w:rPr>
            </w:pPr>
            <w:r w:rsidRPr="005B09F6">
              <w:rPr>
                <w:rFonts w:ascii="Calibri" w:hAnsi="Calibri"/>
                <w:i/>
                <w:sz w:val="24"/>
                <w:szCs w:val="24"/>
                <w:lang w:val="pt-BR"/>
              </w:rPr>
              <w:t>Total</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454"/>
        </w:trPr>
        <w:tc>
          <w:tcPr>
            <w:cnfStyle w:val="001000000000" w:firstRow="0" w:lastRow="0" w:firstColumn="1" w:lastColumn="0" w:oddVBand="0" w:evenVBand="0" w:oddHBand="0" w:evenHBand="0" w:firstRowFirstColumn="0" w:firstRowLastColumn="0" w:lastRowFirstColumn="0" w:lastRowLastColumn="0"/>
            <w:tcW w:w="5949" w:type="dxa"/>
            <w:gridSpan w:val="2"/>
            <w:tcBorders>
              <w:top w:val="single" w:sz="4" w:space="0" w:color="2683C6" w:themeColor="accent2"/>
            </w:tcBorders>
            <w:shd w:val="clear" w:color="auto" w:fill="FFFFFF" w:themeFill="background1"/>
            <w:vAlign w:val="center"/>
          </w:tcPr>
          <w:p w:rsidR="00FF5C5E" w:rsidRPr="005B09F6" w:rsidRDefault="00FF5C5E" w:rsidP="00637C42">
            <w:pPr>
              <w:rPr>
                <w:rFonts w:ascii="Calibri" w:hAnsi="Calibri"/>
                <w:b w:val="0"/>
                <w:i/>
                <w:sz w:val="24"/>
                <w:szCs w:val="24"/>
                <w:lang w:val="pt-BR"/>
              </w:rPr>
            </w:pPr>
            <w:r w:rsidRPr="005B09F6">
              <w:rPr>
                <w:rFonts w:ascii="Calibri" w:hAnsi="Calibri"/>
                <w:b w:val="0"/>
                <w:i/>
                <w:sz w:val="24"/>
                <w:szCs w:val="24"/>
                <w:lang w:val="pt-BR"/>
              </w:rPr>
              <w:t>Previdenciários</w:t>
            </w:r>
          </w:p>
        </w:tc>
        <w:tc>
          <w:tcPr>
            <w:tcW w:w="992" w:type="dxa"/>
            <w:tcBorders>
              <w:top w:val="single" w:sz="4" w:space="0" w:color="2683C6" w:themeColor="accent2"/>
            </w:tcBorders>
            <w:shd w:val="clear" w:color="auto" w:fill="FFFFFF" w:themeFill="background1"/>
            <w:vAlign w:val="center"/>
          </w:tcPr>
          <w:p w:rsidR="00FF5C5E" w:rsidRPr="005B09F6" w:rsidRDefault="00FF5C5E" w:rsidP="00637C42">
            <w:pPr>
              <w:ind w:left="-113" w:right="-249"/>
              <w:cnfStyle w:val="000000100000" w:firstRow="0" w:lastRow="0" w:firstColumn="0" w:lastColumn="0" w:oddVBand="0" w:evenVBand="0" w:oddHBand="1" w:evenHBand="0" w:firstRowFirstColumn="0" w:firstRowLastColumn="0" w:lastRowFirstColumn="0" w:lastRowLastColumn="0"/>
              <w:rPr>
                <w:rFonts w:ascii="Calibri" w:hAnsi="Calibri"/>
                <w:i/>
                <w:sz w:val="24"/>
                <w:szCs w:val="24"/>
                <w:lang w:val="pt-BR"/>
              </w:rPr>
            </w:pPr>
          </w:p>
        </w:tc>
        <w:tc>
          <w:tcPr>
            <w:tcW w:w="993" w:type="dxa"/>
            <w:tcBorders>
              <w:top w:val="single" w:sz="4" w:space="0" w:color="2683C6" w:themeColor="accent2"/>
            </w:tcBorders>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i/>
                <w:sz w:val="24"/>
                <w:szCs w:val="24"/>
                <w:lang w:val="pt-BR"/>
              </w:rPr>
            </w:pPr>
          </w:p>
        </w:tc>
        <w:tc>
          <w:tcPr>
            <w:tcW w:w="992" w:type="dxa"/>
            <w:tcBorders>
              <w:top w:val="single" w:sz="4" w:space="0" w:color="2683C6" w:themeColor="accent2"/>
            </w:tcBorders>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i/>
                <w:sz w:val="24"/>
                <w:szCs w:val="24"/>
                <w:lang w:val="pt-BR"/>
              </w:rPr>
            </w:pPr>
          </w:p>
        </w:tc>
        <w:tc>
          <w:tcPr>
            <w:tcW w:w="850" w:type="dxa"/>
            <w:tcBorders>
              <w:top w:val="single" w:sz="4" w:space="0" w:color="2683C6" w:themeColor="accent2"/>
            </w:tcBorders>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i/>
                <w:sz w:val="24"/>
                <w:szCs w:val="24"/>
                <w:lang w:val="pt-BR"/>
              </w:rPr>
            </w:pPr>
          </w:p>
        </w:tc>
      </w:tr>
      <w:tr w:rsidR="00FF5C5E" w:rsidRPr="005B09F6" w:rsidTr="00637C42">
        <w:trPr>
          <w:trHeight w:hRule="exact" w:val="674"/>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ind w:left="-113" w:firstLine="572"/>
              <w:rPr>
                <w:rFonts w:ascii="Calibri" w:hAnsi="Calibri"/>
                <w:b w:val="0"/>
                <w:i/>
                <w:sz w:val="24"/>
                <w:szCs w:val="24"/>
                <w:lang w:val="pt-BR"/>
              </w:rPr>
            </w:pPr>
            <w:r w:rsidRPr="005B09F6">
              <w:rPr>
                <w:rFonts w:ascii="Calibri" w:hAnsi="Calibri"/>
                <w:b w:val="0"/>
                <w:i/>
                <w:sz w:val="24"/>
                <w:szCs w:val="24"/>
                <w:lang w:val="pt-BR"/>
              </w:rPr>
              <w:t>Aposentadorias</w:t>
            </w:r>
          </w:p>
        </w:tc>
        <w:tc>
          <w:tcPr>
            <w:tcW w:w="3686" w:type="dxa"/>
            <w:shd w:val="clear" w:color="auto" w:fill="FFFFFF" w:themeFill="background1"/>
            <w:vAlign w:val="center"/>
          </w:tcPr>
          <w:p w:rsidR="00FF5C5E" w:rsidRPr="005B09F6" w:rsidRDefault="00FF5C5E" w:rsidP="00637C42">
            <w:pPr>
              <w:ind w:left="-108"/>
              <w:cnfStyle w:val="000000000000" w:firstRow="0" w:lastRow="0" w:firstColumn="0" w:lastColumn="0" w:oddVBand="0" w:evenVBand="0" w:oddHBand="0" w:evenHBand="0" w:firstRowFirstColumn="0" w:firstRowLastColumn="0" w:lastRowFirstColumn="0" w:lastRowLastColumn="0"/>
              <w:rPr>
                <w:rFonts w:ascii="Calibri" w:hAnsi="Calibri"/>
                <w:sz w:val="24"/>
                <w:szCs w:val="24"/>
                <w:lang w:val="pt-BR"/>
              </w:rPr>
            </w:pPr>
            <w:r w:rsidRPr="005B09F6">
              <w:rPr>
                <w:rFonts w:ascii="Calibri" w:hAnsi="Calibri"/>
                <w:sz w:val="24"/>
                <w:szCs w:val="24"/>
                <w:lang w:val="pt-BR"/>
              </w:rPr>
              <w:t xml:space="preserve"> Idade Usual, Idade Deficiente TC Normal,</w:t>
            </w:r>
          </w:p>
          <w:p w:rsidR="00FF5C5E" w:rsidRPr="005B09F6" w:rsidRDefault="00FF5C5E" w:rsidP="00637C42">
            <w:pPr>
              <w:ind w:left="-113" w:right="-108" w:firstLine="5"/>
              <w:cnfStyle w:val="000000000000" w:firstRow="0" w:lastRow="0" w:firstColumn="0" w:lastColumn="0" w:oddVBand="0" w:evenVBand="0" w:oddHBand="0" w:evenHBand="0" w:firstRowFirstColumn="0" w:firstRowLastColumn="0" w:lastRowFirstColumn="0" w:lastRowLastColumn="0"/>
              <w:rPr>
                <w:rFonts w:ascii="Calibri" w:hAnsi="Calibri"/>
                <w:i/>
                <w:sz w:val="24"/>
                <w:szCs w:val="24"/>
                <w:lang w:val="pt-BR"/>
              </w:rPr>
            </w:pPr>
            <w:r w:rsidRPr="005B09F6">
              <w:rPr>
                <w:rFonts w:ascii="Calibri" w:hAnsi="Calibri"/>
                <w:sz w:val="24"/>
                <w:szCs w:val="24"/>
                <w:lang w:val="pt-BR"/>
              </w:rPr>
              <w:t>TC Def., TC Especial, TC Professor, Invalidez</w:t>
            </w:r>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7</w:t>
            </w:r>
          </w:p>
        </w:tc>
        <w:tc>
          <w:tcPr>
            <w:tcW w:w="993"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3</w:t>
            </w:r>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850"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i/>
                <w:sz w:val="24"/>
                <w:szCs w:val="24"/>
              </w:rPr>
            </w:pPr>
            <w:r w:rsidRPr="005B09F6">
              <w:rPr>
                <w:rFonts w:ascii="Calibri" w:hAnsi="Calibri"/>
                <w:i/>
                <w:sz w:val="24"/>
                <w:szCs w:val="24"/>
              </w:rPr>
              <w:t>42</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ind w:left="-113" w:firstLine="572"/>
              <w:rPr>
                <w:rFonts w:ascii="Calibri" w:hAnsi="Calibri"/>
                <w:b w:val="0"/>
                <w:i/>
                <w:sz w:val="24"/>
                <w:szCs w:val="24"/>
              </w:rPr>
            </w:pPr>
            <w:proofErr w:type="spellStart"/>
            <w:r w:rsidRPr="005B09F6">
              <w:rPr>
                <w:rFonts w:ascii="Calibri" w:hAnsi="Calibri"/>
                <w:b w:val="0"/>
                <w:i/>
                <w:sz w:val="24"/>
                <w:szCs w:val="24"/>
              </w:rPr>
              <w:t>Auxílios</w:t>
            </w:r>
            <w:proofErr w:type="spellEnd"/>
          </w:p>
        </w:tc>
        <w:tc>
          <w:tcPr>
            <w:tcW w:w="3686" w:type="dxa"/>
            <w:shd w:val="clear" w:color="auto" w:fill="FFFFFF" w:themeFill="background1"/>
            <w:vAlign w:val="center"/>
          </w:tcPr>
          <w:p w:rsidR="00FF5C5E" w:rsidRPr="005B09F6" w:rsidRDefault="00FF5C5E" w:rsidP="00637C42">
            <w:pPr>
              <w:ind w:left="-113" w:firstLine="113"/>
              <w:cnfStyle w:val="000000100000" w:firstRow="0" w:lastRow="0" w:firstColumn="0" w:lastColumn="0" w:oddVBand="0" w:evenVBand="0" w:oddHBand="1" w:evenHBand="0" w:firstRowFirstColumn="0" w:firstRowLastColumn="0" w:lastRowFirstColumn="0" w:lastRowLastColumn="0"/>
              <w:rPr>
                <w:rFonts w:ascii="Calibri" w:hAnsi="Calibri"/>
                <w:sz w:val="24"/>
                <w:szCs w:val="24"/>
                <w:lang w:val="pt-BR"/>
              </w:rPr>
            </w:pPr>
            <w:r w:rsidRPr="005B09F6">
              <w:rPr>
                <w:rFonts w:ascii="Calibri" w:hAnsi="Calibri"/>
                <w:sz w:val="24"/>
                <w:szCs w:val="24"/>
                <w:lang w:val="pt-BR"/>
              </w:rPr>
              <w:t xml:space="preserve"> </w:t>
            </w:r>
            <w:proofErr w:type="spellStart"/>
            <w:r w:rsidRPr="005B09F6">
              <w:rPr>
                <w:rFonts w:ascii="Calibri" w:hAnsi="Calibri"/>
                <w:sz w:val="24"/>
                <w:szCs w:val="24"/>
                <w:lang w:val="pt-BR"/>
              </w:rPr>
              <w:t>Aux</w:t>
            </w:r>
            <w:proofErr w:type="spellEnd"/>
            <w:r w:rsidRPr="005B09F6">
              <w:rPr>
                <w:rFonts w:ascii="Calibri" w:hAnsi="Calibri"/>
                <w:sz w:val="24"/>
                <w:szCs w:val="24"/>
                <w:lang w:val="pt-BR"/>
              </w:rPr>
              <w:t xml:space="preserve">-Doença, </w:t>
            </w:r>
            <w:proofErr w:type="spellStart"/>
            <w:r w:rsidRPr="005B09F6">
              <w:rPr>
                <w:rFonts w:ascii="Calibri" w:hAnsi="Calibri"/>
                <w:sz w:val="24"/>
                <w:szCs w:val="24"/>
                <w:lang w:val="pt-BR"/>
              </w:rPr>
              <w:t>Aux</w:t>
            </w:r>
            <w:proofErr w:type="spellEnd"/>
            <w:r w:rsidRPr="005B09F6">
              <w:rPr>
                <w:rFonts w:ascii="Calibri" w:hAnsi="Calibri"/>
                <w:sz w:val="24"/>
                <w:szCs w:val="24"/>
                <w:lang w:val="pt-BR"/>
              </w:rPr>
              <w:t xml:space="preserve">-Acidente, </w:t>
            </w:r>
            <w:proofErr w:type="spellStart"/>
            <w:r w:rsidRPr="005B09F6">
              <w:rPr>
                <w:rFonts w:ascii="Calibri" w:hAnsi="Calibri"/>
                <w:sz w:val="24"/>
                <w:szCs w:val="24"/>
                <w:lang w:val="pt-BR"/>
              </w:rPr>
              <w:t>Aux</w:t>
            </w:r>
            <w:proofErr w:type="spellEnd"/>
            <w:r w:rsidRPr="005B09F6">
              <w:rPr>
                <w:rFonts w:ascii="Calibri" w:hAnsi="Calibri"/>
                <w:sz w:val="24"/>
                <w:szCs w:val="24"/>
                <w:lang w:val="pt-BR"/>
              </w:rPr>
              <w:t>-Reclusão</w:t>
            </w:r>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3</w:t>
            </w:r>
          </w:p>
        </w:tc>
        <w:tc>
          <w:tcPr>
            <w:tcW w:w="993"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3</w:t>
            </w:r>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850"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i/>
                <w:sz w:val="24"/>
                <w:szCs w:val="24"/>
              </w:rPr>
            </w:pPr>
            <w:r w:rsidRPr="005B09F6">
              <w:rPr>
                <w:rFonts w:ascii="Calibri" w:hAnsi="Calibri"/>
                <w:i/>
                <w:sz w:val="24"/>
                <w:szCs w:val="24"/>
              </w:rPr>
              <w:t>18</w:t>
            </w:r>
          </w:p>
        </w:tc>
      </w:tr>
      <w:tr w:rsidR="00FF5C5E" w:rsidRPr="005B09F6" w:rsidTr="00637C42">
        <w:trPr>
          <w:trHeight w:hRule="exact" w:val="340"/>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ind w:left="-113" w:firstLine="572"/>
              <w:rPr>
                <w:rFonts w:ascii="Calibri" w:hAnsi="Calibri"/>
                <w:b w:val="0"/>
                <w:i/>
                <w:sz w:val="24"/>
                <w:szCs w:val="24"/>
              </w:rPr>
            </w:pPr>
            <w:proofErr w:type="spellStart"/>
            <w:r w:rsidRPr="005B09F6">
              <w:rPr>
                <w:rFonts w:ascii="Calibri" w:hAnsi="Calibri"/>
                <w:b w:val="0"/>
                <w:i/>
                <w:sz w:val="24"/>
                <w:szCs w:val="24"/>
              </w:rPr>
              <w:t>SalMat</w:t>
            </w:r>
            <w:proofErr w:type="spellEnd"/>
          </w:p>
        </w:tc>
        <w:tc>
          <w:tcPr>
            <w:tcW w:w="3686" w:type="dxa"/>
            <w:shd w:val="clear" w:color="auto" w:fill="FFFFFF" w:themeFill="background1"/>
            <w:vAlign w:val="center"/>
          </w:tcPr>
          <w:p w:rsidR="00FF5C5E" w:rsidRPr="005B09F6" w:rsidRDefault="00FF5C5E" w:rsidP="00637C42">
            <w:pPr>
              <w:ind w:left="-113"/>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 xml:space="preserve"> </w:t>
            </w:r>
            <w:r w:rsidRPr="005B09F6">
              <w:rPr>
                <w:rFonts w:ascii="Calibri" w:hAnsi="Calibri"/>
                <w:i/>
                <w:sz w:val="24"/>
                <w:szCs w:val="24"/>
              </w:rPr>
              <w:t xml:space="preserve">  </w:t>
            </w:r>
            <w:proofErr w:type="spellStart"/>
            <w:r w:rsidRPr="005B09F6">
              <w:rPr>
                <w:rFonts w:ascii="Calibri" w:hAnsi="Calibri"/>
                <w:i/>
                <w:sz w:val="24"/>
                <w:szCs w:val="24"/>
              </w:rPr>
              <w:t>Salário-Maternidade</w:t>
            </w:r>
            <w:proofErr w:type="spellEnd"/>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1</w:t>
            </w:r>
          </w:p>
        </w:tc>
        <w:tc>
          <w:tcPr>
            <w:tcW w:w="993"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3</w:t>
            </w:r>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1</w:t>
            </w:r>
          </w:p>
        </w:tc>
        <w:tc>
          <w:tcPr>
            <w:tcW w:w="850"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i/>
                <w:sz w:val="24"/>
                <w:szCs w:val="24"/>
              </w:rPr>
            </w:pPr>
            <w:r w:rsidRPr="005B09F6">
              <w:rPr>
                <w:rFonts w:ascii="Calibri" w:hAnsi="Calibri"/>
                <w:i/>
                <w:sz w:val="24"/>
                <w:szCs w:val="24"/>
              </w:rPr>
              <w:t>3</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ind w:left="-113" w:firstLine="572"/>
              <w:rPr>
                <w:rFonts w:ascii="Calibri" w:hAnsi="Calibri"/>
                <w:b w:val="0"/>
                <w:i/>
                <w:sz w:val="24"/>
                <w:szCs w:val="24"/>
              </w:rPr>
            </w:pPr>
            <w:proofErr w:type="spellStart"/>
            <w:r w:rsidRPr="005B09F6">
              <w:rPr>
                <w:rFonts w:ascii="Calibri" w:hAnsi="Calibri"/>
                <w:b w:val="0"/>
                <w:i/>
                <w:sz w:val="24"/>
                <w:szCs w:val="24"/>
              </w:rPr>
              <w:t>Pensões</w:t>
            </w:r>
            <w:proofErr w:type="spellEnd"/>
          </w:p>
        </w:tc>
        <w:tc>
          <w:tcPr>
            <w:tcW w:w="3686" w:type="dxa"/>
            <w:shd w:val="clear" w:color="auto" w:fill="FFFFFF" w:themeFill="background1"/>
            <w:vAlign w:val="center"/>
          </w:tcPr>
          <w:p w:rsidR="00FF5C5E" w:rsidRPr="005B09F6" w:rsidRDefault="00FF5C5E" w:rsidP="00637C42">
            <w:pPr>
              <w:ind w:left="-113" w:firstLine="147"/>
              <w:cnfStyle w:val="000000100000" w:firstRow="0" w:lastRow="0" w:firstColumn="0" w:lastColumn="0" w:oddVBand="0" w:evenVBand="0" w:oddHBand="1" w:evenHBand="0" w:firstRowFirstColumn="0" w:firstRowLastColumn="0" w:lastRowFirstColumn="0" w:lastRowLastColumn="0"/>
              <w:rPr>
                <w:rFonts w:ascii="Calibri" w:hAnsi="Calibri"/>
                <w:sz w:val="24"/>
                <w:szCs w:val="24"/>
                <w:lang w:val="pt-BR"/>
              </w:rPr>
            </w:pPr>
            <w:r w:rsidRPr="005B09F6">
              <w:rPr>
                <w:rFonts w:ascii="Calibri" w:hAnsi="Calibri"/>
                <w:sz w:val="24"/>
                <w:szCs w:val="24"/>
                <w:lang w:val="pt-BR"/>
              </w:rPr>
              <w:t>Concedidas até 2014 e a partir de 2015</w:t>
            </w:r>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993"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3</w:t>
            </w:r>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850"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i/>
                <w:sz w:val="24"/>
                <w:szCs w:val="24"/>
              </w:rPr>
            </w:pPr>
            <w:r w:rsidRPr="005B09F6">
              <w:rPr>
                <w:rFonts w:ascii="Calibri" w:hAnsi="Calibri"/>
                <w:i/>
                <w:sz w:val="24"/>
                <w:szCs w:val="24"/>
              </w:rPr>
              <w:t>12</w:t>
            </w:r>
          </w:p>
        </w:tc>
      </w:tr>
      <w:tr w:rsidR="00FF5C5E" w:rsidRPr="005B09F6" w:rsidTr="00637C42">
        <w:trPr>
          <w:trHeight w:hRule="exact" w:val="454"/>
        </w:trPr>
        <w:tc>
          <w:tcPr>
            <w:cnfStyle w:val="001000000000" w:firstRow="0" w:lastRow="0" w:firstColumn="1" w:lastColumn="0" w:oddVBand="0" w:evenVBand="0" w:oddHBand="0" w:evenHBand="0" w:firstRowFirstColumn="0" w:firstRowLastColumn="0" w:lastRowFirstColumn="0" w:lastRowLastColumn="0"/>
            <w:tcW w:w="5949" w:type="dxa"/>
            <w:gridSpan w:val="2"/>
            <w:shd w:val="clear" w:color="auto" w:fill="FFFFFF" w:themeFill="background1"/>
            <w:vAlign w:val="center"/>
          </w:tcPr>
          <w:p w:rsidR="00FF5C5E" w:rsidRPr="005B09F6" w:rsidRDefault="00FF5C5E" w:rsidP="00637C42">
            <w:pPr>
              <w:rPr>
                <w:rFonts w:ascii="Calibri" w:hAnsi="Calibri"/>
                <w:b w:val="0"/>
                <w:sz w:val="24"/>
                <w:szCs w:val="24"/>
              </w:rPr>
            </w:pPr>
            <w:proofErr w:type="spellStart"/>
            <w:r w:rsidRPr="005B09F6">
              <w:rPr>
                <w:rFonts w:ascii="Calibri" w:hAnsi="Calibri"/>
                <w:b w:val="0"/>
                <w:sz w:val="24"/>
                <w:szCs w:val="24"/>
              </w:rPr>
              <w:t>Assistenciais</w:t>
            </w:r>
            <w:proofErr w:type="spellEnd"/>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p>
        </w:tc>
        <w:tc>
          <w:tcPr>
            <w:tcW w:w="993"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p>
        </w:tc>
        <w:tc>
          <w:tcPr>
            <w:tcW w:w="850"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i/>
                <w:sz w:val="24"/>
                <w:szCs w:val="24"/>
              </w:rPr>
            </w:pP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tabs>
                <w:tab w:val="left" w:pos="459"/>
              </w:tabs>
              <w:ind w:left="-113" w:firstLine="572"/>
              <w:rPr>
                <w:rFonts w:ascii="Calibri" w:hAnsi="Calibri"/>
                <w:b w:val="0"/>
                <w:i/>
                <w:sz w:val="24"/>
                <w:szCs w:val="24"/>
              </w:rPr>
            </w:pPr>
            <w:r w:rsidRPr="005B09F6">
              <w:rPr>
                <w:rFonts w:ascii="Calibri" w:hAnsi="Calibri"/>
                <w:b w:val="0"/>
                <w:i/>
                <w:sz w:val="24"/>
                <w:szCs w:val="24"/>
              </w:rPr>
              <w:t>BPC/</w:t>
            </w:r>
            <w:proofErr w:type="spellStart"/>
            <w:r w:rsidRPr="005B09F6">
              <w:rPr>
                <w:rFonts w:ascii="Calibri" w:hAnsi="Calibri"/>
                <w:b w:val="0"/>
                <w:i/>
                <w:sz w:val="24"/>
                <w:szCs w:val="24"/>
              </w:rPr>
              <w:t>Loas</w:t>
            </w:r>
            <w:proofErr w:type="spellEnd"/>
          </w:p>
        </w:tc>
        <w:tc>
          <w:tcPr>
            <w:tcW w:w="3686" w:type="dxa"/>
            <w:shd w:val="clear" w:color="auto" w:fill="FFFFFF" w:themeFill="background1"/>
            <w:vAlign w:val="center"/>
          </w:tcPr>
          <w:p w:rsidR="00FF5C5E" w:rsidRPr="005B09F6" w:rsidRDefault="00FF5C5E" w:rsidP="00637C42">
            <w:pPr>
              <w:ind w:left="-113" w:firstLine="147"/>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proofErr w:type="spellStart"/>
            <w:r w:rsidRPr="005B09F6">
              <w:rPr>
                <w:rFonts w:ascii="Calibri" w:hAnsi="Calibri"/>
                <w:sz w:val="24"/>
                <w:szCs w:val="24"/>
              </w:rPr>
              <w:t>Idoso</w:t>
            </w:r>
            <w:proofErr w:type="spellEnd"/>
            <w:r w:rsidRPr="005B09F6">
              <w:rPr>
                <w:rFonts w:ascii="Calibri" w:hAnsi="Calibri"/>
                <w:sz w:val="24"/>
                <w:szCs w:val="24"/>
              </w:rPr>
              <w:t xml:space="preserve">, </w:t>
            </w:r>
            <w:proofErr w:type="spellStart"/>
            <w:r w:rsidRPr="005B09F6">
              <w:rPr>
                <w:rFonts w:ascii="Calibri" w:hAnsi="Calibri"/>
                <w:sz w:val="24"/>
                <w:szCs w:val="24"/>
              </w:rPr>
              <w:t>Deficiente</w:t>
            </w:r>
            <w:proofErr w:type="spellEnd"/>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993"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1</w:t>
            </w:r>
          </w:p>
        </w:tc>
        <w:tc>
          <w:tcPr>
            <w:tcW w:w="992"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850" w:type="dxa"/>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4</w:t>
            </w:r>
          </w:p>
        </w:tc>
      </w:tr>
      <w:tr w:rsidR="00FF5C5E" w:rsidRPr="005B09F6" w:rsidTr="00637C42">
        <w:trPr>
          <w:trHeight w:hRule="exact" w:val="340"/>
        </w:trPr>
        <w:tc>
          <w:tcPr>
            <w:cnfStyle w:val="001000000000" w:firstRow="0" w:lastRow="0" w:firstColumn="1" w:lastColumn="0" w:oddVBand="0" w:evenVBand="0" w:oddHBand="0" w:evenHBand="0" w:firstRowFirstColumn="0" w:firstRowLastColumn="0" w:lastRowFirstColumn="0" w:lastRowLastColumn="0"/>
            <w:tcW w:w="2263" w:type="dxa"/>
            <w:shd w:val="clear" w:color="auto" w:fill="FFFFFF" w:themeFill="background1"/>
            <w:vAlign w:val="center"/>
          </w:tcPr>
          <w:p w:rsidR="00FF5C5E" w:rsidRPr="005B09F6" w:rsidRDefault="00FF5C5E" w:rsidP="00637C42">
            <w:pPr>
              <w:tabs>
                <w:tab w:val="left" w:pos="459"/>
              </w:tabs>
              <w:ind w:left="-113" w:firstLine="572"/>
              <w:rPr>
                <w:rFonts w:ascii="Calibri" w:hAnsi="Calibri"/>
                <w:b w:val="0"/>
                <w:i/>
                <w:sz w:val="24"/>
                <w:szCs w:val="24"/>
              </w:rPr>
            </w:pPr>
            <w:r w:rsidRPr="005B09F6">
              <w:rPr>
                <w:rFonts w:ascii="Calibri" w:hAnsi="Calibri"/>
                <w:b w:val="0"/>
                <w:i/>
                <w:sz w:val="24"/>
                <w:szCs w:val="24"/>
              </w:rPr>
              <w:t>RMV</w:t>
            </w:r>
          </w:p>
        </w:tc>
        <w:tc>
          <w:tcPr>
            <w:tcW w:w="3686" w:type="dxa"/>
            <w:shd w:val="clear" w:color="auto" w:fill="FFFFFF" w:themeFill="background1"/>
            <w:vAlign w:val="center"/>
          </w:tcPr>
          <w:p w:rsidR="00FF5C5E" w:rsidRPr="005B09F6" w:rsidRDefault="00FF5C5E" w:rsidP="00637C42">
            <w:pPr>
              <w:ind w:left="-113" w:firstLine="147"/>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proofErr w:type="spellStart"/>
            <w:r w:rsidRPr="005B09F6">
              <w:rPr>
                <w:rFonts w:ascii="Calibri" w:hAnsi="Calibri"/>
                <w:sz w:val="24"/>
                <w:szCs w:val="24"/>
              </w:rPr>
              <w:t>Idade</w:t>
            </w:r>
            <w:proofErr w:type="spellEnd"/>
            <w:r w:rsidRPr="005B09F6">
              <w:rPr>
                <w:rFonts w:ascii="Calibri" w:hAnsi="Calibri"/>
                <w:sz w:val="24"/>
                <w:szCs w:val="24"/>
              </w:rPr>
              <w:t xml:space="preserve">, </w:t>
            </w:r>
            <w:proofErr w:type="spellStart"/>
            <w:r w:rsidRPr="005B09F6">
              <w:rPr>
                <w:rFonts w:ascii="Calibri" w:hAnsi="Calibri"/>
                <w:sz w:val="24"/>
                <w:szCs w:val="24"/>
              </w:rPr>
              <w:t>Invalidez</w:t>
            </w:r>
            <w:proofErr w:type="spellEnd"/>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993"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1</w:t>
            </w:r>
          </w:p>
        </w:tc>
        <w:tc>
          <w:tcPr>
            <w:tcW w:w="992"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2</w:t>
            </w:r>
          </w:p>
        </w:tc>
        <w:tc>
          <w:tcPr>
            <w:tcW w:w="850" w:type="dxa"/>
            <w:shd w:val="clear" w:color="auto" w:fill="FFFFFF" w:themeFill="background1"/>
            <w:vAlign w:val="center"/>
          </w:tcPr>
          <w:p w:rsidR="00FF5C5E" w:rsidRPr="005B09F6" w:rsidRDefault="00FF5C5E" w:rsidP="00637C42">
            <w:pPr>
              <w:ind w:left="-113"/>
              <w:jc w:val="center"/>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hAnsi="Calibri"/>
                <w:sz w:val="24"/>
                <w:szCs w:val="24"/>
              </w:rPr>
              <w:t>4</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480"/>
        </w:trPr>
        <w:tc>
          <w:tcPr>
            <w:cnfStyle w:val="001000000000" w:firstRow="0" w:lastRow="0" w:firstColumn="1" w:lastColumn="0" w:oddVBand="0" w:evenVBand="0" w:oddHBand="0" w:evenHBand="0" w:firstRowFirstColumn="0" w:firstRowLastColumn="0" w:lastRowFirstColumn="0" w:lastRowLastColumn="0"/>
            <w:tcW w:w="8926" w:type="dxa"/>
            <w:gridSpan w:val="5"/>
            <w:tcBorders>
              <w:bottom w:val="single" w:sz="4" w:space="0" w:color="2683C6" w:themeColor="accent2"/>
            </w:tcBorders>
            <w:shd w:val="clear" w:color="auto" w:fill="FFFFFF" w:themeFill="background1"/>
            <w:vAlign w:val="center"/>
          </w:tcPr>
          <w:p w:rsidR="00FF5C5E" w:rsidRPr="005B09F6" w:rsidRDefault="00FF5C5E" w:rsidP="00637C42">
            <w:pPr>
              <w:jc w:val="both"/>
              <w:rPr>
                <w:rFonts w:ascii="Calibri" w:hAnsi="Calibri"/>
                <w:b w:val="0"/>
                <w:sz w:val="24"/>
                <w:szCs w:val="24"/>
              </w:rPr>
            </w:pPr>
            <w:r w:rsidRPr="005B09F6">
              <w:rPr>
                <w:rFonts w:ascii="Calibri" w:hAnsi="Calibri"/>
                <w:b w:val="0"/>
                <w:sz w:val="24"/>
                <w:szCs w:val="24"/>
              </w:rPr>
              <w:t xml:space="preserve"> TOTAL</w:t>
            </w:r>
          </w:p>
        </w:tc>
        <w:tc>
          <w:tcPr>
            <w:tcW w:w="850" w:type="dxa"/>
            <w:tcBorders>
              <w:bottom w:val="single" w:sz="4" w:space="0" w:color="2683C6" w:themeColor="accent2"/>
            </w:tcBorders>
            <w:shd w:val="clear" w:color="auto" w:fill="FFFFFF" w:themeFill="background1"/>
            <w:vAlign w:val="center"/>
          </w:tcPr>
          <w:p w:rsidR="00FF5C5E" w:rsidRPr="005B09F6" w:rsidRDefault="00FF5C5E" w:rsidP="00637C42">
            <w:pPr>
              <w:ind w:left="-113"/>
              <w:jc w:val="center"/>
              <w:cnfStyle w:val="000000100000" w:firstRow="0" w:lastRow="0" w:firstColumn="0" w:lastColumn="0" w:oddVBand="0" w:evenVBand="0" w:oddHBand="1" w:evenHBand="0" w:firstRowFirstColumn="0" w:firstRowLastColumn="0" w:lastRowFirstColumn="0" w:lastRowLastColumn="0"/>
              <w:rPr>
                <w:rFonts w:ascii="Calibri" w:hAnsi="Calibri"/>
                <w:sz w:val="24"/>
                <w:szCs w:val="24"/>
              </w:rPr>
            </w:pPr>
            <w:r w:rsidRPr="005B09F6">
              <w:rPr>
                <w:rFonts w:ascii="Calibri" w:hAnsi="Calibri"/>
                <w:sz w:val="24"/>
                <w:szCs w:val="24"/>
              </w:rPr>
              <w:t>83</w:t>
            </w:r>
          </w:p>
        </w:tc>
      </w:tr>
    </w:tbl>
    <w:p w:rsidR="00FF5C5E" w:rsidRPr="005B09F6" w:rsidRDefault="00B37896" w:rsidP="0079121C">
      <w:pPr>
        <w:pStyle w:val="Ttulo2"/>
        <w:rPr>
          <w:rFonts w:ascii="Calibri" w:hAnsi="Calibri"/>
          <w:sz w:val="24"/>
          <w:szCs w:val="24"/>
        </w:rPr>
      </w:pPr>
      <w:bookmarkStart w:id="115" w:name="_Toc479081348"/>
      <w:r w:rsidRPr="005B09F6">
        <w:rPr>
          <w:rFonts w:ascii="Calibri" w:hAnsi="Calibri"/>
          <w:sz w:val="24"/>
          <w:szCs w:val="24"/>
        </w:rPr>
        <w:t>4</w:t>
      </w:r>
      <w:r w:rsidR="006A0D4B" w:rsidRPr="005B09F6">
        <w:rPr>
          <w:rFonts w:ascii="Calibri" w:hAnsi="Calibri"/>
          <w:sz w:val="24"/>
          <w:szCs w:val="24"/>
        </w:rPr>
        <w:t>.2</w:t>
      </w:r>
      <w:r w:rsidR="008D7859" w:rsidRPr="005B09F6">
        <w:rPr>
          <w:rFonts w:ascii="Calibri" w:hAnsi="Calibri"/>
          <w:sz w:val="24"/>
          <w:szCs w:val="24"/>
        </w:rPr>
        <w:tab/>
      </w:r>
      <w:r w:rsidR="00735D74" w:rsidRPr="005B09F6">
        <w:rPr>
          <w:rFonts w:ascii="Calibri" w:hAnsi="Calibri"/>
          <w:sz w:val="24"/>
          <w:szCs w:val="24"/>
        </w:rPr>
        <w:t>Lógica do Modelo</w:t>
      </w:r>
      <w:bookmarkEnd w:id="115"/>
    </w:p>
    <w:p w:rsidR="00FF5C5E" w:rsidRPr="005B09F6" w:rsidRDefault="00FF5C5E" w:rsidP="00735D74">
      <w:pPr>
        <w:spacing w:before="360" w:line="360" w:lineRule="auto"/>
        <w:jc w:val="both"/>
        <w:rPr>
          <w:rFonts w:ascii="Calibri" w:eastAsiaTheme="minorEastAsia" w:hAnsi="Calibri"/>
          <w:sz w:val="24"/>
          <w:szCs w:val="24"/>
        </w:rPr>
      </w:pPr>
      <w:r w:rsidRPr="005B09F6">
        <w:rPr>
          <w:rFonts w:ascii="Calibri" w:eastAsiaTheme="minorEastAsia" w:hAnsi="Calibri"/>
          <w:sz w:val="24"/>
          <w:szCs w:val="24"/>
        </w:rPr>
        <w:t xml:space="preserve">De maneira sucinta, o modelo de projeções fiscais de receitas e despesas previdenciárias e assistenciais funciona de acordo com a Figura 1 abaixo. Inicialmente, parte-se da projeção das </w:t>
      </w:r>
      <w:r w:rsidRPr="005B09F6">
        <w:rPr>
          <w:rFonts w:ascii="Calibri" w:eastAsiaTheme="minorEastAsia" w:hAnsi="Calibri"/>
          <w:b/>
          <w:i/>
          <w:sz w:val="24"/>
          <w:szCs w:val="24"/>
        </w:rPr>
        <w:t>quantidades</w:t>
      </w:r>
      <w:r w:rsidRPr="005B09F6">
        <w:rPr>
          <w:rFonts w:ascii="Calibri" w:eastAsiaTheme="minorEastAsia" w:hAnsi="Calibri"/>
          <w:b/>
          <w:sz w:val="24"/>
          <w:szCs w:val="24"/>
        </w:rPr>
        <w:t xml:space="preserve"> </w:t>
      </w:r>
      <w:r w:rsidRPr="005B09F6">
        <w:rPr>
          <w:rFonts w:ascii="Calibri" w:eastAsiaTheme="minorEastAsia" w:hAnsi="Calibri"/>
          <w:sz w:val="24"/>
          <w:szCs w:val="24"/>
        </w:rPr>
        <w:t xml:space="preserve">de benefícios (estoques), a qual se dá por meio de estimativas da dinâmica do fluxo de entradas (concessões) e saídas (cessações) de benefícios do sistema, as quais, por sua vez, refletem a transição demográfica em curso no país. Em seguida, é projetada a evolução dos </w:t>
      </w:r>
      <w:r w:rsidRPr="005B09F6">
        <w:rPr>
          <w:rFonts w:ascii="Calibri" w:eastAsiaTheme="minorEastAsia" w:hAnsi="Calibri"/>
          <w:b/>
          <w:i/>
          <w:sz w:val="24"/>
          <w:szCs w:val="24"/>
        </w:rPr>
        <w:t>preços</w:t>
      </w:r>
      <w:r w:rsidRPr="005B09F6">
        <w:rPr>
          <w:rFonts w:ascii="Calibri" w:eastAsiaTheme="minorEastAsia" w:hAnsi="Calibri"/>
          <w:sz w:val="24"/>
          <w:szCs w:val="24"/>
        </w:rPr>
        <w:t xml:space="preserve"> fundamentais para o comportamento da despesa previdenciária, ou seja, dos rendimentos médios de diversos subconjuntos populacionais bem como dos valores e dos reajustes dos benefícios. Por fim, são projetados os </w:t>
      </w:r>
      <w:r w:rsidRPr="005B09F6">
        <w:rPr>
          <w:rFonts w:ascii="Calibri" w:eastAsiaTheme="minorEastAsia" w:hAnsi="Calibri"/>
          <w:b/>
          <w:i/>
          <w:sz w:val="24"/>
          <w:szCs w:val="24"/>
        </w:rPr>
        <w:t>valores</w:t>
      </w:r>
      <w:r w:rsidRPr="005B09F6">
        <w:rPr>
          <w:rFonts w:ascii="Calibri" w:eastAsiaTheme="minorEastAsia" w:hAnsi="Calibri"/>
          <w:sz w:val="24"/>
          <w:szCs w:val="24"/>
        </w:rPr>
        <w:t xml:space="preserve">, referentes ao cômputo das despesas e receitas, bem como das massas salariais de subconjuntos populacionais e crescimento do PIB. Por fim, nota-se que o modelo é </w:t>
      </w:r>
      <w:r w:rsidRPr="005B09F6">
        <w:rPr>
          <w:rFonts w:ascii="Calibri" w:eastAsiaTheme="minorEastAsia" w:hAnsi="Calibri"/>
          <w:b/>
          <w:sz w:val="24"/>
          <w:szCs w:val="24"/>
        </w:rPr>
        <w:t>determinístico</w:t>
      </w:r>
      <w:r w:rsidRPr="005B09F6">
        <w:rPr>
          <w:rFonts w:ascii="Calibri" w:eastAsiaTheme="minorEastAsia" w:hAnsi="Calibri"/>
          <w:sz w:val="24"/>
          <w:szCs w:val="24"/>
        </w:rPr>
        <w:t xml:space="preserve">, ou seja, a partir da fixação de um conjunto de variáveis, o modelo determina de maneira única seus resultados. </w:t>
      </w:r>
    </w:p>
    <w:p w:rsidR="00FF5C5E" w:rsidRPr="005B09F6" w:rsidRDefault="00FF5C5E" w:rsidP="00FF5C5E">
      <w:pPr>
        <w:spacing w:line="360" w:lineRule="auto"/>
        <w:jc w:val="both"/>
        <w:rPr>
          <w:rFonts w:ascii="Calibri" w:eastAsiaTheme="minorEastAsia" w:hAnsi="Calibri"/>
          <w:sz w:val="24"/>
          <w:szCs w:val="24"/>
        </w:rPr>
      </w:pPr>
    </w:p>
    <w:p w:rsidR="00FF5C5E" w:rsidRPr="005B09F6" w:rsidRDefault="00FF5C5E" w:rsidP="00FF5C5E">
      <w:pPr>
        <w:pStyle w:val="Legenda"/>
        <w:spacing w:before="100" w:beforeAutospacing="1" w:after="120"/>
        <w:ind w:left="-6" w:firstLine="6"/>
        <w:rPr>
          <w:rFonts w:ascii="Calibri" w:hAnsi="Calibri"/>
          <w:i w:val="0"/>
          <w:sz w:val="24"/>
          <w:szCs w:val="24"/>
        </w:rPr>
      </w:pPr>
      <w:bookmarkStart w:id="116" w:name="_Ref468287319"/>
      <w:r w:rsidRPr="005B09F6">
        <w:rPr>
          <w:rFonts w:ascii="Calibri" w:hAnsi="Calibri"/>
          <w:b/>
          <w:i w:val="0"/>
          <w:sz w:val="24"/>
          <w:szCs w:val="24"/>
        </w:rPr>
        <w:t xml:space="preserve">Figura </w:t>
      </w:r>
      <w:r w:rsidR="00B37896" w:rsidRPr="005B09F6">
        <w:rPr>
          <w:rFonts w:ascii="Calibri" w:hAnsi="Calibri"/>
          <w:b/>
          <w:i w:val="0"/>
          <w:sz w:val="24"/>
          <w:szCs w:val="24"/>
        </w:rPr>
        <w:t>4</w:t>
      </w:r>
      <w:r w:rsidR="00E85BBB" w:rsidRPr="005B09F6">
        <w:rPr>
          <w:rFonts w:ascii="Calibri" w:hAnsi="Calibri"/>
          <w:b/>
          <w:i w:val="0"/>
          <w:sz w:val="24"/>
          <w:szCs w:val="24"/>
        </w:rPr>
        <w:t>.</w:t>
      </w:r>
      <w:bookmarkEnd w:id="116"/>
      <w:r w:rsidR="00E85BBB" w:rsidRPr="005B09F6">
        <w:rPr>
          <w:rFonts w:ascii="Calibri" w:hAnsi="Calibri"/>
          <w:b/>
          <w:i w:val="0"/>
          <w:sz w:val="24"/>
          <w:szCs w:val="24"/>
        </w:rPr>
        <w:t>1</w:t>
      </w:r>
      <w:r w:rsidR="009B7037" w:rsidRPr="005B09F6">
        <w:rPr>
          <w:rFonts w:ascii="Calibri" w:hAnsi="Calibri"/>
          <w:b/>
          <w:i w:val="0"/>
          <w:sz w:val="24"/>
          <w:szCs w:val="24"/>
        </w:rPr>
        <w:t xml:space="preserve"> </w:t>
      </w:r>
      <w:r w:rsidR="009B7037" w:rsidRPr="005B09F6">
        <w:rPr>
          <w:rFonts w:ascii="Calibri" w:hAnsi="Calibri"/>
          <w:i w:val="0"/>
          <w:sz w:val="24"/>
          <w:szCs w:val="24"/>
        </w:rPr>
        <w:t>―</w:t>
      </w:r>
      <w:r w:rsidR="009B7037" w:rsidRPr="005B09F6">
        <w:rPr>
          <w:rFonts w:ascii="Calibri" w:hAnsi="Calibri"/>
          <w:b/>
          <w:i w:val="0"/>
          <w:sz w:val="24"/>
          <w:szCs w:val="24"/>
        </w:rPr>
        <w:t xml:space="preserve"> </w:t>
      </w:r>
      <w:r w:rsidRPr="005B09F6">
        <w:rPr>
          <w:rFonts w:ascii="Calibri" w:hAnsi="Calibri"/>
          <w:i w:val="0"/>
          <w:sz w:val="24"/>
          <w:szCs w:val="24"/>
        </w:rPr>
        <w:t xml:space="preserve">Esquema da estrutura geral do modelo </w:t>
      </w:r>
    </w:p>
    <w:p w:rsidR="00FF5C5E" w:rsidRPr="005B09F6" w:rsidRDefault="00FF5C5E" w:rsidP="00FF5C5E">
      <w:pPr>
        <w:rPr>
          <w:rFonts w:ascii="Calibri" w:hAnsi="Calibri"/>
          <w:sz w:val="24"/>
          <w:szCs w:val="24"/>
        </w:rPr>
      </w:pPr>
    </w:p>
    <w:p w:rsidR="00FF5C5E" w:rsidRPr="005B09F6" w:rsidRDefault="00FF5C5E" w:rsidP="00FF5C5E">
      <w:pPr>
        <w:jc w:val="center"/>
        <w:rPr>
          <w:rFonts w:ascii="Calibri" w:hAnsi="Calibri"/>
          <w:sz w:val="24"/>
          <w:szCs w:val="24"/>
        </w:rPr>
      </w:pPr>
      <w:r w:rsidRPr="005B09F6">
        <w:rPr>
          <w:rFonts w:ascii="Calibri" w:hAnsi="Calibri"/>
          <w:noProof/>
          <w:sz w:val="24"/>
          <w:szCs w:val="24"/>
          <w:lang w:eastAsia="pt-BR"/>
        </w:rPr>
        <w:drawing>
          <wp:inline distT="0" distB="0" distL="0" distR="0" wp14:anchorId="55C6C5DE" wp14:editId="45A1BA80">
            <wp:extent cx="6192520" cy="266827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192520" cy="2668270"/>
                    </a:xfrm>
                    <a:prstGeom prst="rect">
                      <a:avLst/>
                    </a:prstGeom>
                  </pic:spPr>
                </pic:pic>
              </a:graphicData>
            </a:graphic>
          </wp:inline>
        </w:drawing>
      </w:r>
    </w:p>
    <w:p w:rsidR="00FF5C5E" w:rsidRPr="005B09F6" w:rsidRDefault="00FF5C5E" w:rsidP="00FF5C5E">
      <w:pPr>
        <w:jc w:val="center"/>
        <w:rPr>
          <w:rFonts w:ascii="Calibri" w:eastAsiaTheme="minorEastAsia" w:hAnsi="Calibri"/>
          <w:sz w:val="24"/>
          <w:szCs w:val="24"/>
        </w:rPr>
      </w:pPr>
    </w:p>
    <w:p w:rsidR="00FF5C5E" w:rsidRPr="005B09F6" w:rsidRDefault="00FF5C5E" w:rsidP="00FF5C5E">
      <w:pPr>
        <w:spacing w:line="360" w:lineRule="auto"/>
        <w:rPr>
          <w:rFonts w:ascii="Calibri" w:hAnsi="Calibri"/>
          <w:b/>
          <w:color w:val="1F4429" w:themeColor="accent5" w:themeShade="80"/>
          <w:sz w:val="24"/>
          <w:szCs w:val="24"/>
        </w:rPr>
      </w:pPr>
    </w:p>
    <w:p w:rsidR="00FF5C5E" w:rsidRPr="005B09F6" w:rsidRDefault="00FF5C5E" w:rsidP="00FF5C5E">
      <w:pPr>
        <w:rPr>
          <w:rFonts w:ascii="Calibri" w:hAnsi="Calibri"/>
          <w:b/>
          <w:color w:val="1F4429" w:themeColor="accent5" w:themeShade="80"/>
          <w:sz w:val="24"/>
          <w:szCs w:val="24"/>
        </w:rPr>
      </w:pPr>
      <w:r w:rsidRPr="005B09F6">
        <w:rPr>
          <w:rFonts w:ascii="Calibri" w:hAnsi="Calibri"/>
          <w:b/>
          <w:color w:val="1F4429" w:themeColor="accent5" w:themeShade="80"/>
          <w:sz w:val="24"/>
          <w:szCs w:val="24"/>
        </w:rPr>
        <w:br w:type="page"/>
      </w:r>
    </w:p>
    <w:p w:rsidR="00FF5C5E" w:rsidRPr="005B09F6" w:rsidRDefault="00B37896" w:rsidP="0079121C">
      <w:pPr>
        <w:pStyle w:val="Ttulo2"/>
        <w:rPr>
          <w:rFonts w:ascii="Calibri" w:hAnsi="Calibri"/>
          <w:sz w:val="24"/>
          <w:szCs w:val="24"/>
        </w:rPr>
      </w:pPr>
      <w:bookmarkStart w:id="117" w:name="_Toc479081349"/>
      <w:r w:rsidRPr="005B09F6">
        <w:rPr>
          <w:rFonts w:ascii="Calibri" w:hAnsi="Calibri"/>
          <w:sz w:val="24"/>
          <w:szCs w:val="24"/>
        </w:rPr>
        <w:t>4</w:t>
      </w:r>
      <w:r w:rsidR="006A0D4B" w:rsidRPr="005B09F6">
        <w:rPr>
          <w:rFonts w:ascii="Calibri" w:hAnsi="Calibri"/>
          <w:sz w:val="24"/>
          <w:szCs w:val="24"/>
        </w:rPr>
        <w:t>.3</w:t>
      </w:r>
      <w:r w:rsidR="008D7859" w:rsidRPr="005B09F6">
        <w:rPr>
          <w:rFonts w:ascii="Calibri" w:hAnsi="Calibri"/>
          <w:sz w:val="24"/>
          <w:szCs w:val="24"/>
        </w:rPr>
        <w:tab/>
      </w:r>
      <w:r w:rsidR="001232C4" w:rsidRPr="005B09F6">
        <w:rPr>
          <w:rFonts w:ascii="Calibri" w:hAnsi="Calibri"/>
          <w:sz w:val="24"/>
          <w:szCs w:val="24"/>
        </w:rPr>
        <w:t>Quantidades</w:t>
      </w:r>
      <w:bookmarkEnd w:id="117"/>
    </w:p>
    <w:p w:rsidR="00FF5C5E" w:rsidRPr="005B09F6" w:rsidRDefault="00FF5C5E" w:rsidP="008D7859">
      <w:pPr>
        <w:spacing w:before="1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Subconjuntos populacionais</w:t>
      </w:r>
    </w:p>
    <w:p w:rsidR="00FF5C5E" w:rsidRPr="005B09F6" w:rsidRDefault="00FF5C5E" w:rsidP="00FF5C5E">
      <w:pPr>
        <w:spacing w:line="360" w:lineRule="auto"/>
        <w:jc w:val="both"/>
        <w:rPr>
          <w:rFonts w:ascii="Calibri" w:eastAsiaTheme="minorEastAsia" w:hAnsi="Calibri"/>
          <w:sz w:val="24"/>
          <w:szCs w:val="24"/>
        </w:rPr>
      </w:pPr>
      <w:r w:rsidRPr="005B09F6">
        <w:rPr>
          <w:rFonts w:ascii="Calibri" w:eastAsiaTheme="minorEastAsia" w:hAnsi="Calibri"/>
          <w:sz w:val="24"/>
          <w:szCs w:val="24"/>
        </w:rPr>
        <w:t xml:space="preserve">A projeção das </w:t>
      </w:r>
      <w:r w:rsidRPr="005B09F6">
        <w:rPr>
          <w:rFonts w:ascii="Calibri" w:eastAsiaTheme="minorEastAsia" w:hAnsi="Calibri"/>
          <w:b/>
          <w:i/>
          <w:sz w:val="24"/>
          <w:szCs w:val="24"/>
        </w:rPr>
        <w:t>quantidades</w:t>
      </w:r>
      <w:r w:rsidRPr="005B09F6">
        <w:rPr>
          <w:rFonts w:ascii="Calibri" w:eastAsiaTheme="minorEastAsia" w:hAnsi="Calibri"/>
          <w:sz w:val="24"/>
          <w:szCs w:val="24"/>
        </w:rPr>
        <w:t xml:space="preserve"> de benefícios é realizada por meio de coortes populacionais de idade e sexo ao longo do tempo (</w:t>
      </w:r>
      <w:proofErr w:type="spellStart"/>
      <w:r w:rsidRPr="005B09F6">
        <w:rPr>
          <w:rFonts w:ascii="Calibri" w:eastAsiaTheme="minorEastAsia" w:hAnsi="Calibri"/>
          <w:i/>
          <w:sz w:val="24"/>
          <w:szCs w:val="24"/>
        </w:rPr>
        <w:t>i</w:t>
      </w:r>
      <w:r w:rsidRPr="005B09F6">
        <w:rPr>
          <w:rFonts w:ascii="Calibri" w:eastAsiaTheme="minorEastAsia" w:hAnsi="Calibri"/>
          <w:sz w:val="24"/>
          <w:szCs w:val="24"/>
        </w:rPr>
        <w:t>,</w:t>
      </w:r>
      <w:r w:rsidRPr="005B09F6">
        <w:rPr>
          <w:rFonts w:ascii="Calibri" w:eastAsiaTheme="minorEastAsia" w:hAnsi="Calibri"/>
          <w:i/>
          <w:sz w:val="24"/>
          <w:szCs w:val="24"/>
        </w:rPr>
        <w:t>s</w:t>
      </w:r>
      <w:r w:rsidRPr="005B09F6">
        <w:rPr>
          <w:rFonts w:ascii="Calibri" w:eastAsiaTheme="minorEastAsia" w:hAnsi="Calibri"/>
          <w:sz w:val="24"/>
          <w:szCs w:val="24"/>
        </w:rPr>
        <w:t>,</w:t>
      </w:r>
      <w:r w:rsidRPr="005B09F6">
        <w:rPr>
          <w:rFonts w:ascii="Calibri" w:eastAsiaTheme="minorEastAsia" w:hAnsi="Calibri"/>
          <w:i/>
          <w:sz w:val="24"/>
          <w:szCs w:val="24"/>
        </w:rPr>
        <w:t>t</w:t>
      </w:r>
      <w:proofErr w:type="spellEnd"/>
      <w:r w:rsidRPr="005B09F6">
        <w:rPr>
          <w:rFonts w:ascii="Calibri" w:eastAsiaTheme="minorEastAsia" w:hAnsi="Calibri"/>
          <w:sz w:val="24"/>
          <w:szCs w:val="24"/>
        </w:rPr>
        <w:t>), de maneira a decompor a população como um todo nos seguintes subconjuntos populacionais: população economicamente ativa (PEA), população ocupada (</w:t>
      </w:r>
      <w:proofErr w:type="spellStart"/>
      <w:r w:rsidRPr="005B09F6">
        <w:rPr>
          <w:rFonts w:ascii="Calibri" w:eastAsiaTheme="minorEastAsia" w:hAnsi="Calibri"/>
          <w:sz w:val="24"/>
          <w:szCs w:val="24"/>
        </w:rPr>
        <w:t>Ocup</w:t>
      </w:r>
      <w:proofErr w:type="spellEnd"/>
      <w:r w:rsidRPr="005B09F6">
        <w:rPr>
          <w:rFonts w:ascii="Calibri" w:eastAsiaTheme="minorEastAsia" w:hAnsi="Calibri"/>
          <w:sz w:val="24"/>
          <w:szCs w:val="24"/>
        </w:rPr>
        <w:t>), a qual abrange os trabalhadores contribuintes (formais) e não contribuintes (informais); a população contribuinte (</w:t>
      </w:r>
      <w:proofErr w:type="spellStart"/>
      <w:r w:rsidRPr="005B09F6">
        <w:rPr>
          <w:rFonts w:ascii="Calibri" w:eastAsiaTheme="minorEastAsia" w:hAnsi="Calibri"/>
          <w:sz w:val="24"/>
          <w:szCs w:val="24"/>
        </w:rPr>
        <w:t>Contr</w:t>
      </w:r>
      <w:proofErr w:type="spellEnd"/>
      <w:r w:rsidRPr="005B09F6">
        <w:rPr>
          <w:rFonts w:ascii="Calibri" w:eastAsiaTheme="minorEastAsia" w:hAnsi="Calibri"/>
          <w:sz w:val="24"/>
          <w:szCs w:val="24"/>
        </w:rPr>
        <w:t>), e sua decomposição por renda que aufere um SM (</w:t>
      </w:r>
      <w:proofErr w:type="spellStart"/>
      <w:r w:rsidRPr="005B09F6">
        <w:rPr>
          <w:rFonts w:ascii="Calibri" w:eastAsiaTheme="minorEastAsia" w:hAnsi="Calibri"/>
          <w:sz w:val="24"/>
          <w:szCs w:val="24"/>
        </w:rPr>
        <w:t>Csm</w:t>
      </w:r>
      <w:proofErr w:type="spellEnd"/>
      <w:r w:rsidRPr="005B09F6">
        <w:rPr>
          <w:rFonts w:ascii="Calibri" w:eastAsiaTheme="minorEastAsia" w:hAnsi="Calibri"/>
          <w:sz w:val="24"/>
          <w:szCs w:val="24"/>
        </w:rPr>
        <w:t xml:space="preserve">) e acima do SM (Ca), de acordo com a Figura </w:t>
      </w:r>
      <w:r w:rsidR="00B37896" w:rsidRPr="005B09F6">
        <w:rPr>
          <w:rFonts w:ascii="Calibri" w:eastAsiaTheme="minorEastAsia" w:hAnsi="Calibri"/>
          <w:sz w:val="24"/>
          <w:szCs w:val="24"/>
        </w:rPr>
        <w:t>4.</w:t>
      </w:r>
      <w:r w:rsidRPr="005B09F6">
        <w:rPr>
          <w:rFonts w:ascii="Calibri" w:eastAsiaTheme="minorEastAsia" w:hAnsi="Calibri"/>
          <w:sz w:val="24"/>
          <w:szCs w:val="24"/>
        </w:rPr>
        <w:t>2 abaixo. Nota-se que a modelagem da evolução dinâmica do mercado de trabalho é necessária para a estimação da quantidade de segurados passível de se tornarem elegíveis aos benefícios previdenciários. Ressalta-se que a modelagem de cada etapa da decomposição populacional possui como objetivo permitir uma maior flexibilidade ao modelo, de maneira a possibilitar a simulação de diferentes cenários de evolução do mercado de trabalho sobre as projeções fiscais previdenciárias.</w:t>
      </w:r>
      <w:r w:rsidRPr="005B09F6">
        <w:rPr>
          <w:rStyle w:val="Refdenotaderodap"/>
          <w:rFonts w:ascii="Calibri" w:eastAsiaTheme="minorEastAsia" w:hAnsi="Calibri"/>
          <w:sz w:val="24"/>
          <w:szCs w:val="24"/>
        </w:rPr>
        <w:footnoteReference w:id="7"/>
      </w:r>
    </w:p>
    <w:p w:rsidR="00FF5C5E" w:rsidRPr="005B09F6" w:rsidRDefault="00FF5C5E" w:rsidP="00FF5C5E">
      <w:pPr>
        <w:spacing w:line="360" w:lineRule="auto"/>
        <w:jc w:val="both"/>
        <w:rPr>
          <w:rFonts w:ascii="Calibri" w:eastAsiaTheme="minorEastAsia" w:hAnsi="Calibri"/>
          <w:sz w:val="24"/>
          <w:szCs w:val="24"/>
        </w:rPr>
      </w:pPr>
    </w:p>
    <w:p w:rsidR="00FF5C5E" w:rsidRPr="005B09F6" w:rsidRDefault="00FF5C5E" w:rsidP="00FF5C5E">
      <w:pPr>
        <w:pStyle w:val="Legenda"/>
        <w:spacing w:after="120"/>
        <w:ind w:left="-6" w:firstLine="6"/>
        <w:rPr>
          <w:rFonts w:ascii="Calibri" w:hAnsi="Calibri"/>
          <w:i w:val="0"/>
          <w:sz w:val="24"/>
          <w:szCs w:val="24"/>
        </w:rPr>
      </w:pPr>
      <w:r w:rsidRPr="005B09F6">
        <w:rPr>
          <w:rFonts w:ascii="Calibri" w:hAnsi="Calibri"/>
          <w:b/>
          <w:i w:val="0"/>
          <w:sz w:val="24"/>
          <w:szCs w:val="24"/>
        </w:rPr>
        <w:t xml:space="preserve">Figura </w:t>
      </w:r>
      <w:r w:rsidR="00B37896" w:rsidRPr="005B09F6">
        <w:rPr>
          <w:rFonts w:ascii="Calibri" w:hAnsi="Calibri"/>
          <w:b/>
          <w:i w:val="0"/>
          <w:sz w:val="24"/>
          <w:szCs w:val="24"/>
        </w:rPr>
        <w:t>4</w:t>
      </w:r>
      <w:r w:rsidR="00E85BBB" w:rsidRPr="005B09F6">
        <w:rPr>
          <w:rFonts w:ascii="Calibri" w:hAnsi="Calibri"/>
          <w:b/>
          <w:i w:val="0"/>
          <w:sz w:val="24"/>
          <w:szCs w:val="24"/>
        </w:rPr>
        <w:t>.</w:t>
      </w:r>
      <w:r w:rsidR="0079651D" w:rsidRPr="005B09F6">
        <w:rPr>
          <w:rFonts w:ascii="Calibri" w:hAnsi="Calibri"/>
          <w:b/>
          <w:i w:val="0"/>
          <w:sz w:val="24"/>
          <w:szCs w:val="24"/>
        </w:rPr>
        <w:t>2</w:t>
      </w:r>
      <w:r w:rsidR="00E85BBB" w:rsidRPr="005B09F6">
        <w:rPr>
          <w:rFonts w:ascii="Calibri" w:hAnsi="Calibri"/>
          <w:b/>
          <w:i w:val="0"/>
          <w:sz w:val="24"/>
          <w:szCs w:val="24"/>
        </w:rPr>
        <w:t xml:space="preserve"> </w:t>
      </w:r>
      <w:r w:rsidR="00E85BBB" w:rsidRPr="005B09F6">
        <w:rPr>
          <w:rFonts w:ascii="Calibri" w:hAnsi="Calibri"/>
          <w:i w:val="0"/>
          <w:sz w:val="24"/>
          <w:szCs w:val="24"/>
        </w:rPr>
        <w:t>―</w:t>
      </w:r>
      <w:r w:rsidR="00E85BBB" w:rsidRPr="005B09F6">
        <w:rPr>
          <w:rFonts w:ascii="Calibri" w:hAnsi="Calibri"/>
          <w:b/>
          <w:i w:val="0"/>
          <w:sz w:val="24"/>
          <w:szCs w:val="24"/>
        </w:rPr>
        <w:t xml:space="preserve"> </w:t>
      </w:r>
      <w:r w:rsidRPr="005B09F6">
        <w:rPr>
          <w:rFonts w:ascii="Calibri" w:hAnsi="Calibri"/>
          <w:i w:val="0"/>
          <w:sz w:val="24"/>
          <w:szCs w:val="24"/>
        </w:rPr>
        <w:t>Decomposição dos subconjuntos populacionais</w:t>
      </w:r>
    </w:p>
    <w:p w:rsidR="00FF5C5E" w:rsidRPr="005B09F6" w:rsidRDefault="00FF5C5E" w:rsidP="00FF5C5E">
      <w:pPr>
        <w:spacing w:line="360" w:lineRule="auto"/>
        <w:jc w:val="center"/>
        <w:rPr>
          <w:rFonts w:ascii="Calibri" w:eastAsiaTheme="minorEastAsia" w:hAnsi="Calibri"/>
          <w:sz w:val="24"/>
          <w:szCs w:val="24"/>
        </w:rPr>
      </w:pPr>
      <w:r w:rsidRPr="005B09F6">
        <w:rPr>
          <w:rFonts w:ascii="Calibri" w:hAnsi="Calibri"/>
          <w:noProof/>
          <w:sz w:val="24"/>
          <w:szCs w:val="24"/>
          <w:lang w:eastAsia="pt-BR"/>
        </w:rPr>
        <w:drawing>
          <wp:inline distT="0" distB="0" distL="0" distR="0" wp14:anchorId="687CAD12" wp14:editId="12086CF3">
            <wp:extent cx="5897317" cy="2588846"/>
            <wp:effectExtent l="0" t="0" r="8255" b="254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08732" cy="2593857"/>
                    </a:xfrm>
                    <a:prstGeom prst="rect">
                      <a:avLst/>
                    </a:prstGeom>
                  </pic:spPr>
                </pic:pic>
              </a:graphicData>
            </a:graphic>
          </wp:inline>
        </w:drawing>
      </w:r>
    </w:p>
    <w:p w:rsidR="00FF5C5E" w:rsidRPr="005B09F6" w:rsidRDefault="00FF5C5E" w:rsidP="00FF5C5E">
      <w:pPr>
        <w:spacing w:line="360" w:lineRule="auto"/>
        <w:jc w:val="center"/>
        <w:rPr>
          <w:rFonts w:ascii="Calibri" w:eastAsiaTheme="minorEastAsia" w:hAnsi="Calibri"/>
          <w:sz w:val="24"/>
          <w:szCs w:val="24"/>
        </w:rPr>
      </w:pPr>
    </w:p>
    <w:p w:rsidR="00FF5C5E" w:rsidRPr="005B09F6" w:rsidRDefault="00FF5C5E" w:rsidP="00FF5C5E">
      <w:pPr>
        <w:spacing w:line="360" w:lineRule="auto"/>
        <w:jc w:val="both"/>
        <w:rPr>
          <w:rFonts w:ascii="Calibri" w:hAnsi="Calibri"/>
          <w:sz w:val="24"/>
          <w:szCs w:val="24"/>
        </w:rPr>
      </w:pP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 xml:space="preserve">Nesse sentido, parte-se da decomposição da população por clientela entre Urbana e Rural, segundo as equações </w:t>
      </w:r>
      <w:r w:rsidRPr="005B09F6">
        <w:rPr>
          <w:rFonts w:ascii="Calibri" w:hAnsi="Calibri"/>
          <w:sz w:val="24"/>
          <w:szCs w:val="24"/>
        </w:rPr>
        <w:fldChar w:fldCharType="begin"/>
      </w:r>
      <w:r w:rsidRPr="005B09F6">
        <w:rPr>
          <w:rFonts w:ascii="Calibri" w:hAnsi="Calibri"/>
          <w:sz w:val="24"/>
          <w:szCs w:val="24"/>
        </w:rPr>
        <w:instrText xml:space="preserve"> REF _Ref468183829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(1)</w:t>
      </w:r>
      <w:r w:rsidRPr="005B09F6">
        <w:rPr>
          <w:rFonts w:ascii="Calibri" w:hAnsi="Calibri"/>
          <w:sz w:val="24"/>
          <w:szCs w:val="24"/>
        </w:rPr>
        <w:fldChar w:fldCharType="end"/>
      </w:r>
      <w:r w:rsidRPr="005B09F6">
        <w:rPr>
          <w:rFonts w:ascii="Calibri" w:hAnsi="Calibri"/>
          <w:sz w:val="24"/>
          <w:szCs w:val="24"/>
        </w:rPr>
        <w:t xml:space="preserve"> e </w:t>
      </w:r>
      <w:r w:rsidRPr="005B09F6">
        <w:rPr>
          <w:rFonts w:ascii="Calibri" w:hAnsi="Calibri"/>
          <w:sz w:val="24"/>
          <w:szCs w:val="24"/>
        </w:rPr>
        <w:fldChar w:fldCharType="begin"/>
      </w:r>
      <w:r w:rsidRPr="005B09F6">
        <w:rPr>
          <w:rFonts w:ascii="Calibri" w:hAnsi="Calibri"/>
          <w:sz w:val="24"/>
          <w:szCs w:val="24"/>
        </w:rPr>
        <w:instrText xml:space="preserve"> REF _Ref468183843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(2)</w:t>
      </w:r>
      <w:r w:rsidRPr="005B09F6">
        <w:rPr>
          <w:rFonts w:ascii="Calibri" w:hAnsi="Calibri"/>
          <w:sz w:val="24"/>
          <w:szCs w:val="24"/>
        </w:rPr>
        <w:fldChar w:fldCharType="end"/>
      </w:r>
      <w:r w:rsidRPr="005B09F6">
        <w:rPr>
          <w:rFonts w:ascii="Calibri" w:hAnsi="Calibri"/>
          <w:sz w:val="24"/>
          <w:szCs w:val="24"/>
        </w:rPr>
        <w:t>, a qual é realizada por meio da taxa de urbanização (</w:t>
      </w:r>
      <m:oMath>
        <m:sPre>
          <m:sPrePr>
            <m:ctrlPr>
              <w:rPr>
                <w:rFonts w:ascii="Cambria Math" w:hAnsi="Cambria Math"/>
                <w:sz w:val="24"/>
                <w:szCs w:val="24"/>
              </w:rPr>
            </m:ctrlPr>
          </m:sPrePr>
          <m:sub>
            <m:r>
              <w:rPr>
                <w:rFonts w:ascii="Cambria Math" w:hAnsi="Cambria Math"/>
                <w:sz w:val="24"/>
                <w:szCs w:val="24"/>
              </w:rPr>
              <m:t>U</m:t>
            </m:r>
          </m:sub>
          <m:sup/>
          <m:e>
            <m:sSubSup>
              <m:sSubSupPr>
                <m:ctrlPr>
                  <w:rPr>
                    <w:rFonts w:ascii="Cambria Math" w:hAnsi="Cambria Math"/>
                    <w:sz w:val="24"/>
                    <w:szCs w:val="24"/>
                  </w:rPr>
                </m:ctrlPr>
              </m:sSubSupPr>
              <m:e>
                <m:r>
                  <w:rPr>
                    <w:rFonts w:ascii="Cambria Math" w:hAnsi="Cambria Math"/>
                    <w:sz w:val="24"/>
                    <w:szCs w:val="24"/>
                  </w:rPr>
                  <m:t>μ</m:t>
                </m:r>
              </m:e>
              <m:sub>
                <m:r>
                  <w:rPr>
                    <w:rFonts w:ascii="Cambria Math" w:hAnsi="Cambria Math"/>
                    <w:sz w:val="24"/>
                    <w:szCs w:val="24"/>
                  </w:rPr>
                  <m:t>i</m:t>
                </m:r>
                <m:r>
                  <m:rPr>
                    <m:sty m:val="p"/>
                  </m:rPr>
                  <w:rPr>
                    <w:rFonts w:ascii="Cambria Math" w:hAnsi="Cambria Math"/>
                    <w:sz w:val="24"/>
                    <w:szCs w:val="24"/>
                  </w:rPr>
                  <m:t>,</m:t>
                </m:r>
                <m:r>
                  <w:rPr>
                    <w:rFonts w:ascii="Cambria Math" w:hAnsi="Cambria Math"/>
                    <w:sz w:val="24"/>
                    <w:szCs w:val="24"/>
                  </w:rPr>
                  <m:t>t</m:t>
                </m:r>
                <m:r>
                  <m:rPr>
                    <m:sty m:val="p"/>
                  </m:rPr>
                  <w:rPr>
                    <w:rFonts w:ascii="Cambria Math" w:hAnsi="Cambria Math"/>
                    <w:sz w:val="24"/>
                    <w:szCs w:val="24"/>
                  </w:rPr>
                  <m:t xml:space="preserve"> </m:t>
                </m:r>
              </m:sub>
              <m:sup>
                <m:r>
                  <w:rPr>
                    <w:rFonts w:ascii="Cambria Math" w:hAnsi="Cambria Math"/>
                    <w:sz w:val="24"/>
                    <w:szCs w:val="24"/>
                  </w:rPr>
                  <m:t>s</m:t>
                </m:r>
              </m:sup>
            </m:sSubSup>
          </m:e>
        </m:sPre>
      </m:oMath>
      <w:r w:rsidRPr="005B09F6">
        <w:rPr>
          <w:rFonts w:ascii="Calibri" w:hAnsi="Calibri"/>
          <w:sz w:val="24"/>
          <w:szCs w:val="24"/>
        </w:rPr>
        <w:t xml:space="preserve">), variável que possui dinâmica explicitada em </w:t>
      </w:r>
      <w:r w:rsidRPr="005B09F6">
        <w:rPr>
          <w:rFonts w:ascii="Calibri" w:hAnsi="Calibri"/>
          <w:sz w:val="24"/>
          <w:szCs w:val="24"/>
        </w:rPr>
        <w:fldChar w:fldCharType="begin"/>
      </w:r>
      <w:r w:rsidRPr="005B09F6">
        <w:rPr>
          <w:rFonts w:ascii="Calibri" w:hAnsi="Calibri"/>
          <w:sz w:val="24"/>
          <w:szCs w:val="24"/>
        </w:rPr>
        <w:instrText xml:space="preserve"> REF _Ref468183871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(3)</w:t>
      </w:r>
      <w:r w:rsidRPr="005B09F6">
        <w:rPr>
          <w:rFonts w:ascii="Calibri" w:hAnsi="Calibri"/>
          <w:sz w:val="24"/>
          <w:szCs w:val="24"/>
        </w:rPr>
        <w:fldChar w:fldCharType="end"/>
      </w:r>
      <w:r w:rsidRPr="005B09F6">
        <w:rPr>
          <w:rFonts w:ascii="Calibri" w:hAnsi="Calibri"/>
          <w:sz w:val="24"/>
          <w:szCs w:val="24"/>
        </w:rPr>
        <w:t xml:space="preserve">, onde </w:t>
      </w:r>
      <m:oMath>
        <m:sSub>
          <m:sSubPr>
            <m:ctrlPr>
              <w:rPr>
                <w:rFonts w:ascii="Cambria Math" w:hAnsi="Cambria Math"/>
                <w:sz w:val="24"/>
                <w:szCs w:val="24"/>
              </w:rPr>
            </m:ctrlPr>
          </m:sSubPr>
          <m:e>
            <m:bar>
              <m:barPr>
                <m:pos m:val="top"/>
                <m:ctrlPr>
                  <w:rPr>
                    <w:rFonts w:ascii="Cambria Math" w:hAnsi="Cambria Math"/>
                    <w:sz w:val="24"/>
                    <w:szCs w:val="24"/>
                  </w:rPr>
                </m:ctrlPr>
              </m:barPr>
              <m:e>
                <m:r>
                  <w:rPr>
                    <w:rFonts w:ascii="Cambria Math" w:hAnsi="Cambria Math"/>
                    <w:sz w:val="24"/>
                    <w:szCs w:val="24"/>
                  </w:rPr>
                  <m:t>β</m:t>
                </m:r>
              </m:e>
            </m:bar>
          </m:e>
          <m:sub>
            <m:sPre>
              <m:sPrePr>
                <m:ctrlPr>
                  <w:rPr>
                    <w:rFonts w:ascii="Cambria Math" w:hAnsi="Cambria Math"/>
                    <w:sz w:val="24"/>
                    <w:szCs w:val="24"/>
                  </w:rPr>
                </m:ctrlPr>
              </m:sPrePr>
              <m:sub>
                <m:r>
                  <m:rPr>
                    <m:sty m:val="p"/>
                  </m:rPr>
                  <w:rPr>
                    <w:rFonts w:ascii="Cambria Math" w:hAnsi="Cambria Math"/>
                    <w:sz w:val="24"/>
                    <w:szCs w:val="24"/>
                  </w:rPr>
                  <m:t xml:space="preserve"> </m:t>
                </m:r>
                <m:r>
                  <w:rPr>
                    <w:rFonts w:ascii="Cambria Math" w:hAnsi="Cambria Math"/>
                    <w:sz w:val="24"/>
                    <w:szCs w:val="24"/>
                  </w:rPr>
                  <m:t>U</m:t>
                </m:r>
              </m:sub>
              <m:sup/>
              <m:e>
                <m:sSubSup>
                  <m:sSubSupPr>
                    <m:ctrlPr>
                      <w:rPr>
                        <w:rFonts w:ascii="Cambria Math" w:hAnsi="Cambria Math"/>
                        <w:sz w:val="24"/>
                        <w:szCs w:val="24"/>
                      </w:rPr>
                    </m:ctrlPr>
                  </m:sSubSupPr>
                  <m:e>
                    <m:r>
                      <w:rPr>
                        <w:rFonts w:ascii="Cambria Math" w:hAnsi="Cambria Math"/>
                        <w:sz w:val="24"/>
                        <w:szCs w:val="24"/>
                      </w:rPr>
                      <m:t>μ</m:t>
                    </m:r>
                  </m:e>
                  <m:sub>
                    <m:r>
                      <w:rPr>
                        <w:rFonts w:ascii="Cambria Math" w:hAnsi="Cambria Math"/>
                        <w:sz w:val="24"/>
                        <w:szCs w:val="24"/>
                      </w:rPr>
                      <m:t>t</m:t>
                    </m:r>
                    <m:r>
                      <m:rPr>
                        <m:sty m:val="p"/>
                      </m:rPr>
                      <w:rPr>
                        <w:rFonts w:ascii="Cambria Math" w:hAnsi="Cambria Math"/>
                        <w:sz w:val="24"/>
                        <w:szCs w:val="24"/>
                      </w:rPr>
                      <m:t xml:space="preserve"> </m:t>
                    </m:r>
                  </m:sub>
                  <m:sup>
                    <m:r>
                      <w:rPr>
                        <w:rFonts w:ascii="Cambria Math" w:hAnsi="Cambria Math"/>
                        <w:sz w:val="24"/>
                        <w:szCs w:val="24"/>
                      </w:rPr>
                      <m:t>s</m:t>
                    </m:r>
                  </m:sup>
                </m:sSubSup>
              </m:e>
            </m:sPre>
          </m:sub>
        </m:sSub>
      </m:oMath>
      <w:r w:rsidRPr="005B09F6">
        <w:rPr>
          <w:rFonts w:ascii="Calibri" w:hAnsi="Calibri"/>
          <w:sz w:val="24"/>
          <w:szCs w:val="24"/>
        </w:rPr>
        <w:t xml:space="preserve">é um parâmetro que limita o crescimento da taxa de urbanização. Os subconjuntos seguintes das populações por clientela seguem lógica semelhante, assim, a população economicamente ativa (PEA) urbana e rural são calculadas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_Ref468184075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(4)</w:t>
      </w:r>
      <w:r w:rsidRPr="005B09F6">
        <w:rPr>
          <w:rFonts w:ascii="Calibri" w:hAnsi="Calibri"/>
          <w:sz w:val="24"/>
          <w:szCs w:val="24"/>
        </w:rPr>
        <w:fldChar w:fldCharType="end"/>
      </w:r>
      <w:r w:rsidRPr="005B09F6">
        <w:rPr>
          <w:rFonts w:ascii="Calibri" w:hAnsi="Calibri"/>
          <w:sz w:val="24"/>
          <w:szCs w:val="24"/>
        </w:rPr>
        <w:t>, a partir da taxa de participação dessas clientelas (</w:t>
      </w:r>
      <m:oMath>
        <m:sPre>
          <m:sPrePr>
            <m:ctrlPr>
              <w:rPr>
                <w:rFonts w:ascii="Cambria Math" w:hAnsi="Cambria Math"/>
                <w:sz w:val="24"/>
                <w:szCs w:val="24"/>
              </w:rPr>
            </m:ctrlPr>
          </m:sPrePr>
          <m:sub>
            <m:r>
              <w:rPr>
                <w:rFonts w:ascii="Cambria Math" w:hAnsi="Cambria Math"/>
                <w:sz w:val="24"/>
                <w:szCs w:val="24"/>
              </w:rPr>
              <m:t>U</m:t>
            </m:r>
            <m:r>
              <m:rPr>
                <m:sty m:val="p"/>
              </m:rPr>
              <w:rPr>
                <w:rFonts w:ascii="Cambria Math" w:hAnsi="Cambria Math"/>
                <w:sz w:val="24"/>
                <w:szCs w:val="24"/>
              </w:rPr>
              <m:t xml:space="preserve">, </m:t>
            </m:r>
            <m:r>
              <w:rPr>
                <w:rFonts w:ascii="Cambria Math" w:hAnsi="Cambria Math"/>
                <w:sz w:val="24"/>
                <w:szCs w:val="24"/>
              </w:rPr>
              <m:t>R</m:t>
            </m:r>
          </m:sub>
          <m:sup>
            <m:r>
              <w:rPr>
                <w:rFonts w:ascii="Cambria Math" w:hAnsi="Cambria Math"/>
                <w:sz w:val="24"/>
                <w:szCs w:val="24"/>
              </w:rPr>
              <m:t>Part</m:t>
            </m:r>
          </m:sup>
          <m:e>
            <m:sSubSup>
              <m:sSubSupPr>
                <m:ctrlPr>
                  <w:rPr>
                    <w:rFonts w:ascii="Cambria Math" w:hAnsi="Cambria Math"/>
                    <w:sz w:val="24"/>
                    <w:szCs w:val="24"/>
                  </w:rPr>
                </m:ctrlPr>
              </m:sSubSupPr>
              <m:e>
                <m:r>
                  <w:rPr>
                    <w:rFonts w:ascii="Cambria Math" w:hAnsi="Cambria Math"/>
                    <w:sz w:val="24"/>
                    <w:szCs w:val="24"/>
                  </w:rPr>
                  <m:t>μ</m:t>
                </m:r>
              </m:e>
              <m:sub>
                <m:r>
                  <w:rPr>
                    <w:rFonts w:ascii="Cambria Math" w:hAnsi="Cambria Math"/>
                    <w:sz w:val="24"/>
                    <w:szCs w:val="24"/>
                  </w:rPr>
                  <m:t>i</m:t>
                </m:r>
                <m:r>
                  <m:rPr>
                    <m:sty m:val="p"/>
                  </m:rPr>
                  <w:rPr>
                    <w:rFonts w:ascii="Cambria Math" w:hAnsi="Cambria Math"/>
                    <w:sz w:val="24"/>
                    <w:szCs w:val="24"/>
                  </w:rPr>
                  <m:t>,</m:t>
                </m:r>
                <m:r>
                  <w:rPr>
                    <w:rFonts w:ascii="Cambria Math" w:hAnsi="Cambria Math"/>
                    <w:sz w:val="24"/>
                    <w:szCs w:val="24"/>
                  </w:rPr>
                  <m:t>t</m:t>
                </m:r>
                <m:r>
                  <m:rPr>
                    <m:sty m:val="p"/>
                  </m:rPr>
                  <w:rPr>
                    <w:rFonts w:ascii="Cambria Math" w:hAnsi="Cambria Math"/>
                    <w:sz w:val="24"/>
                    <w:szCs w:val="24"/>
                  </w:rPr>
                  <m:t xml:space="preserve"> </m:t>
                </m:r>
              </m:sub>
              <m:sup>
                <m:r>
                  <w:rPr>
                    <w:rFonts w:ascii="Cambria Math" w:hAnsi="Cambria Math"/>
                    <w:sz w:val="24"/>
                    <w:szCs w:val="24"/>
                  </w:rPr>
                  <m:t>s</m:t>
                </m:r>
              </m:sup>
            </m:sSubSup>
          </m:e>
        </m:sPre>
      </m:oMath>
      <w:r w:rsidRPr="005B09F6">
        <w:rPr>
          <w:rFonts w:ascii="Calibri" w:hAnsi="Calibri"/>
          <w:sz w:val="24"/>
          <w:szCs w:val="24"/>
        </w:rPr>
        <w:t>), a qual evolui sujeita a um limite inferior para crescimento (</w:t>
      </w:r>
      <m:oMath>
        <m:sSub>
          <m:sSubPr>
            <m:ctrlPr>
              <w:rPr>
                <w:rFonts w:ascii="Cambria Math" w:hAnsi="Cambria Math"/>
                <w:sz w:val="24"/>
                <w:szCs w:val="24"/>
              </w:rPr>
            </m:ctrlPr>
          </m:sSubPr>
          <m:e>
            <m:bar>
              <m:barPr>
                <m:pos m:val="top"/>
                <m:ctrlPr>
                  <w:rPr>
                    <w:rFonts w:ascii="Cambria Math" w:hAnsi="Cambria Math"/>
                    <w:sz w:val="24"/>
                    <w:szCs w:val="24"/>
                  </w:rPr>
                </m:ctrlPr>
              </m:barPr>
              <m:e>
                <m:r>
                  <w:rPr>
                    <w:rFonts w:ascii="Cambria Math" w:hAnsi="Cambria Math"/>
                    <w:sz w:val="24"/>
                    <w:szCs w:val="24"/>
                  </w:rPr>
                  <m:t>β</m:t>
                </m:r>
              </m:e>
            </m:bar>
          </m:e>
          <m:sub>
            <m:sPre>
              <m:sPrePr>
                <m:ctrlPr>
                  <w:rPr>
                    <w:rFonts w:ascii="Cambria Math" w:hAnsi="Cambria Math"/>
                    <w:sz w:val="24"/>
                    <w:szCs w:val="24"/>
                  </w:rPr>
                </m:ctrlPr>
              </m:sPrePr>
              <m:sub>
                <m:r>
                  <m:rPr>
                    <m:sty m:val="p"/>
                  </m:rPr>
                  <w:rPr>
                    <w:rFonts w:ascii="Cambria Math" w:hAnsi="Cambria Math"/>
                    <w:sz w:val="24"/>
                    <w:szCs w:val="24"/>
                  </w:rPr>
                  <m:t xml:space="preserve"> </m:t>
                </m:r>
                <m:r>
                  <w:rPr>
                    <w:rFonts w:ascii="Cambria Math" w:hAnsi="Cambria Math"/>
                    <w:sz w:val="24"/>
                    <w:szCs w:val="24"/>
                  </w:rPr>
                  <m:t>U</m:t>
                </m:r>
                <m:r>
                  <m:rPr>
                    <m:sty m:val="p"/>
                  </m:rPr>
                  <w:rPr>
                    <w:rFonts w:ascii="Cambria Math" w:hAnsi="Cambria Math"/>
                    <w:sz w:val="24"/>
                    <w:szCs w:val="24"/>
                  </w:rPr>
                  <m:t xml:space="preserve">, </m:t>
                </m:r>
                <m:r>
                  <w:rPr>
                    <w:rFonts w:ascii="Cambria Math" w:hAnsi="Cambria Math"/>
                    <w:sz w:val="24"/>
                    <w:szCs w:val="24"/>
                  </w:rPr>
                  <m:t>R</m:t>
                </m:r>
              </m:sub>
              <m:sup>
                <m:r>
                  <w:rPr>
                    <w:rFonts w:ascii="Cambria Math" w:hAnsi="Cambria Math"/>
                    <w:sz w:val="24"/>
                    <w:szCs w:val="24"/>
                  </w:rPr>
                  <m:t>Part</m:t>
                </m:r>
              </m:sup>
              <m:e>
                <m:sSubSup>
                  <m:sSubSupPr>
                    <m:ctrlPr>
                      <w:rPr>
                        <w:rFonts w:ascii="Cambria Math" w:hAnsi="Cambria Math"/>
                        <w:sz w:val="24"/>
                        <w:szCs w:val="24"/>
                      </w:rPr>
                    </m:ctrlPr>
                  </m:sSubSupPr>
                  <m:e>
                    <m:r>
                      <w:rPr>
                        <w:rFonts w:ascii="Cambria Math" w:hAnsi="Cambria Math"/>
                        <w:sz w:val="24"/>
                        <w:szCs w:val="24"/>
                      </w:rPr>
                      <m:t>μ</m:t>
                    </m:r>
                  </m:e>
                  <m:sub>
                    <m:r>
                      <w:rPr>
                        <w:rFonts w:ascii="Cambria Math" w:hAnsi="Cambria Math"/>
                        <w:sz w:val="24"/>
                        <w:szCs w:val="24"/>
                      </w:rPr>
                      <m:t>t</m:t>
                    </m:r>
                    <m:r>
                      <m:rPr>
                        <m:sty m:val="p"/>
                      </m:rPr>
                      <w:rPr>
                        <w:rFonts w:ascii="Cambria Math" w:hAnsi="Cambria Math"/>
                        <w:sz w:val="24"/>
                        <w:szCs w:val="24"/>
                      </w:rPr>
                      <m:t xml:space="preserve"> </m:t>
                    </m:r>
                  </m:sub>
                  <m:sup>
                    <m:r>
                      <w:rPr>
                        <w:rFonts w:ascii="Cambria Math" w:hAnsi="Cambria Math"/>
                        <w:sz w:val="24"/>
                        <w:szCs w:val="24"/>
                      </w:rPr>
                      <m:t>s</m:t>
                    </m:r>
                  </m:sup>
                </m:sSubSup>
              </m:e>
            </m:sPre>
          </m:sub>
        </m:sSub>
      </m:oMath>
      <w:r w:rsidRPr="005B09F6">
        <w:rPr>
          <w:rFonts w:ascii="Calibri" w:hAnsi="Calibri"/>
          <w:sz w:val="24"/>
          <w:szCs w:val="24"/>
        </w:rPr>
        <w:t xml:space="preserve">), conforme explicitado na equação </w:t>
      </w:r>
      <w:r w:rsidRPr="005B09F6">
        <w:rPr>
          <w:rFonts w:ascii="Calibri" w:hAnsi="Calibri"/>
          <w:sz w:val="24"/>
          <w:szCs w:val="24"/>
        </w:rPr>
        <w:fldChar w:fldCharType="begin"/>
      </w:r>
      <w:r w:rsidRPr="005B09F6">
        <w:rPr>
          <w:rFonts w:ascii="Calibri" w:hAnsi="Calibri"/>
          <w:sz w:val="24"/>
          <w:szCs w:val="24"/>
        </w:rPr>
        <w:instrText xml:space="preserve"> REF _Ref468184079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(5)</w:t>
      </w:r>
      <w:r w:rsidRPr="005B09F6">
        <w:rPr>
          <w:rFonts w:ascii="Calibri" w:hAnsi="Calibri"/>
          <w:sz w:val="24"/>
          <w:szCs w:val="24"/>
        </w:rPr>
        <w:fldChar w:fldCharType="end"/>
      </w:r>
      <w:r w:rsidRPr="005B09F6">
        <w:rPr>
          <w:rFonts w:ascii="Calibri" w:hAnsi="Calibri"/>
          <w:sz w:val="24"/>
          <w:szCs w:val="24"/>
        </w:rPr>
        <w:t>. Da mesma maneira, as populações ocupadas (</w:t>
      </w:r>
      <w:proofErr w:type="spellStart"/>
      <w:r w:rsidRPr="005B09F6">
        <w:rPr>
          <w:rFonts w:ascii="Calibri" w:hAnsi="Calibri"/>
          <w:sz w:val="24"/>
          <w:szCs w:val="24"/>
        </w:rPr>
        <w:t>Ocup</w:t>
      </w:r>
      <w:proofErr w:type="spellEnd"/>
      <w:r w:rsidRPr="005B09F6">
        <w:rPr>
          <w:rFonts w:ascii="Calibri" w:hAnsi="Calibri"/>
          <w:sz w:val="24"/>
          <w:szCs w:val="24"/>
        </w:rPr>
        <w:t xml:space="preserve">) urbana e rural são calculadas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_Ref468184158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(6)</w:t>
      </w:r>
      <w:r w:rsidRPr="005B09F6">
        <w:rPr>
          <w:rFonts w:ascii="Calibri" w:hAnsi="Calibri"/>
          <w:sz w:val="24"/>
          <w:szCs w:val="24"/>
        </w:rPr>
        <w:fldChar w:fldCharType="end"/>
      </w:r>
      <w:r w:rsidRPr="005B09F6">
        <w:rPr>
          <w:rFonts w:ascii="Calibri" w:hAnsi="Calibri"/>
          <w:sz w:val="24"/>
          <w:szCs w:val="24"/>
        </w:rPr>
        <w:t xml:space="preserve"> por meio da taxa de ocupação dos trabalhadores (</w:t>
      </w:r>
      <m:oMath>
        <m:sPre>
          <m:sPrePr>
            <m:ctrlPr>
              <w:rPr>
                <w:rFonts w:ascii="Cambria Math" w:hAnsi="Cambria Math"/>
                <w:sz w:val="24"/>
                <w:szCs w:val="24"/>
              </w:rPr>
            </m:ctrlPr>
          </m:sPrePr>
          <m:sub>
            <m:r>
              <w:rPr>
                <w:rFonts w:ascii="Cambria Math" w:hAnsi="Cambria Math"/>
                <w:sz w:val="24"/>
                <w:szCs w:val="24"/>
              </w:rPr>
              <m:t>U</m:t>
            </m:r>
            <m:r>
              <m:rPr>
                <m:sty m:val="p"/>
              </m:rPr>
              <w:rPr>
                <w:rFonts w:ascii="Cambria Math" w:hAnsi="Cambria Math"/>
                <w:sz w:val="24"/>
                <w:szCs w:val="24"/>
              </w:rPr>
              <m:t xml:space="preserve">, </m:t>
            </m:r>
            <m:r>
              <w:rPr>
                <w:rFonts w:ascii="Cambria Math" w:hAnsi="Cambria Math"/>
                <w:sz w:val="24"/>
                <w:szCs w:val="24"/>
              </w:rPr>
              <m:t>R</m:t>
            </m:r>
          </m:sub>
          <m:sup>
            <m:r>
              <w:rPr>
                <w:rFonts w:ascii="Cambria Math" w:hAnsi="Cambria Math"/>
                <w:sz w:val="24"/>
                <w:szCs w:val="24"/>
              </w:rPr>
              <m:t>Ocup</m:t>
            </m:r>
          </m:sup>
          <m:e>
            <m:sSubSup>
              <m:sSubSupPr>
                <m:ctrlPr>
                  <w:rPr>
                    <w:rFonts w:ascii="Cambria Math" w:hAnsi="Cambria Math"/>
                    <w:sz w:val="24"/>
                    <w:szCs w:val="24"/>
                  </w:rPr>
                </m:ctrlPr>
              </m:sSubSupPr>
              <m:e>
                <m:r>
                  <w:rPr>
                    <w:rFonts w:ascii="Cambria Math" w:hAnsi="Cambria Math"/>
                    <w:sz w:val="24"/>
                    <w:szCs w:val="24"/>
                  </w:rPr>
                  <m:t>μ</m:t>
                </m:r>
              </m:e>
              <m:sub>
                <m:r>
                  <w:rPr>
                    <w:rFonts w:ascii="Cambria Math" w:hAnsi="Cambria Math"/>
                    <w:sz w:val="24"/>
                    <w:szCs w:val="24"/>
                  </w:rPr>
                  <m:t>i</m:t>
                </m:r>
                <m:r>
                  <m:rPr>
                    <m:sty m:val="p"/>
                  </m:rPr>
                  <w:rPr>
                    <w:rFonts w:ascii="Cambria Math" w:hAnsi="Cambria Math"/>
                    <w:sz w:val="24"/>
                    <w:szCs w:val="24"/>
                  </w:rPr>
                  <m:t>,</m:t>
                </m:r>
                <m:r>
                  <w:rPr>
                    <w:rFonts w:ascii="Cambria Math" w:hAnsi="Cambria Math"/>
                    <w:sz w:val="24"/>
                    <w:szCs w:val="24"/>
                  </w:rPr>
                  <m:t>t</m:t>
                </m:r>
                <m:r>
                  <m:rPr>
                    <m:sty m:val="p"/>
                  </m:rPr>
                  <w:rPr>
                    <w:rFonts w:ascii="Cambria Math" w:hAnsi="Cambria Math"/>
                    <w:sz w:val="24"/>
                    <w:szCs w:val="24"/>
                  </w:rPr>
                  <m:t xml:space="preserve"> </m:t>
                </m:r>
              </m:sub>
              <m:sup>
                <m:r>
                  <w:rPr>
                    <w:rFonts w:ascii="Cambria Math" w:hAnsi="Cambria Math"/>
                    <w:sz w:val="24"/>
                    <w:szCs w:val="24"/>
                  </w:rPr>
                  <m:t>s</m:t>
                </m:r>
              </m:sup>
            </m:sSubSup>
          </m:e>
        </m:sPre>
      </m:oMath>
      <w:r w:rsidRPr="005B09F6">
        <w:rPr>
          <w:rFonts w:ascii="Calibri" w:hAnsi="Calibri"/>
          <w:sz w:val="24"/>
          <w:szCs w:val="24"/>
        </w:rPr>
        <w:t xml:space="preserve">), o que também permite, de maneira residual, o cômputo da população desocupada, conforme a equação </w:t>
      </w:r>
      <w:r w:rsidRPr="005B09F6">
        <w:rPr>
          <w:rFonts w:ascii="Calibri" w:hAnsi="Calibri"/>
          <w:sz w:val="24"/>
          <w:szCs w:val="24"/>
        </w:rPr>
        <w:fldChar w:fldCharType="begin"/>
      </w:r>
      <w:r w:rsidRPr="005B09F6">
        <w:rPr>
          <w:rFonts w:ascii="Calibri" w:hAnsi="Calibri"/>
          <w:sz w:val="24"/>
          <w:szCs w:val="24"/>
        </w:rPr>
        <w:instrText xml:space="preserve"> REF _Ref468184299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(7)</w:t>
      </w:r>
      <w:r w:rsidRPr="005B09F6">
        <w:rPr>
          <w:rFonts w:ascii="Calibri" w:hAnsi="Calibri"/>
          <w:sz w:val="24"/>
          <w:szCs w:val="24"/>
        </w:rPr>
        <w:fldChar w:fldCharType="end"/>
      </w:r>
      <w:r w:rsidRPr="005B09F6">
        <w:rPr>
          <w:rFonts w:ascii="Calibri" w:hAnsi="Calibri"/>
          <w:sz w:val="24"/>
          <w:szCs w:val="24"/>
        </w:rPr>
        <w:t>. Por fim, no caso da clientela urbana, é possível estimar a evolução do número de contribuintes urbanos de rendimentos iguais (</w:t>
      </w:r>
      <w:proofErr w:type="spellStart"/>
      <w:r w:rsidRPr="005B09F6">
        <w:rPr>
          <w:rFonts w:ascii="Calibri" w:hAnsi="Calibri"/>
          <w:sz w:val="24"/>
          <w:szCs w:val="24"/>
        </w:rPr>
        <w:t>Csm</w:t>
      </w:r>
      <w:proofErr w:type="spellEnd"/>
      <w:r w:rsidRPr="005B09F6">
        <w:rPr>
          <w:rFonts w:ascii="Calibri" w:hAnsi="Calibri"/>
          <w:sz w:val="24"/>
          <w:szCs w:val="24"/>
        </w:rPr>
        <w:t xml:space="preserve">) e acima do SM (Ca) a partir de suas participações população ocupada Urbana,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_Ref468184842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(8)</w:t>
      </w:r>
      <w:r w:rsidRPr="005B09F6">
        <w:rPr>
          <w:rFonts w:ascii="Calibri" w:hAnsi="Calibri"/>
          <w:sz w:val="24"/>
          <w:szCs w:val="24"/>
        </w:rPr>
        <w:fldChar w:fldCharType="end"/>
      </w:r>
      <w:r w:rsidRPr="005B09F6">
        <w:rPr>
          <w:rFonts w:ascii="Calibri" w:hAnsi="Calibri"/>
          <w:sz w:val="24"/>
          <w:szCs w:val="24"/>
        </w:rPr>
        <w:t xml:space="preserve">. Tais subconjuntos populacionais são de fundamental interesse pois compõem o conjunto de potenciais beneficiários futuros do sistema previdenciário urbano. Diferentemente do que ocorre com os segurados urbanos, os segurados rurais apresentados em </w:t>
      </w:r>
      <w:r w:rsidRPr="005B09F6">
        <w:rPr>
          <w:rFonts w:ascii="Calibri" w:hAnsi="Calibri"/>
          <w:sz w:val="24"/>
          <w:szCs w:val="24"/>
        </w:rPr>
        <w:fldChar w:fldCharType="begin"/>
      </w:r>
      <w:r w:rsidRPr="005B09F6">
        <w:rPr>
          <w:rFonts w:ascii="Calibri" w:hAnsi="Calibri"/>
          <w:sz w:val="24"/>
          <w:szCs w:val="24"/>
        </w:rPr>
        <w:instrText xml:space="preserve"> REF _Ref468286376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(9)</w:t>
      </w:r>
      <w:r w:rsidRPr="005B09F6">
        <w:rPr>
          <w:rFonts w:ascii="Calibri" w:hAnsi="Calibri"/>
          <w:sz w:val="24"/>
          <w:szCs w:val="24"/>
        </w:rPr>
        <w:fldChar w:fldCharType="end"/>
      </w:r>
      <w:r w:rsidRPr="005B09F6">
        <w:rPr>
          <w:rFonts w:ascii="Calibri" w:hAnsi="Calibri"/>
          <w:sz w:val="24"/>
          <w:szCs w:val="24"/>
        </w:rPr>
        <w:t xml:space="preserve"> são compostos tanto de trabalhadores empregados contribuintes (</w:t>
      </w:r>
      <w:proofErr w:type="spellStart"/>
      <w:r w:rsidRPr="005B09F6">
        <w:rPr>
          <w:rFonts w:ascii="Calibri" w:hAnsi="Calibri"/>
          <w:sz w:val="24"/>
          <w:szCs w:val="24"/>
        </w:rPr>
        <w:t>Contr</w:t>
      </w:r>
      <w:proofErr w:type="spellEnd"/>
      <w:r w:rsidRPr="005B09F6">
        <w:rPr>
          <w:rFonts w:ascii="Calibri" w:hAnsi="Calibri"/>
          <w:sz w:val="24"/>
          <w:szCs w:val="24"/>
        </w:rPr>
        <w:t>), quanto de Segurados Especiais (Se) e de Potenciais Segurados Rurais (</w:t>
      </w:r>
      <w:proofErr w:type="spellStart"/>
      <w:r w:rsidRPr="005B09F6">
        <w:rPr>
          <w:rFonts w:ascii="Calibri" w:hAnsi="Calibri"/>
          <w:sz w:val="24"/>
          <w:szCs w:val="24"/>
        </w:rPr>
        <w:t>Sp</w:t>
      </w:r>
      <w:proofErr w:type="spellEnd"/>
      <w:r w:rsidRPr="005B09F6">
        <w:rPr>
          <w:rFonts w:ascii="Calibri" w:hAnsi="Calibri"/>
          <w:sz w:val="24"/>
          <w:szCs w:val="24"/>
        </w:rPr>
        <w:t xml:space="preserve">), tais como integrantes de núcleo familiar com segurado especial. Tais subconjuntos da população economicamente ativa rural possuem evolução dada pela equação </w:t>
      </w:r>
      <w:r w:rsidRPr="005B09F6">
        <w:rPr>
          <w:rFonts w:ascii="Calibri" w:hAnsi="Calibri"/>
          <w:sz w:val="24"/>
          <w:szCs w:val="24"/>
        </w:rPr>
        <w:fldChar w:fldCharType="begin"/>
      </w:r>
      <w:r w:rsidRPr="005B09F6">
        <w:rPr>
          <w:rFonts w:ascii="Calibri" w:hAnsi="Calibri"/>
          <w:sz w:val="24"/>
          <w:szCs w:val="24"/>
        </w:rPr>
        <w:instrText xml:space="preserve"> REF _Ref468286309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hAnsi="Calibri"/>
          <w:sz w:val="24"/>
          <w:szCs w:val="24"/>
        </w:rPr>
        <w:t>(10)</w:t>
      </w:r>
      <w:r w:rsidRPr="005B09F6">
        <w:rPr>
          <w:rFonts w:ascii="Calibri" w:hAnsi="Calibri"/>
          <w:sz w:val="24"/>
          <w:szCs w:val="24"/>
        </w:rPr>
        <w:fldChar w:fldCharType="end"/>
      </w:r>
      <w:r w:rsidRPr="005B09F6">
        <w:rPr>
          <w:rFonts w:ascii="Calibri" w:hAnsi="Calibri"/>
          <w:sz w:val="24"/>
          <w:szCs w:val="24"/>
        </w:rPr>
        <w:t>:</w:t>
      </w:r>
    </w:p>
    <w:p w:rsidR="00FF5C5E" w:rsidRPr="005B09F6" w:rsidRDefault="00FF5C5E" w:rsidP="00FF5C5E">
      <w:pPr>
        <w:spacing w:line="360" w:lineRule="auto"/>
        <w:jc w:val="both"/>
        <w:rPr>
          <w:rFonts w:ascii="Calibri" w:hAnsi="Calibri"/>
          <w:sz w:val="24"/>
          <w:szCs w:val="24"/>
        </w:rPr>
      </w:pPr>
    </w:p>
    <w:p w:rsidR="00FF5C5E" w:rsidRPr="005B09F6" w:rsidRDefault="00FF5C5E" w:rsidP="00FF5C5E">
      <w:pPr>
        <w:spacing w:line="360" w:lineRule="auto"/>
        <w:jc w:val="both"/>
        <w:rPr>
          <w:rFonts w:ascii="Calibri" w:eastAsiaTheme="minorEastAsia" w:hAnsi="Calibri"/>
          <w:sz w:val="24"/>
          <w:szCs w:val="24"/>
        </w:rPr>
      </w:pPr>
    </w:p>
    <w:tbl>
      <w:tblPr>
        <w:tblStyle w:val="Tabelacomgrade"/>
        <w:tblW w:w="9786"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784"/>
        <w:gridCol w:w="125"/>
        <w:gridCol w:w="163"/>
        <w:gridCol w:w="708"/>
        <w:gridCol w:w="6"/>
      </w:tblGrid>
      <w:tr w:rsidR="00FF5C5E" w:rsidRPr="005B09F6" w:rsidTr="00637C42">
        <w:trPr>
          <w:trHeight w:hRule="exact" w:val="510"/>
        </w:trPr>
        <w:tc>
          <w:tcPr>
            <w:tcW w:w="9072"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14" w:type="dxa"/>
            <w:gridSpan w:val="2"/>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18" w:name="_Ref46818382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18"/>
          </w:p>
        </w:tc>
      </w:tr>
      <w:tr w:rsidR="00FF5C5E" w:rsidRPr="005B09F6" w:rsidTr="00637C42">
        <w:trPr>
          <w:trHeight w:hRule="exact" w:val="510"/>
        </w:trPr>
        <w:tc>
          <w:tcPr>
            <w:tcW w:w="9072"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R</m:t>
                    </m:r>
                  </m:sub>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.(1-</m:t>
                </m:r>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oMath>
            </m:oMathPara>
          </w:p>
        </w:tc>
        <w:tc>
          <w:tcPr>
            <w:tcW w:w="714" w:type="dxa"/>
            <w:gridSpan w:val="2"/>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19" w:name="_Ref468183843"/>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19"/>
          </w:p>
        </w:tc>
      </w:tr>
      <w:tr w:rsidR="00FF5C5E" w:rsidRPr="005B09F6" w:rsidTr="00637C42">
        <w:trPr>
          <w:trHeight w:hRule="exact" w:val="1077"/>
        </w:trPr>
        <w:tc>
          <w:tcPr>
            <w:tcW w:w="9072"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Max</m:t>
                    </m:r>
                  </m:e>
                  <m:sub>
                    <m:r>
                      <w:rPr>
                        <w:rFonts w:ascii="Cambria Math" w:hAnsi="Cambria Math"/>
                        <w:sz w:val="24"/>
                        <w:szCs w:val="24"/>
                      </w:rPr>
                      <m:t>t</m:t>
                    </m:r>
                  </m:sub>
                </m:sSub>
                <m:d>
                  <m:dPr>
                    <m:begChr m:val="{"/>
                    <m:endChr m:val=""/>
                    <m:ctrlPr>
                      <w:rPr>
                        <w:rFonts w:ascii="Cambria Math" w:hAnsi="Cambria Math"/>
                        <w:i/>
                        <w:sz w:val="24"/>
                        <w:szCs w:val="24"/>
                      </w:rPr>
                    </m:ctrlPr>
                  </m:dPr>
                  <m:e>
                    <m:eqArr>
                      <m:eqArrPr>
                        <m:ctrlPr>
                          <w:rPr>
                            <w:rFonts w:ascii="Cambria Math" w:hAnsi="Cambria Math"/>
                            <w:i/>
                            <w:sz w:val="24"/>
                            <w:szCs w:val="24"/>
                          </w:rPr>
                        </m:ctrlPr>
                      </m:eqArrPr>
                      <m:e>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β</m:t>
                            </m:r>
                          </m:e>
                          <m:sub>
                            <m:sPre>
                              <m:sPrePr>
                                <m:ctrlPr>
                                  <w:rPr>
                                    <w:rFonts w:ascii="Cambria Math" w:hAnsi="Cambria Math"/>
                                    <w:i/>
                                    <w:sz w:val="24"/>
                                    <w:szCs w:val="24"/>
                                  </w:rPr>
                                </m:ctrlPr>
                              </m:sPrePr>
                              <m:sub>
                                <m:r>
                                  <w:rPr>
                                    <w:rFonts w:ascii="Cambria Math" w:hAnsi="Cambria Math"/>
                                    <w:sz w:val="24"/>
                                    <w:szCs w:val="24"/>
                                  </w:rPr>
                                  <m:t>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sub>
                        </m:sSub>
                        <m:r>
                          <w:rPr>
                            <w:rFonts w:ascii="Cambria Math" w:hAnsi="Cambria Math"/>
                            <w:sz w:val="24"/>
                            <w:szCs w:val="24"/>
                          </w:rPr>
                          <m:t>)</m:t>
                        </m:r>
                      </m:e>
                      <m:e>
                        <m:sSub>
                          <m:sSubPr>
                            <m:ctrlPr>
                              <w:rPr>
                                <w:rFonts w:ascii="Cambria Math" w:hAnsi="Cambria Math"/>
                                <w:i/>
                                <w:sz w:val="24"/>
                                <w:szCs w:val="24"/>
                              </w:rPr>
                            </m:ctrlPr>
                          </m:sSubPr>
                          <m:e>
                            <m:bar>
                              <m:barPr>
                                <m:pos m:val="top"/>
                                <m:ctrlPr>
                                  <w:rPr>
                                    <w:rFonts w:ascii="Cambria Math" w:hAnsi="Cambria Math"/>
                                    <w:i/>
                                    <w:sz w:val="24"/>
                                    <w:szCs w:val="24"/>
                                  </w:rPr>
                                </m:ctrlPr>
                              </m:barPr>
                              <m:e>
                                <m:r>
                                  <w:rPr>
                                    <w:rFonts w:ascii="Cambria Math" w:hAnsi="Cambria Math"/>
                                    <w:sz w:val="24"/>
                                    <w:szCs w:val="24"/>
                                  </w:rPr>
                                  <m:t>β</m:t>
                                </m:r>
                              </m:e>
                            </m:bar>
                          </m:e>
                          <m:sub>
                            <m:sPre>
                              <m:sPrePr>
                                <m:ctrlPr>
                                  <w:rPr>
                                    <w:rFonts w:ascii="Cambria Math" w:hAnsi="Cambria Math"/>
                                    <w:i/>
                                    <w:sz w:val="24"/>
                                    <w:szCs w:val="24"/>
                                  </w:rPr>
                                </m:ctrlPr>
                              </m:sPrePr>
                              <m:sub>
                                <m:r>
                                  <w:rPr>
                                    <w:rFonts w:ascii="Cambria Math" w:hAnsi="Cambria Math"/>
                                    <w:sz w:val="24"/>
                                    <w:szCs w:val="24"/>
                                  </w:rPr>
                                  <m:t xml:space="preserve"> U</m:t>
                                </m:r>
                              </m:sub>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t </m:t>
                                    </m:r>
                                  </m:sub>
                                  <m:sup>
                                    <m:r>
                                      <w:rPr>
                                        <w:rFonts w:ascii="Cambria Math" w:hAnsi="Cambria Math"/>
                                        <w:sz w:val="24"/>
                                        <w:szCs w:val="24"/>
                                      </w:rPr>
                                      <m:t>s</m:t>
                                    </m:r>
                                  </m:sup>
                                </m:sSubSup>
                              </m:e>
                            </m:sPre>
                          </m:sub>
                        </m:sSub>
                      </m:e>
                    </m:eqArr>
                  </m:e>
                </m:d>
              </m:oMath>
            </m:oMathPara>
          </w:p>
        </w:tc>
        <w:tc>
          <w:tcPr>
            <w:tcW w:w="714" w:type="dxa"/>
            <w:gridSpan w:val="2"/>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0" w:name="_Ref468183871"/>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0"/>
          </w:p>
        </w:tc>
      </w:tr>
      <w:tr w:rsidR="00FF5C5E" w:rsidRPr="005B09F6" w:rsidTr="00637C42">
        <w:trPr>
          <w:trHeight w:hRule="exact" w:val="510"/>
        </w:trPr>
        <w:tc>
          <w:tcPr>
            <w:tcW w:w="8914" w:type="dxa"/>
            <w:gridSpan w:val="2"/>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Part</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872" w:type="dxa"/>
            <w:gridSpan w:val="3"/>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1" w:name="_Ref46818407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1"/>
          </w:p>
        </w:tc>
      </w:tr>
      <w:tr w:rsidR="00FF5C5E" w:rsidRPr="005B09F6" w:rsidTr="00637C42">
        <w:trPr>
          <w:trHeight w:hRule="exact" w:val="1077"/>
        </w:trPr>
        <w:tc>
          <w:tcPr>
            <w:tcW w:w="8789" w:type="dxa"/>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Part</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Mín</m:t>
                    </m:r>
                  </m:e>
                  <m:sub>
                    <m:r>
                      <w:rPr>
                        <w:rFonts w:ascii="Cambria Math" w:hAnsi="Cambria Math"/>
                        <w:sz w:val="24"/>
                        <w:szCs w:val="24"/>
                      </w:rPr>
                      <m:t>t</m:t>
                    </m:r>
                  </m:sub>
                </m:sSub>
                <m:d>
                  <m:dPr>
                    <m:begChr m:val="{"/>
                    <m:endChr m:val=""/>
                    <m:ctrlPr>
                      <w:rPr>
                        <w:rFonts w:ascii="Cambria Math" w:hAnsi="Cambria Math"/>
                        <w:i/>
                        <w:sz w:val="24"/>
                        <w:szCs w:val="24"/>
                      </w:rPr>
                    </m:ctrlPr>
                  </m:dPr>
                  <m:e>
                    <m:eqArr>
                      <m:eqArrPr>
                        <m:ctrlPr>
                          <w:rPr>
                            <w:rFonts w:ascii="Cambria Math" w:hAnsi="Cambria Math"/>
                            <w:i/>
                            <w:sz w:val="24"/>
                            <w:szCs w:val="24"/>
                          </w:rPr>
                        </m:ctrlPr>
                      </m:eqArrPr>
                      <m:e>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Part</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β</m:t>
                            </m:r>
                          </m:e>
                          <m:sub>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Part</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sub>
                        </m:sSub>
                        <m:r>
                          <w:rPr>
                            <w:rFonts w:ascii="Cambria Math" w:hAnsi="Cambria Math"/>
                            <w:sz w:val="24"/>
                            <w:szCs w:val="24"/>
                          </w:rPr>
                          <m:t>)</m:t>
                        </m:r>
                      </m:e>
                      <m:e>
                        <m:sSub>
                          <m:sSubPr>
                            <m:ctrlPr>
                              <w:rPr>
                                <w:rFonts w:ascii="Cambria Math" w:hAnsi="Cambria Math"/>
                                <w:i/>
                                <w:sz w:val="24"/>
                                <w:szCs w:val="24"/>
                              </w:rPr>
                            </m:ctrlPr>
                          </m:sSubPr>
                          <m:e>
                            <m:bar>
                              <m:barPr>
                                <m:pos m:val="top"/>
                                <m:ctrlPr>
                                  <w:rPr>
                                    <w:rFonts w:ascii="Cambria Math" w:hAnsi="Cambria Math"/>
                                    <w:i/>
                                    <w:sz w:val="24"/>
                                    <w:szCs w:val="24"/>
                                  </w:rPr>
                                </m:ctrlPr>
                              </m:barPr>
                              <m:e>
                                <m:r>
                                  <w:rPr>
                                    <w:rFonts w:ascii="Cambria Math" w:hAnsi="Cambria Math"/>
                                    <w:sz w:val="24"/>
                                    <w:szCs w:val="24"/>
                                  </w:rPr>
                                  <m:t>β</m:t>
                                </m:r>
                              </m:e>
                            </m:bar>
                          </m:e>
                          <m:sub>
                            <m:sPre>
                              <m:sPrePr>
                                <m:ctrlPr>
                                  <w:rPr>
                                    <w:rFonts w:ascii="Cambria Math" w:hAnsi="Cambria Math"/>
                                    <w:i/>
                                    <w:sz w:val="24"/>
                                    <w:szCs w:val="24"/>
                                  </w:rPr>
                                </m:ctrlPr>
                              </m:sPrePr>
                              <m:sub>
                                <m:r>
                                  <w:rPr>
                                    <w:rFonts w:ascii="Cambria Math" w:hAnsi="Cambria Math"/>
                                    <w:sz w:val="24"/>
                                    <w:szCs w:val="24"/>
                                  </w:rPr>
                                  <m:t xml:space="preserve"> U, R</m:t>
                                </m:r>
                              </m:sub>
                              <m:sup>
                                <m:r>
                                  <w:rPr>
                                    <w:rFonts w:ascii="Cambria Math" w:hAnsi="Cambria Math"/>
                                    <w:sz w:val="24"/>
                                    <w:szCs w:val="24"/>
                                  </w:rPr>
                                  <m:t>Part</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t </m:t>
                                    </m:r>
                                  </m:sub>
                                  <m:sup>
                                    <m:r>
                                      <w:rPr>
                                        <w:rFonts w:ascii="Cambria Math" w:hAnsi="Cambria Math"/>
                                        <w:sz w:val="24"/>
                                        <w:szCs w:val="24"/>
                                      </w:rPr>
                                      <m:t>s</m:t>
                                    </m:r>
                                  </m:sup>
                                </m:sSubSup>
                              </m:e>
                            </m:sPre>
                          </m:sub>
                        </m:sSub>
                      </m:e>
                    </m:eqArr>
                  </m:e>
                </m:d>
              </m:oMath>
            </m:oMathPara>
          </w:p>
        </w:tc>
        <w:tc>
          <w:tcPr>
            <w:tcW w:w="997" w:type="dxa"/>
            <w:gridSpan w:val="4"/>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2" w:name="_Ref46818407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5</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2"/>
          </w:p>
        </w:tc>
      </w:tr>
      <w:tr w:rsidR="00FF5C5E" w:rsidRPr="005B09F6" w:rsidTr="00637C42">
        <w:trPr>
          <w:trHeight w:hRule="exact" w:val="510"/>
        </w:trPr>
        <w:tc>
          <w:tcPr>
            <w:tcW w:w="8789" w:type="dxa"/>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Ocup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Ocup</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997" w:type="dxa"/>
            <w:gridSpan w:val="4"/>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3" w:name="_Ref468184158"/>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6</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3"/>
          </w:p>
        </w:tc>
      </w:tr>
      <w:tr w:rsidR="00FF5C5E" w:rsidRPr="005B09F6" w:rsidTr="00637C42">
        <w:trPr>
          <w:trHeight w:hRule="exact" w:val="510"/>
        </w:trPr>
        <w:tc>
          <w:tcPr>
            <w:tcW w:w="8789" w:type="dxa"/>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Desocup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Ocup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997" w:type="dxa"/>
            <w:gridSpan w:val="4"/>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4" w:name="_Ref46818429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7</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4"/>
          </w:p>
        </w:tc>
      </w:tr>
      <w:tr w:rsidR="00FF5C5E" w:rsidRPr="005B09F6" w:rsidTr="00637C42">
        <w:trPr>
          <w:gridAfter w:val="1"/>
          <w:wAfter w:w="6" w:type="dxa"/>
          <w:trHeight w:hRule="exact" w:val="510"/>
        </w:trPr>
        <w:tc>
          <w:tcPr>
            <w:tcW w:w="9072"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Csm, Ca </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Ocup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Csm, Ca</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8" w:type="dxa"/>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5" w:name="_Ref46818484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8</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5"/>
          </w:p>
        </w:tc>
      </w:tr>
      <w:tr w:rsidR="00FF5C5E" w:rsidRPr="005B09F6" w:rsidTr="00637C42">
        <w:trPr>
          <w:trHeight w:hRule="exact" w:val="510"/>
        </w:trPr>
        <w:tc>
          <w:tcPr>
            <w:tcW w:w="9077"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Seg</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Contr</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Se</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Sp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9" w:type="dxa"/>
            <w:gridSpan w:val="2"/>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6" w:name="_Ref46828637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9</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6"/>
          </w:p>
        </w:tc>
      </w:tr>
      <w:tr w:rsidR="00FF5C5E" w:rsidRPr="005B09F6" w:rsidTr="00637C42">
        <w:trPr>
          <w:trHeight w:hRule="exact" w:val="510"/>
        </w:trPr>
        <w:tc>
          <w:tcPr>
            <w:tcW w:w="9077" w:type="dxa"/>
            <w:gridSpan w:val="3"/>
            <w:shd w:val="clear" w:color="auto" w:fill="FFFFFF" w:themeFill="background1"/>
            <w:vAlign w:val="center"/>
          </w:tcPr>
          <w:p w:rsidR="00FF5C5E" w:rsidRPr="005B09F6" w:rsidRDefault="00CB65A3" w:rsidP="00637C42">
            <w:pPr>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Contr, Se,Sp</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 xml:space="preserve">  R</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Contr, Se,Sp</m:t>
                    </m:r>
                  </m:sup>
                  <m:e>
                    <m:sSubSup>
                      <m:sSubSupPr>
                        <m:ctrlPr>
                          <w:rPr>
                            <w:rFonts w:ascii="Cambria Math" w:hAnsi="Cambria Math"/>
                            <w:i/>
                            <w:sz w:val="24"/>
                            <w:szCs w:val="24"/>
                          </w:rPr>
                        </m:ctrlPr>
                      </m:sSubSupPr>
                      <m:e>
                        <m:r>
                          <w:rPr>
                            <w:rFonts w:ascii="Cambria Math" w:hAnsi="Cambria Math"/>
                            <w:sz w:val="24"/>
                            <w:szCs w:val="24"/>
                          </w:rPr>
                          <m:t>μ</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9" w:type="dxa"/>
            <w:gridSpan w:val="2"/>
            <w:shd w:val="clear" w:color="auto" w:fill="FFFFFF" w:themeFill="background1"/>
            <w:vAlign w:val="center"/>
          </w:tcPr>
          <w:p w:rsidR="00FF5C5E" w:rsidRPr="005B09F6" w:rsidRDefault="00FF5C5E" w:rsidP="00637C42">
            <w:pPr>
              <w:jc w:val="right"/>
              <w:rPr>
                <w:rFonts w:ascii="Calibri" w:eastAsiaTheme="minorEastAsia" w:hAnsi="Calibri"/>
                <w:color w:val="2E653E" w:themeColor="accent5" w:themeShade="BF"/>
                <w:sz w:val="24"/>
                <w:szCs w:val="24"/>
              </w:rPr>
            </w:pPr>
            <w:bookmarkStart w:id="127" w:name="_Ref46828630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10</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7"/>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p>
    <w:p w:rsidR="00FF5C5E" w:rsidRPr="005B09F6" w:rsidRDefault="00FF5C5E" w:rsidP="00FF5C5E">
      <w:pPr>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br w:type="page"/>
      </w:r>
    </w:p>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Benefícios Previdenciários Rurais e Urbanos</w:t>
      </w:r>
    </w:p>
    <w:p w:rsidR="00FF5C5E" w:rsidRPr="005B09F6" w:rsidRDefault="00FF5C5E" w:rsidP="00FF5C5E">
      <w:pPr>
        <w:spacing w:before="48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Aposentadorias</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 xml:space="preserve">As sete (7) modalidades de Aposentadorias modeladas (Aposentadoria por Idade (Normal ou Usual) ― </w:t>
      </w:r>
      <w:proofErr w:type="spellStart"/>
      <w:r w:rsidRPr="005B09F6">
        <w:rPr>
          <w:rFonts w:ascii="Calibri" w:eastAsiaTheme="minorEastAsia" w:hAnsi="Calibri"/>
          <w:sz w:val="24"/>
          <w:szCs w:val="24"/>
        </w:rPr>
        <w:t>Apin</w:t>
      </w:r>
      <w:proofErr w:type="spellEnd"/>
      <w:r w:rsidRPr="005B09F6">
        <w:rPr>
          <w:rFonts w:ascii="Calibri" w:eastAsiaTheme="minorEastAsia" w:hAnsi="Calibri"/>
          <w:sz w:val="24"/>
          <w:szCs w:val="24"/>
        </w:rPr>
        <w:t xml:space="preserve">, </w:t>
      </w:r>
      <w:r w:rsidRPr="005B09F6">
        <w:rPr>
          <w:rFonts w:ascii="Calibri" w:hAnsi="Calibri"/>
          <w:sz w:val="24"/>
          <w:szCs w:val="24"/>
        </w:rPr>
        <w:t xml:space="preserve">Aposentadoria por Idade da Pessoa com Deficiência ― </w:t>
      </w:r>
      <w:proofErr w:type="spellStart"/>
      <w:r w:rsidRPr="005B09F6">
        <w:rPr>
          <w:rFonts w:ascii="Calibri" w:eastAsiaTheme="minorEastAsia" w:hAnsi="Calibri"/>
          <w:sz w:val="24"/>
          <w:szCs w:val="24"/>
        </w:rPr>
        <w:t>Apid</w:t>
      </w:r>
      <w:proofErr w:type="spellEnd"/>
      <w:r w:rsidRPr="005B09F6">
        <w:rPr>
          <w:rFonts w:ascii="Calibri" w:eastAsiaTheme="minorEastAsia" w:hAnsi="Calibri"/>
          <w:sz w:val="24"/>
          <w:szCs w:val="24"/>
        </w:rPr>
        <w:t xml:space="preserve">, </w:t>
      </w:r>
      <w:r w:rsidRPr="005B09F6">
        <w:rPr>
          <w:rFonts w:ascii="Calibri" w:hAnsi="Calibri"/>
          <w:sz w:val="24"/>
          <w:szCs w:val="24"/>
        </w:rPr>
        <w:t xml:space="preserve">Aposentadoria por TC (Normal ou Usual) ― </w:t>
      </w:r>
      <w:proofErr w:type="spellStart"/>
      <w:r w:rsidRPr="005B09F6">
        <w:rPr>
          <w:rFonts w:ascii="Calibri" w:eastAsiaTheme="minorEastAsia" w:hAnsi="Calibri"/>
          <w:sz w:val="24"/>
          <w:szCs w:val="24"/>
        </w:rPr>
        <w:t>Atcn</w:t>
      </w:r>
      <w:proofErr w:type="spellEnd"/>
      <w:r w:rsidRPr="005B09F6">
        <w:rPr>
          <w:rFonts w:ascii="Calibri" w:eastAsiaTheme="minorEastAsia" w:hAnsi="Calibri"/>
          <w:sz w:val="24"/>
          <w:szCs w:val="24"/>
        </w:rPr>
        <w:t xml:space="preserve">, </w:t>
      </w:r>
      <w:r w:rsidRPr="005B09F6">
        <w:rPr>
          <w:rFonts w:ascii="Calibri" w:hAnsi="Calibri"/>
          <w:sz w:val="24"/>
          <w:szCs w:val="24"/>
        </w:rPr>
        <w:t xml:space="preserve">Aposentadoria por TC da Pessoa com Deficiência ― </w:t>
      </w:r>
      <w:proofErr w:type="spellStart"/>
      <w:r w:rsidRPr="005B09F6">
        <w:rPr>
          <w:rFonts w:ascii="Calibri" w:eastAsiaTheme="minorEastAsia" w:hAnsi="Calibri"/>
          <w:sz w:val="24"/>
          <w:szCs w:val="24"/>
        </w:rPr>
        <w:t>Atcd</w:t>
      </w:r>
      <w:proofErr w:type="spellEnd"/>
      <w:r w:rsidRPr="005B09F6">
        <w:rPr>
          <w:rFonts w:ascii="Calibri" w:eastAsiaTheme="minorEastAsia" w:hAnsi="Calibri"/>
          <w:sz w:val="24"/>
          <w:szCs w:val="24"/>
        </w:rPr>
        <w:t xml:space="preserve">, </w:t>
      </w:r>
      <w:r w:rsidRPr="005B09F6">
        <w:rPr>
          <w:rFonts w:ascii="Calibri" w:hAnsi="Calibri"/>
          <w:sz w:val="24"/>
          <w:szCs w:val="24"/>
        </w:rPr>
        <w:t xml:space="preserve">Aposentadoria por TC Especial ― </w:t>
      </w:r>
      <w:proofErr w:type="spellStart"/>
      <w:r w:rsidRPr="005B09F6">
        <w:rPr>
          <w:rFonts w:ascii="Calibri" w:eastAsiaTheme="minorEastAsia" w:hAnsi="Calibri"/>
          <w:sz w:val="24"/>
          <w:szCs w:val="24"/>
        </w:rPr>
        <w:t>Atce</w:t>
      </w:r>
      <w:proofErr w:type="spellEnd"/>
      <w:r w:rsidRPr="005B09F6">
        <w:rPr>
          <w:rFonts w:ascii="Calibri" w:eastAsiaTheme="minorEastAsia" w:hAnsi="Calibri"/>
          <w:sz w:val="24"/>
          <w:szCs w:val="24"/>
        </w:rPr>
        <w:t xml:space="preserve">, </w:t>
      </w:r>
      <w:r w:rsidRPr="005B09F6">
        <w:rPr>
          <w:rFonts w:ascii="Calibri" w:hAnsi="Calibri"/>
          <w:sz w:val="24"/>
          <w:szCs w:val="24"/>
        </w:rPr>
        <w:t xml:space="preserve">Aposentadoria por TC do(a) Professor(a) ― </w:t>
      </w:r>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Atcp</w:t>
      </w:r>
      <w:proofErr w:type="spellEnd"/>
      <w:r w:rsidRPr="005B09F6">
        <w:rPr>
          <w:rFonts w:ascii="Calibri" w:eastAsiaTheme="minorEastAsia" w:hAnsi="Calibri"/>
          <w:sz w:val="24"/>
          <w:szCs w:val="24"/>
        </w:rPr>
        <w:t xml:space="preserve"> e </w:t>
      </w:r>
      <w:r w:rsidRPr="005B09F6">
        <w:rPr>
          <w:rFonts w:ascii="Calibri" w:hAnsi="Calibri"/>
          <w:sz w:val="24"/>
          <w:szCs w:val="24"/>
        </w:rPr>
        <w:t xml:space="preserve">Aposentadoria por Invalidez ― </w:t>
      </w:r>
      <w:proofErr w:type="spellStart"/>
      <w:r w:rsidRPr="005B09F6">
        <w:rPr>
          <w:rFonts w:ascii="Calibri" w:eastAsiaTheme="minorEastAsia" w:hAnsi="Calibri"/>
          <w:sz w:val="24"/>
          <w:szCs w:val="24"/>
        </w:rPr>
        <w:t>Ainv</w:t>
      </w:r>
      <w:proofErr w:type="spellEnd"/>
      <w:r w:rsidRPr="005B09F6">
        <w:rPr>
          <w:rFonts w:ascii="Calibri" w:eastAsiaTheme="minorEastAsia" w:hAnsi="Calibri"/>
          <w:sz w:val="24"/>
          <w:szCs w:val="24"/>
        </w:rPr>
        <w:t xml:space="preserve">) </w:t>
      </w:r>
      <w:r w:rsidRPr="005B09F6">
        <w:rPr>
          <w:rFonts w:ascii="Calibri" w:hAnsi="Calibri"/>
          <w:sz w:val="24"/>
          <w:szCs w:val="24"/>
        </w:rPr>
        <w:t>estão subdivididas em cada uma das três Clientelas: Rural (R), Urbana-Piso (</w:t>
      </w:r>
      <w:proofErr w:type="spellStart"/>
      <w:r w:rsidRPr="005B09F6">
        <w:rPr>
          <w:rFonts w:ascii="Calibri" w:hAnsi="Calibri"/>
          <w:sz w:val="24"/>
          <w:szCs w:val="24"/>
        </w:rPr>
        <w:t>Up</w:t>
      </w:r>
      <w:proofErr w:type="spellEnd"/>
      <w:r w:rsidRPr="005B09F6">
        <w:rPr>
          <w:rFonts w:ascii="Calibri" w:hAnsi="Calibri"/>
          <w:sz w:val="24"/>
          <w:szCs w:val="24"/>
        </w:rPr>
        <w:t>) e Urbana-Acima (</w:t>
      </w:r>
      <w:proofErr w:type="spellStart"/>
      <w:r w:rsidRPr="005B09F6">
        <w:rPr>
          <w:rFonts w:ascii="Calibri" w:hAnsi="Calibri"/>
          <w:sz w:val="24"/>
          <w:szCs w:val="24"/>
        </w:rPr>
        <w:t>Ua</w:t>
      </w:r>
      <w:proofErr w:type="spellEnd"/>
      <w:r w:rsidRPr="005B09F6">
        <w:rPr>
          <w:rFonts w:ascii="Calibri" w:hAnsi="Calibri"/>
          <w:sz w:val="24"/>
          <w:szCs w:val="24"/>
        </w:rPr>
        <w:t xml:space="preserve">) e por sexo (Homem, Mulher). Como consistem em benefícios de caráter permanente, são modeladas pelo método do fluxo, em que a evolução dos estoques de benefícios é dada pela dinâmica de entradas e saídas aplicadas aos estoques passados. A equação </w:t>
      </w:r>
      <w:r w:rsidRPr="005B09F6">
        <w:rPr>
          <w:rFonts w:ascii="Calibri" w:hAnsi="Calibri"/>
          <w:sz w:val="24"/>
          <w:szCs w:val="24"/>
        </w:rPr>
        <w:fldChar w:fldCharType="begin"/>
      </w:r>
      <w:r w:rsidRPr="005B09F6">
        <w:rPr>
          <w:rFonts w:ascii="Calibri" w:hAnsi="Calibri"/>
          <w:sz w:val="24"/>
          <w:szCs w:val="24"/>
        </w:rPr>
        <w:instrText xml:space="preserve"> REF _Ref468354412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11</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calcula a quantidade de beneficiários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utilizando o estoque do ano anterior (t-1) da idade anterior (i-1), multiplicando pelo número de sobreviventes que chegaram ao ano</w:t>
      </w:r>
      <w:r w:rsidRPr="005B09F6">
        <w:rPr>
          <w:rFonts w:ascii="Calibri" w:hAnsi="Calibri"/>
          <w:i/>
          <w:sz w:val="24"/>
          <w:szCs w:val="24"/>
        </w:rPr>
        <w:t xml:space="preserve"> t</w:t>
      </w:r>
      <w:r w:rsidRPr="005B09F6">
        <w:rPr>
          <w:rFonts w:ascii="Calibri" w:hAnsi="Calibri"/>
          <w:sz w:val="24"/>
          <w:szCs w:val="24"/>
        </w:rPr>
        <w:t xml:space="preserve"> com a idade </w:t>
      </w:r>
      <w:r w:rsidRPr="005B09F6">
        <w:rPr>
          <w:rFonts w:ascii="Calibri" w:hAnsi="Calibri"/>
          <w:i/>
          <w:sz w:val="24"/>
          <w:szCs w:val="24"/>
        </w:rPr>
        <w:t>i</w:t>
      </w:r>
      <w:r w:rsidRPr="005B09F6">
        <w:rPr>
          <w:rFonts w:ascii="Calibri" w:hAnsi="Calibri"/>
          <w:sz w:val="24"/>
          <w:szCs w:val="24"/>
        </w:rPr>
        <w:t>, ou seja, excluindo-se as cessações (1 – Taxa de mortalidade implícita da população x Fator de Ajuste) e somando a isso o fluxo de entrantes, ou seja, as concessões de benefícios, a qual é calculada pela aplicação de uma Probabilidade de Entrada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multiplicada pela quantidade de segurados (</w:t>
      </w:r>
      <m:oMath>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passíveis de atingirem as condições de elegibilidade necessárias para requerem o benefício.</w:t>
      </w:r>
      <w:r w:rsidRPr="005B09F6">
        <w:rPr>
          <w:rStyle w:val="Refdenotaderodap"/>
          <w:rFonts w:ascii="Calibri" w:hAnsi="Calibri"/>
          <w:sz w:val="24"/>
          <w:szCs w:val="24"/>
        </w:rPr>
        <w:footnoteReference w:id="8"/>
      </w:r>
      <w:r w:rsidRPr="005B09F6">
        <w:rPr>
          <w:rFonts w:ascii="Calibri" w:hAnsi="Calibri"/>
          <w:sz w:val="24"/>
          <w:szCs w:val="24"/>
        </w:rPr>
        <w:t xml:space="preserve"> </w:t>
      </w:r>
      <w:r w:rsidRPr="005B09F6">
        <w:rPr>
          <w:rFonts w:ascii="Calibri" w:eastAsiaTheme="minorEastAsia" w:hAnsi="Calibri"/>
          <w:sz w:val="24"/>
          <w:szCs w:val="24"/>
        </w:rPr>
        <w:t xml:space="preserve">A taxa de mortalidade implícita, fundamental para a projeção da dinâmica de cessação de todos os benefícios, é estimada a partir da mortalidade anual da população, de acordo com as equações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_Ref468355320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12</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xml:space="preserve"> e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_Ref468355323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13</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xml:space="preserve">. </w:t>
      </w:r>
      <w:r w:rsidRPr="005B09F6">
        <w:rPr>
          <w:rFonts w:ascii="Calibri" w:hAnsi="Calibri"/>
          <w:sz w:val="24"/>
          <w:szCs w:val="24"/>
        </w:rPr>
        <w:t xml:space="preserve">Já o Fator de Ajuste da Mortalidade </w:t>
      </w:r>
      <w:r w:rsidRPr="005B09F6">
        <w:rPr>
          <w:rFonts w:ascii="Calibri" w:eastAsiaTheme="minorEastAsia" w:hAnsi="Calibri"/>
          <w:sz w:val="24"/>
          <w:szCs w:val="24"/>
        </w:rPr>
        <w:t>(</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calculado por meio das equações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_Ref468354237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14</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xml:space="preserve"> e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_Ref468354259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15</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visa estimar o distanciamento entre a taxa de mortalidade implícita da população como um todo e a dinâmica de cessação dos benefícios observada.</w:t>
      </w:r>
      <w:r w:rsidRPr="005B09F6">
        <w:rPr>
          <w:rStyle w:val="Refdenotaderodap"/>
          <w:rFonts w:ascii="Calibri" w:eastAsiaTheme="minorEastAsia" w:hAnsi="Calibri"/>
          <w:sz w:val="24"/>
          <w:szCs w:val="24"/>
        </w:rPr>
        <w:footnoteReference w:id="9"/>
      </w:r>
      <w:r w:rsidRPr="005B09F6">
        <w:rPr>
          <w:rFonts w:ascii="Calibri" w:eastAsiaTheme="minorEastAsia" w:hAnsi="Calibri"/>
          <w:sz w:val="24"/>
          <w:szCs w:val="24"/>
        </w:rPr>
        <w:t xml:space="preserve"> Por sua vez,</w:t>
      </w:r>
      <w:r w:rsidRPr="005B09F6">
        <w:rPr>
          <w:rFonts w:ascii="Calibri" w:hAnsi="Calibri"/>
          <w:sz w:val="24"/>
          <w:szCs w:val="24"/>
        </w:rPr>
        <w:t xml:space="preserve"> a Probabilidade de Concessão de Benefício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w:t>
      </w:r>
      <w:r w:rsidRPr="005B09F6">
        <w:rPr>
          <w:rFonts w:ascii="Calibri" w:hAnsi="Calibri"/>
          <w:sz w:val="24"/>
          <w:szCs w:val="24"/>
        </w:rPr>
        <w:t xml:space="preserve">é estimada por meio da equação </w:t>
      </w:r>
      <w:r w:rsidRPr="005B09F6">
        <w:rPr>
          <w:rFonts w:ascii="Calibri" w:hAnsi="Calibri"/>
          <w:sz w:val="24"/>
          <w:szCs w:val="24"/>
        </w:rPr>
        <w:fldChar w:fldCharType="begin"/>
      </w:r>
      <w:r w:rsidRPr="005B09F6">
        <w:rPr>
          <w:rFonts w:ascii="Calibri" w:hAnsi="Calibri"/>
          <w:sz w:val="24"/>
          <w:szCs w:val="24"/>
        </w:rPr>
        <w:instrText xml:space="preserve"> REF _Ref468354276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16</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eastAsiaTheme="minorEastAsia" w:hAnsi="Calibri"/>
          <w:sz w:val="24"/>
          <w:szCs w:val="24"/>
        </w:rPr>
        <w:t>:</w:t>
      </w:r>
    </w:p>
    <w:p w:rsidR="00FF5C5E" w:rsidRPr="005B09F6" w:rsidRDefault="00FF5C5E" w:rsidP="00FF5C5E">
      <w:pPr>
        <w:spacing w:line="360" w:lineRule="auto"/>
        <w:jc w:val="both"/>
        <w:rPr>
          <w:rFonts w:ascii="Calibri" w:hAnsi="Calibri"/>
          <w:sz w:val="24"/>
          <w:szCs w:val="24"/>
        </w:rPr>
      </w:pPr>
    </w:p>
    <w:tbl>
      <w:tblPr>
        <w:tblStyle w:val="Tabelacomgrade"/>
        <w:tblW w:w="9786"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926"/>
        <w:gridCol w:w="151"/>
        <w:gridCol w:w="709"/>
      </w:tblGrid>
      <w:tr w:rsidR="00FF5C5E" w:rsidRPr="005B09F6" w:rsidTr="00637C42">
        <w:trPr>
          <w:trHeight w:hRule="exact" w:val="1021"/>
        </w:trPr>
        <w:tc>
          <w:tcPr>
            <w:tcW w:w="9077" w:type="dxa"/>
            <w:gridSpan w:val="2"/>
            <w:shd w:val="clear" w:color="auto" w:fill="FFFFFF" w:themeFill="background1"/>
            <w:vAlign w:val="center"/>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oMath>
            </m:oMathPara>
          </w:p>
          <w:p w:rsidR="00FF5C5E" w:rsidRPr="005B09F6" w:rsidRDefault="00FF5C5E" w:rsidP="00637C42">
            <w:pPr>
              <w:spacing w:line="360" w:lineRule="auto"/>
              <w:rPr>
                <w:rFonts w:ascii="Calibri" w:eastAsiaTheme="minorEastAsia" w:hAnsi="Calibri"/>
                <w:b/>
                <w:color w:val="2E653E" w:themeColor="accent5" w:themeShade="BF"/>
                <w:sz w:val="24"/>
                <w:szCs w:val="24"/>
              </w:rPr>
            </w:pPr>
            <m:oMathPara>
              <m:oMath>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 xml:space="preserve">. </m:t>
                </m:r>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28" w:name="_Ref46835441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11</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8"/>
          </w:p>
        </w:tc>
      </w:tr>
      <w:tr w:rsidR="00FF5C5E" w:rsidRPr="005B09F6" w:rsidTr="00637C42">
        <w:trPr>
          <w:trHeight w:hRule="exact" w:val="454"/>
        </w:trPr>
        <w:tc>
          <w:tcPr>
            <w:tcW w:w="9077" w:type="dxa"/>
            <w:gridSpan w:val="2"/>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f>
                  <m:fPr>
                    <m:type m:val="lin"/>
                    <m:ctrlPr>
                      <w:rPr>
                        <w:rFonts w:ascii="Cambria Math" w:hAnsi="Cambria Math"/>
                        <w:i/>
                        <w:sz w:val="24"/>
                        <w:szCs w:val="24"/>
                      </w:rPr>
                    </m:ctrlPr>
                  </m:fPr>
                  <m:num>
                    <m:sSubSup>
                      <m:sSubSupPr>
                        <m:ctrlPr>
                          <w:rPr>
                            <w:rFonts w:ascii="Cambria Math" w:hAnsi="Cambria Math"/>
                            <w:i/>
                            <w:sz w:val="24"/>
                            <w:szCs w:val="24"/>
                          </w:rPr>
                        </m:ctrlPr>
                      </m:sSubSupPr>
                      <m:e>
                        <m:r>
                          <w:rPr>
                            <w:rFonts w:ascii="Cambria Math" w:hAnsi="Cambria Math"/>
                            <w:sz w:val="24"/>
                            <w:szCs w:val="24"/>
                          </w:rPr>
                          <m:t>Mo</m:t>
                        </m:r>
                      </m:e>
                      <m:sub>
                        <m:r>
                          <w:rPr>
                            <w:rFonts w:ascii="Cambria Math" w:hAnsi="Cambria Math"/>
                            <w:sz w:val="24"/>
                            <w:szCs w:val="24"/>
                          </w:rPr>
                          <m:t xml:space="preserve">i,t </m:t>
                        </m:r>
                      </m:sub>
                      <m:sup>
                        <m:r>
                          <w:rPr>
                            <w:rFonts w:ascii="Cambria Math" w:hAnsi="Cambria Math"/>
                            <w:sz w:val="24"/>
                            <w:szCs w:val="24"/>
                          </w:rPr>
                          <m:t>s</m:t>
                        </m:r>
                      </m:sup>
                    </m:sSubSup>
                  </m:num>
                  <m:den>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den>
                </m:f>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29" w:name="_Ref468355320"/>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12</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29"/>
          </w:p>
        </w:tc>
      </w:tr>
      <w:tr w:rsidR="00FF5C5E" w:rsidRPr="005B09F6" w:rsidTr="00637C42">
        <w:trPr>
          <w:trHeight w:hRule="exact" w:val="454"/>
        </w:trPr>
        <w:tc>
          <w:tcPr>
            <w:tcW w:w="9077" w:type="dxa"/>
            <w:gridSpan w:val="2"/>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SubSup>
                  <m:sSubSupPr>
                    <m:ctrlPr>
                      <w:rPr>
                        <w:rFonts w:ascii="Cambria Math" w:hAnsi="Cambria Math"/>
                        <w:i/>
                        <w:sz w:val="24"/>
                        <w:szCs w:val="24"/>
                      </w:rPr>
                    </m:ctrlPr>
                  </m:sSubSupPr>
                  <m:e>
                    <m:r>
                      <w:rPr>
                        <w:rFonts w:ascii="Cambria Math" w:hAnsi="Cambria Math"/>
                        <w:sz w:val="24"/>
                        <w:szCs w:val="24"/>
                      </w:rPr>
                      <m:t>Mo</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Mo</m:t>
                    </m:r>
                  </m:e>
                  <m:sub>
                    <m:r>
                      <w:rPr>
                        <w:rFonts w:ascii="Cambria Math" w:hAnsi="Cambria Math"/>
                        <w:sz w:val="24"/>
                        <w:szCs w:val="24"/>
                      </w:rPr>
                      <m:t xml:space="preserve">i,1º sem de t </m:t>
                    </m:r>
                  </m:sub>
                  <m:sup>
                    <m:r>
                      <w:rPr>
                        <w:rFonts w:ascii="Cambria Math" w:hAnsi="Cambria Math"/>
                        <w:sz w:val="24"/>
                        <w:szCs w:val="24"/>
                      </w:rPr>
                      <m:t>s</m:t>
                    </m:r>
                  </m:sup>
                </m:sSubSup>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Mo</m:t>
                    </m:r>
                  </m:e>
                  <m:sub>
                    <m:r>
                      <w:rPr>
                        <w:rFonts w:ascii="Cambria Math" w:hAnsi="Cambria Math"/>
                        <w:sz w:val="24"/>
                        <w:szCs w:val="24"/>
                      </w:rPr>
                      <m:t xml:space="preserve">i,2º sem de t </m:t>
                    </m:r>
                  </m:sub>
                  <m:sup>
                    <m:r>
                      <w:rPr>
                        <w:rFonts w:ascii="Cambria Math" w:hAnsi="Cambria Math"/>
                        <w:sz w:val="24"/>
                        <w:szCs w:val="24"/>
                      </w:rPr>
                      <m:t>s</m:t>
                    </m:r>
                  </m:sup>
                </m:sSubSup>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i-1,t-1 </m:t>
                        </m:r>
                      </m:sub>
                      <m:sup>
                        <m:r>
                          <w:rPr>
                            <w:rFonts w:ascii="Cambria Math" w:hAnsi="Cambria Math"/>
                            <w:sz w:val="24"/>
                            <w:szCs w:val="24"/>
                          </w:rPr>
                          <m:t>s</m:t>
                        </m:r>
                      </m:sup>
                    </m:sSubSup>
                    <m:r>
                      <w:rPr>
                        <w:rFonts w:ascii="Cambria Math" w:hAnsi="Cambria Math"/>
                        <w:sz w:val="24"/>
                        <w:szCs w:val="24"/>
                      </w:rPr>
                      <m:t>)</m:t>
                    </m:r>
                  </m:num>
                  <m:den>
                    <m:r>
                      <w:rPr>
                        <w:rFonts w:ascii="Cambria Math" w:hAnsi="Cambria Math"/>
                        <w:sz w:val="24"/>
                        <w:szCs w:val="24"/>
                      </w:rPr>
                      <m:t>2</m:t>
                    </m:r>
                  </m:den>
                </m:f>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i+1,t+1 </m:t>
                        </m:r>
                      </m:sub>
                      <m:sup>
                        <m:r>
                          <w:rPr>
                            <w:rFonts w:ascii="Cambria Math" w:hAnsi="Cambria Math"/>
                            <w:sz w:val="24"/>
                            <w:szCs w:val="24"/>
                          </w:rPr>
                          <m:t>s</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num>
                  <m:den>
                    <m:r>
                      <w:rPr>
                        <w:rFonts w:ascii="Cambria Math" w:hAnsi="Cambria Math"/>
                        <w:sz w:val="24"/>
                        <w:szCs w:val="24"/>
                      </w:rPr>
                      <m:t>2</m:t>
                    </m:r>
                  </m:den>
                </m:f>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0" w:name="_Ref468355323"/>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13</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0"/>
          </w:p>
        </w:tc>
      </w:tr>
      <w:tr w:rsidR="00FF5C5E" w:rsidRPr="005B09F6" w:rsidTr="00637C42">
        <w:trPr>
          <w:trHeight w:hRule="exact" w:val="454"/>
        </w:trPr>
        <w:tc>
          <w:tcPr>
            <w:tcW w:w="8926" w:type="dxa"/>
            <w:shd w:val="clear" w:color="auto" w:fill="FFFFFF" w:themeFill="background1"/>
            <w:vAlign w:val="center"/>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eastAsia="Cambria Math" w:hAnsi="Cambria Math" w:cs="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num>
                  <m:den>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den>
                </m:f>
              </m:oMath>
            </m:oMathPara>
          </w:p>
        </w:tc>
        <w:tc>
          <w:tcPr>
            <w:tcW w:w="860"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1" w:name="_Ref468354237"/>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14</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1"/>
          </w:p>
        </w:tc>
      </w:tr>
      <w:tr w:rsidR="00FF5C5E" w:rsidRPr="005B09F6" w:rsidTr="00637C42">
        <w:trPr>
          <w:trHeight w:hRule="exact" w:val="454"/>
        </w:trPr>
        <w:tc>
          <w:tcPr>
            <w:tcW w:w="8926"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2</m:t>
                        </m:r>
                      </m:den>
                    </m:f>
                    <m:r>
                      <w:rPr>
                        <w:rFonts w:ascii="Cambria Math" w:hAnsi="Cambria Math"/>
                        <w:sz w:val="24"/>
                        <w:szCs w:val="24"/>
                      </w:rPr>
                      <m:t>)]</m:t>
                    </m:r>
                  </m:den>
                </m:f>
              </m:oMath>
            </m:oMathPara>
          </w:p>
        </w:tc>
        <w:tc>
          <w:tcPr>
            <w:tcW w:w="860"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2" w:name="_Ref46835425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15</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2"/>
          </w:p>
        </w:tc>
      </w:tr>
      <w:tr w:rsidR="00FF5C5E" w:rsidRPr="005B09F6" w:rsidTr="00637C42">
        <w:trPr>
          <w:trHeight w:hRule="exact" w:val="454"/>
        </w:trPr>
        <w:tc>
          <w:tcPr>
            <w:tcW w:w="8926" w:type="dxa"/>
            <w:shd w:val="clear" w:color="auto" w:fill="FFFFFF" w:themeFill="background1"/>
            <w:vAlign w:val="center"/>
          </w:tcPr>
          <w:p w:rsidR="00FF5C5E" w:rsidRPr="005B09F6" w:rsidRDefault="00CB65A3" w:rsidP="00637C42">
            <w:pPr>
              <w:spacing w:line="360" w:lineRule="auto"/>
              <w:jc w:val="center"/>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r>
                  <m:rPr>
                    <m:sty m:val="p"/>
                  </m:rPr>
                  <w:rPr>
                    <w:rFonts w:ascii="Cambria Math" w:eastAsiaTheme="minorEastAsia"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2</m:t>
                        </m:r>
                      </m:den>
                    </m:f>
                  </m:den>
                </m:f>
                <m:r>
                  <w:rPr>
                    <w:rFonts w:ascii="Cambria Math" w:hAnsi="Cambria Math"/>
                    <w:sz w:val="24"/>
                    <w:szCs w:val="24"/>
                  </w:rPr>
                  <m:t>)]</m:t>
                </m:r>
              </m:oMath>
            </m:oMathPara>
          </w:p>
        </w:tc>
        <w:tc>
          <w:tcPr>
            <w:tcW w:w="860"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3" w:name="_Ref46835427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16</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3"/>
          </w:p>
        </w:tc>
      </w:tr>
      <w:tr w:rsidR="00FF5C5E" w:rsidRPr="005B09F6" w:rsidTr="00637C42">
        <w:trPr>
          <w:trHeight w:hRule="exact" w:val="454"/>
        </w:trPr>
        <w:tc>
          <w:tcPr>
            <w:tcW w:w="8926" w:type="dxa"/>
            <w:shd w:val="clear" w:color="auto" w:fill="FFFFFF" w:themeFill="background1"/>
            <w:vAlign w:val="center"/>
          </w:tcPr>
          <w:p w:rsidR="00FF5C5E" w:rsidRPr="005B09F6" w:rsidRDefault="00FF5C5E" w:rsidP="00637C42">
            <w:pPr>
              <w:spacing w:line="360" w:lineRule="auto"/>
              <w:rPr>
                <w:rFonts w:ascii="Calibri" w:eastAsia="Tw Cen MT" w:hAnsi="Calibri"/>
                <w:sz w:val="24"/>
                <w:szCs w:val="24"/>
              </w:rPr>
            </w:pPr>
            <m:oMath>
              <m:r>
                <w:rPr>
                  <w:rFonts w:ascii="Cambria Math" w:hAnsi="Cambria Math"/>
                  <w:sz w:val="24"/>
                  <w:szCs w:val="24"/>
                </w:rPr>
                <m:t>α∈{Apin, Apid, Atcn, Atce, Atcp, Atcd,Ainv}</m:t>
              </m:r>
            </m:oMath>
            <w:r w:rsidRPr="005B09F6">
              <w:rPr>
                <w:rFonts w:ascii="Calibri" w:eastAsiaTheme="minorEastAsia" w:hAnsi="Calibri"/>
                <w:sz w:val="24"/>
                <w:szCs w:val="24"/>
              </w:rPr>
              <w:t xml:space="preserve"> ; </w:t>
            </w:r>
            <m:oMath>
              <m:r>
                <w:rPr>
                  <w:rFonts w:ascii="Cambria Math" w:hAnsi="Cambria Math"/>
                  <w:sz w:val="24"/>
                  <w:szCs w:val="24"/>
                </w:rPr>
                <m:t>c∈{R, Up, Ua}</m:t>
              </m:r>
            </m:oMath>
          </w:p>
        </w:tc>
        <w:tc>
          <w:tcPr>
            <w:tcW w:w="860"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Auxílios</w:t>
      </w:r>
    </w:p>
    <w:p w:rsidR="00FF5C5E" w:rsidRPr="005B09F6" w:rsidRDefault="00FF5C5E" w:rsidP="00FF5C5E">
      <w:pPr>
        <w:spacing w:line="360" w:lineRule="auto"/>
        <w:jc w:val="both"/>
        <w:rPr>
          <w:rFonts w:ascii="Calibri" w:eastAsiaTheme="minorEastAsia" w:hAnsi="Calibri"/>
          <w:sz w:val="24"/>
          <w:szCs w:val="24"/>
        </w:rPr>
      </w:pPr>
      <w:r w:rsidRPr="005B09F6">
        <w:rPr>
          <w:rFonts w:ascii="Calibri" w:hAnsi="Calibri"/>
          <w:sz w:val="24"/>
          <w:szCs w:val="24"/>
        </w:rPr>
        <w:t xml:space="preserve">Os Auxílios são modelados pelo método do estoque, de acordo com a equação explicitada em </w:t>
      </w:r>
      <w:r w:rsidRPr="005B09F6">
        <w:rPr>
          <w:rFonts w:ascii="Calibri" w:hAnsi="Calibri"/>
          <w:sz w:val="24"/>
          <w:szCs w:val="24"/>
        </w:rPr>
        <w:fldChar w:fldCharType="begin"/>
      </w:r>
      <w:r w:rsidRPr="005B09F6">
        <w:rPr>
          <w:rFonts w:ascii="Calibri" w:hAnsi="Calibri"/>
          <w:sz w:val="24"/>
          <w:szCs w:val="24"/>
        </w:rPr>
        <w:instrText xml:space="preserve"> REF _Ref468437966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17</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sendo (</w:t>
      </w:r>
      <m:oMath>
        <m:sPre>
          <m:sPrePr>
            <m:ctrlPr>
              <w:rPr>
                <w:rFonts w:ascii="Cambria Math" w:hAnsi="Cambria Math"/>
                <w:i/>
                <w:sz w:val="24"/>
                <w:szCs w:val="24"/>
              </w:rPr>
            </m:ctrlPr>
          </m:sPrePr>
          <m:sub>
            <m:r>
              <w:rPr>
                <w:rFonts w:ascii="Cambria Math" w:hAnsi="Cambria Math"/>
                <w:sz w:val="24"/>
                <w:szCs w:val="24"/>
              </w:rPr>
              <m:t>β</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w:t>
      </w:r>
      <w:r w:rsidRPr="005B09F6">
        <w:rPr>
          <w:rFonts w:ascii="Calibri" w:hAnsi="Calibri"/>
          <w:sz w:val="24"/>
          <w:szCs w:val="24"/>
        </w:rPr>
        <w:t>a Probabilidade de Pertencimento ou de geração de auxílios.</w:t>
      </w:r>
      <w:r w:rsidRPr="005B09F6">
        <w:rPr>
          <w:rStyle w:val="Refdenotaderodap"/>
          <w:rFonts w:ascii="Calibri" w:hAnsi="Calibri"/>
          <w:sz w:val="24"/>
          <w:szCs w:val="24"/>
        </w:rPr>
        <w:footnoteReference w:id="10"/>
      </w:r>
      <w:r w:rsidRPr="005B09F6">
        <w:rPr>
          <w:rFonts w:ascii="Calibri" w:hAnsi="Calibri"/>
          <w:sz w:val="24"/>
          <w:szCs w:val="24"/>
        </w:rPr>
        <w:t xml:space="preserve"> Tal variável, no caso do Auxílio-Doença ―Ad (benefício com temporalidade bastante restrita), é calculada pela taxa bruta de concessão conforme a equação </w:t>
      </w:r>
      <w:r w:rsidRPr="005B09F6">
        <w:rPr>
          <w:rFonts w:ascii="Calibri" w:hAnsi="Calibri"/>
          <w:sz w:val="24"/>
          <w:szCs w:val="24"/>
        </w:rPr>
        <w:fldChar w:fldCharType="begin"/>
      </w:r>
      <w:r w:rsidRPr="005B09F6">
        <w:rPr>
          <w:rFonts w:ascii="Calibri" w:hAnsi="Calibri"/>
          <w:sz w:val="24"/>
          <w:szCs w:val="24"/>
        </w:rPr>
        <w:instrText xml:space="preserve"> REF _Ref468438119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18</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Já caso do Auxílio-Acidente ― Aa e do Auxílio-Reclusão ― Ar (benefícios com temporalidade mais longa) a probabilidade de pertencimento é calculada por meio da taxa</w:t>
      </w:r>
      <w:r w:rsidRPr="005B09F6">
        <w:rPr>
          <w:rFonts w:ascii="Calibri" w:eastAsiaTheme="minorEastAsia" w:hAnsi="Calibri"/>
          <w:sz w:val="24"/>
          <w:szCs w:val="24"/>
        </w:rPr>
        <w:t xml:space="preserve"> bruta de emissão, de acordo com o explicitado na equação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_Ref468438135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19</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xml:space="preserve">: </w:t>
      </w:r>
    </w:p>
    <w:p w:rsidR="00FF5C5E" w:rsidRPr="005B09F6" w:rsidRDefault="00FF5C5E" w:rsidP="00FF5C5E">
      <w:pPr>
        <w:spacing w:line="360" w:lineRule="auto"/>
        <w:rPr>
          <w:rFonts w:ascii="Calibri" w:hAnsi="Calibri"/>
          <w:i/>
          <w:color w:val="1F4429" w:themeColor="accent5" w:themeShade="80"/>
          <w:sz w:val="24"/>
          <w:szCs w:val="24"/>
        </w:rPr>
      </w:pPr>
    </w:p>
    <w:tbl>
      <w:tblPr>
        <w:tblStyle w:val="Tabelacomgrade"/>
        <w:tblW w:w="9781"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789"/>
        <w:gridCol w:w="137"/>
        <w:gridCol w:w="855"/>
      </w:tblGrid>
      <w:tr w:rsidR="00FF5C5E" w:rsidRPr="005B09F6" w:rsidTr="00637C42">
        <w:trPr>
          <w:trHeight w:val="454"/>
        </w:trPr>
        <w:tc>
          <w:tcPr>
            <w:tcW w:w="8789" w:type="dxa"/>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 δ∈{Ad, Aa, Ar}</m:t>
                </m:r>
              </m:oMath>
            </m:oMathPara>
          </w:p>
        </w:tc>
        <w:tc>
          <w:tcPr>
            <w:tcW w:w="992" w:type="dxa"/>
            <w:gridSpan w:val="2"/>
            <w:shd w:val="clear" w:color="auto" w:fill="FFFFFF" w:themeFill="background1"/>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4" w:name="_Ref46843796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17</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4"/>
          </w:p>
        </w:tc>
      </w:tr>
      <w:tr w:rsidR="00FF5C5E" w:rsidRPr="005B09F6" w:rsidTr="00637C42">
        <w:trPr>
          <w:trHeight w:val="454"/>
        </w:trPr>
        <w:tc>
          <w:tcPr>
            <w:tcW w:w="8926" w:type="dxa"/>
            <w:gridSpan w:val="2"/>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Ad</m:t>
                    </m:r>
                  </m:sup>
                  <m:e>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Ad</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r>
                  <m:rPr>
                    <m:sty m:val="p"/>
                  </m:rPr>
                  <w:rPr>
                    <w:rFonts w:ascii="Cambria Math" w:eastAsiaTheme="minorEastAsia"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Ad</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Ad</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2</m:t>
                        </m:r>
                      </m:den>
                    </m:f>
                  </m:den>
                </m:f>
                <m:r>
                  <w:rPr>
                    <w:rFonts w:ascii="Cambria Math" w:hAnsi="Cambria Math"/>
                    <w:sz w:val="24"/>
                    <w:szCs w:val="24"/>
                  </w:rPr>
                  <m:t>)]</m:t>
                </m:r>
              </m:oMath>
            </m:oMathPara>
          </w:p>
        </w:tc>
        <w:tc>
          <w:tcPr>
            <w:tcW w:w="855" w:type="dxa"/>
            <w:shd w:val="clear" w:color="auto" w:fill="FFFFFF" w:themeFill="background1"/>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5" w:name="_Ref46843811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18</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5"/>
          </w:p>
        </w:tc>
      </w:tr>
      <w:tr w:rsidR="00FF5C5E" w:rsidRPr="005B09F6" w:rsidTr="00637C42">
        <w:trPr>
          <w:trHeight w:val="454"/>
        </w:trPr>
        <w:tc>
          <w:tcPr>
            <w:tcW w:w="8926" w:type="dxa"/>
            <w:gridSpan w:val="2"/>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Aa, Ar</m:t>
                    </m:r>
                  </m:sup>
                  <m:e>
                    <m:sSubSup>
                      <m:sSubSupPr>
                        <m:ctrlPr>
                          <w:rPr>
                            <w:rFonts w:ascii="Cambria Math" w:hAnsi="Cambria Math"/>
                            <w:i/>
                            <w:sz w:val="24"/>
                            <w:szCs w:val="24"/>
                          </w:rPr>
                        </m:ctrlPr>
                      </m:sSubSupPr>
                      <m:e>
                        <m:r>
                          <w:rPr>
                            <w:rFonts w:ascii="Cambria Math" w:hAnsi="Cambria Math"/>
                            <w:sz w:val="24"/>
                            <w:szCs w:val="24"/>
                          </w:rPr>
                          <m:t>ϕ</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Aa, Ar</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r>
                  <m:rPr>
                    <m:sty m:val="p"/>
                  </m:rPr>
                  <w:rPr>
                    <w:rFonts w:ascii="Cambria Math" w:eastAsiaTheme="minorEastAsia"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Aa, Ar</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num>
                  <m:den>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 xml:space="preserve">i,t </m:t>
                            </m:r>
                          </m:sub>
                          <m:sup>
                            <m:r>
                              <w:rPr>
                                <w:rFonts w:ascii="Cambria Math" w:hAnsi="Cambria Math"/>
                                <w:sz w:val="24"/>
                                <w:szCs w:val="24"/>
                              </w:rPr>
                              <m:t>s</m:t>
                            </m:r>
                          </m:sup>
                        </m:sSubSup>
                      </m:e>
                    </m:sPre>
                  </m:den>
                </m:f>
              </m:oMath>
            </m:oMathPara>
          </w:p>
        </w:tc>
        <w:tc>
          <w:tcPr>
            <w:tcW w:w="855" w:type="dxa"/>
            <w:shd w:val="clear" w:color="auto" w:fill="FFFFFF" w:themeFill="background1"/>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6" w:name="_Ref46843813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19</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6"/>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Salário-Maternidade</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 xml:space="preserve">A projeção do benefício salário-maternidade em cada clientela é dada pela proporção de mulheres seguradas em idade fértil (16 a 45 anos) dessa clientela multiplicado pelo número de nascimentos no mesmo ano,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_Ref468451452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20</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Ademais, é importante ressaltar que as projeções de despesa dessa rubrica incorporam tanto os gastos diretos (pagamento do benefício diretamente às contribuintes) como também os gastos indiretos (abatimento de contribuições previdenciárias realizadas por empresas em virtude do pagamento do benefício as suas empregadas).</w:t>
      </w:r>
    </w:p>
    <w:p w:rsidR="00FF5C5E" w:rsidRPr="005B09F6" w:rsidRDefault="00FF5C5E" w:rsidP="00FF5C5E">
      <w:pPr>
        <w:spacing w:line="360" w:lineRule="auto"/>
        <w:jc w:val="both"/>
        <w:rPr>
          <w:rFonts w:ascii="Calibri" w:hAnsi="Calibri"/>
          <w:i/>
          <w:color w:val="1F4429" w:themeColor="accent5" w:themeShade="80"/>
          <w:sz w:val="24"/>
          <w:szCs w:val="24"/>
        </w:rPr>
      </w:pPr>
    </w:p>
    <w:tbl>
      <w:tblPr>
        <w:tblStyle w:val="Tabelacomgrade"/>
        <w:tblW w:w="9781"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789"/>
        <w:gridCol w:w="992"/>
      </w:tblGrid>
      <w:tr w:rsidR="00FF5C5E" w:rsidRPr="005B09F6" w:rsidTr="00637C42">
        <w:trPr>
          <w:trHeight w:hRule="exact" w:val="1021"/>
        </w:trPr>
        <w:tc>
          <w:tcPr>
            <w:tcW w:w="8789"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SalMat</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M</m:t>
                        </m:r>
                      </m:sup>
                    </m:sSubSup>
                  </m:e>
                </m:sPre>
                <m:r>
                  <w:rPr>
                    <w:rFonts w:ascii="Cambria Math" w:hAnsi="Cambria Math"/>
                    <w:sz w:val="24"/>
                    <w:szCs w:val="24"/>
                  </w:rPr>
                  <m:t>=</m:t>
                </m:r>
                <m:f>
                  <m:fPr>
                    <m:ctrlPr>
                      <w:rPr>
                        <w:rFonts w:ascii="Cambria Math" w:hAnsi="Cambria Math"/>
                        <w:i/>
                        <w:sz w:val="24"/>
                        <w:szCs w:val="24"/>
                      </w:rPr>
                    </m:ctrlPr>
                  </m:fPr>
                  <m:num>
                    <m:nary>
                      <m:naryPr>
                        <m:chr m:val="∑"/>
                        <m:limLoc m:val="undOvr"/>
                        <m:ctrlPr>
                          <w:rPr>
                            <w:rFonts w:ascii="Cambria Math" w:hAnsi="Cambria Math"/>
                            <w:i/>
                            <w:sz w:val="24"/>
                            <w:szCs w:val="24"/>
                          </w:rPr>
                        </m:ctrlPr>
                      </m:naryPr>
                      <m:sub>
                        <m:r>
                          <w:rPr>
                            <w:rFonts w:ascii="Cambria Math" w:hAnsi="Cambria Math"/>
                            <w:sz w:val="24"/>
                            <w:szCs w:val="24"/>
                          </w:rPr>
                          <m:t>i=16</m:t>
                        </m:r>
                      </m:sub>
                      <m:sup>
                        <m:r>
                          <w:rPr>
                            <w:rFonts w:ascii="Cambria Math" w:hAnsi="Cambria Math"/>
                            <w:sz w:val="24"/>
                            <w:szCs w:val="24"/>
                          </w:rPr>
                          <m:t>45</m:t>
                        </m:r>
                      </m:sup>
                      <m:e>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 xml:space="preserve">i,t </m:t>
                                </m:r>
                              </m:sub>
                              <m:sup>
                                <m:r>
                                  <w:rPr>
                                    <w:rFonts w:ascii="Cambria Math" w:hAnsi="Cambria Math"/>
                                    <w:sz w:val="24"/>
                                    <w:szCs w:val="24"/>
                                  </w:rPr>
                                  <m:t>M</m:t>
                                </m:r>
                              </m:sup>
                            </m:sSubSup>
                          </m:e>
                        </m:sPre>
                      </m:e>
                    </m:nary>
                  </m:num>
                  <m:den>
                    <m:nary>
                      <m:naryPr>
                        <m:chr m:val="∑"/>
                        <m:limLoc m:val="undOvr"/>
                        <m:ctrlPr>
                          <w:rPr>
                            <w:rFonts w:ascii="Cambria Math" w:hAnsi="Cambria Math"/>
                            <w:i/>
                            <w:sz w:val="24"/>
                            <w:szCs w:val="24"/>
                          </w:rPr>
                        </m:ctrlPr>
                      </m:naryPr>
                      <m:sub>
                        <m:r>
                          <w:rPr>
                            <w:rFonts w:ascii="Cambria Math" w:hAnsi="Cambria Math"/>
                            <w:sz w:val="24"/>
                            <w:szCs w:val="24"/>
                          </w:rPr>
                          <m:t>i=16</m:t>
                        </m:r>
                      </m:sub>
                      <m:sup>
                        <m:r>
                          <w:rPr>
                            <w:rFonts w:ascii="Cambria Math" w:hAnsi="Cambria Math"/>
                            <w:sz w:val="24"/>
                            <w:szCs w:val="24"/>
                          </w:rPr>
                          <m:t>45</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M</m:t>
                            </m:r>
                          </m:sup>
                        </m:sSubSup>
                      </m:e>
                    </m:nary>
                  </m:den>
                </m:f>
                <m:r>
                  <w:rPr>
                    <w:rFonts w:ascii="Cambria Math" w:hAnsi="Cambria Math"/>
                    <w:sz w:val="24"/>
                    <w:szCs w:val="24"/>
                  </w:rPr>
                  <m:t>. (</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0,t </m:t>
                    </m:r>
                  </m:sub>
                  <m:sup>
                    <m:r>
                      <w:rPr>
                        <w:rFonts w:ascii="Cambria Math" w:hAnsi="Cambria Math"/>
                        <w:sz w:val="24"/>
                        <w:szCs w:val="24"/>
                      </w:rPr>
                      <m:t>H</m:t>
                    </m:r>
                  </m:sup>
                </m:sSubSup>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0,t </m:t>
                    </m:r>
                  </m:sub>
                  <m:sup>
                    <m:r>
                      <w:rPr>
                        <w:rFonts w:ascii="Cambria Math" w:hAnsi="Cambria Math"/>
                        <w:sz w:val="24"/>
                        <w:szCs w:val="24"/>
                      </w:rPr>
                      <m:t>M</m:t>
                    </m:r>
                  </m:sup>
                </m:sSubSup>
                <m:r>
                  <w:rPr>
                    <w:rFonts w:ascii="Cambria Math" w:hAnsi="Cambria Math"/>
                    <w:sz w:val="24"/>
                    <w:szCs w:val="24"/>
                  </w:rPr>
                  <m:t>)</m:t>
                </m:r>
              </m:oMath>
            </m:oMathPara>
          </w:p>
        </w:tc>
        <w:tc>
          <w:tcPr>
            <w:tcW w:w="992"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7" w:name="_Ref46845145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20</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7"/>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Pensões</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 xml:space="preserve">As projeções dos estoques totais de Pensões são dadas pela equação </w:t>
      </w:r>
      <w:r w:rsidRPr="005B09F6">
        <w:rPr>
          <w:rFonts w:ascii="Calibri" w:hAnsi="Calibri"/>
          <w:sz w:val="24"/>
          <w:szCs w:val="24"/>
        </w:rPr>
        <w:fldChar w:fldCharType="begin"/>
      </w:r>
      <w:r w:rsidRPr="005B09F6">
        <w:rPr>
          <w:rFonts w:ascii="Calibri" w:hAnsi="Calibri"/>
          <w:sz w:val="24"/>
          <w:szCs w:val="24"/>
        </w:rPr>
        <w:instrText xml:space="preserve"> REF _Ref468375684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21</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onde se observa uma decomposição entre Pensões do Tipo A (</w:t>
      </w:r>
      <w:proofErr w:type="spellStart"/>
      <w:r w:rsidRPr="005B09F6">
        <w:rPr>
          <w:rFonts w:ascii="Calibri" w:hAnsi="Calibri"/>
          <w:i/>
          <w:sz w:val="24"/>
          <w:szCs w:val="24"/>
        </w:rPr>
        <w:t>PeA</w:t>
      </w:r>
      <w:proofErr w:type="spellEnd"/>
      <w:r w:rsidRPr="005B09F6">
        <w:rPr>
          <w:rFonts w:ascii="Calibri" w:hAnsi="Calibri"/>
          <w:sz w:val="24"/>
          <w:szCs w:val="24"/>
        </w:rPr>
        <w:t xml:space="preserve">), concedidas antes de 2015, explicitadas na equação </w:t>
      </w:r>
      <w:r w:rsidRPr="005B09F6">
        <w:rPr>
          <w:rFonts w:ascii="Calibri" w:hAnsi="Calibri"/>
          <w:sz w:val="24"/>
          <w:szCs w:val="24"/>
        </w:rPr>
        <w:fldChar w:fldCharType="begin"/>
      </w:r>
      <w:r w:rsidRPr="005B09F6">
        <w:rPr>
          <w:rFonts w:ascii="Calibri" w:hAnsi="Calibri"/>
          <w:sz w:val="24"/>
          <w:szCs w:val="24"/>
        </w:rPr>
        <w:instrText xml:space="preserve"> REF _Ref468375701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22</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e do Tipo B (</w:t>
      </w:r>
      <w:proofErr w:type="spellStart"/>
      <w:r w:rsidRPr="005B09F6">
        <w:rPr>
          <w:rFonts w:ascii="Calibri" w:hAnsi="Calibri"/>
          <w:i/>
          <w:sz w:val="24"/>
          <w:szCs w:val="24"/>
        </w:rPr>
        <w:t>Peb</w:t>
      </w:r>
      <w:proofErr w:type="spellEnd"/>
      <w:r w:rsidRPr="005B09F6">
        <w:rPr>
          <w:rFonts w:ascii="Calibri" w:hAnsi="Calibri"/>
          <w:sz w:val="24"/>
          <w:szCs w:val="24"/>
        </w:rPr>
        <w:t xml:space="preserve">), concedidas a partir de 2015 e sujeitas às regras da Lei </w:t>
      </w:r>
      <w:r w:rsidR="009E0091" w:rsidRPr="005B09F6">
        <w:rPr>
          <w:rFonts w:ascii="Calibri" w:hAnsi="Calibri"/>
          <w:sz w:val="24"/>
          <w:szCs w:val="24"/>
        </w:rPr>
        <w:t xml:space="preserve">nº </w:t>
      </w:r>
      <w:r w:rsidRPr="005B09F6">
        <w:rPr>
          <w:rFonts w:ascii="Calibri" w:hAnsi="Calibri"/>
          <w:sz w:val="24"/>
          <w:szCs w:val="24"/>
        </w:rPr>
        <w:t xml:space="preserve">13.135/2015, conforme a na equação </w:t>
      </w:r>
      <w:r w:rsidRPr="005B09F6">
        <w:rPr>
          <w:rFonts w:ascii="Calibri" w:hAnsi="Calibri"/>
          <w:sz w:val="24"/>
          <w:szCs w:val="24"/>
        </w:rPr>
        <w:fldChar w:fldCharType="begin"/>
      </w:r>
      <w:r w:rsidRPr="005B09F6">
        <w:rPr>
          <w:rFonts w:ascii="Calibri" w:hAnsi="Calibri"/>
          <w:sz w:val="24"/>
          <w:szCs w:val="24"/>
        </w:rPr>
        <w:instrText xml:space="preserve"> REF _Ref468375669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23</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Nota-se que as estimativas de evolução dos estoques de Pensões ocorrem por meio do método do fluxo. Todavia, a cessação dos estoques anteriores ocorre tanto via mortalidade dos beneficiários como também via mecanismo legal de cessação automática (</w:t>
      </w:r>
      <m:oMath>
        <m:sSubSup>
          <m:sSubSupPr>
            <m:ctrlPr>
              <w:rPr>
                <w:rFonts w:ascii="Cambria Math" w:hAnsi="Cambria Math"/>
                <w:i/>
                <w:sz w:val="24"/>
                <w:szCs w:val="24"/>
              </w:rPr>
            </m:ctrlPr>
          </m:sSubSupPr>
          <m:e>
            <m:r>
              <w:rPr>
                <w:rFonts w:ascii="Cambria Math" w:hAnsi="Cambria Math"/>
                <w:sz w:val="24"/>
                <w:szCs w:val="24"/>
              </w:rPr>
              <m:t>σ</m:t>
            </m:r>
          </m:e>
          <m:sub>
            <m:r>
              <w:rPr>
                <w:rFonts w:ascii="Cambria Math" w:hAnsi="Cambria Math"/>
                <w:sz w:val="24"/>
                <w:szCs w:val="24"/>
              </w:rPr>
              <m:t xml:space="preserve">i,t </m:t>
            </m:r>
          </m:sub>
          <m:sup>
            <m:r>
              <w:rPr>
                <w:rFonts w:ascii="Cambria Math" w:hAnsi="Cambria Math"/>
                <w:sz w:val="24"/>
                <w:szCs w:val="24"/>
              </w:rPr>
              <m:t>s</m:t>
            </m:r>
          </m:sup>
        </m:sSubSup>
      </m:oMath>
      <w:r w:rsidRPr="005B09F6">
        <w:rPr>
          <w:rFonts w:ascii="Calibri" w:eastAsiaTheme="minorEastAsia" w:hAnsi="Calibri"/>
          <w:sz w:val="24"/>
          <w:szCs w:val="24"/>
        </w:rPr>
        <w:t>)</w:t>
      </w:r>
      <w:r w:rsidRPr="005B09F6">
        <w:rPr>
          <w:rFonts w:ascii="Calibri" w:hAnsi="Calibri"/>
          <w:sz w:val="24"/>
          <w:szCs w:val="24"/>
        </w:rPr>
        <w:t>.</w:t>
      </w:r>
      <w:r w:rsidRPr="005B09F6">
        <w:rPr>
          <w:rStyle w:val="Refdenotaderodap"/>
          <w:rFonts w:ascii="Calibri" w:hAnsi="Calibri"/>
          <w:sz w:val="24"/>
          <w:szCs w:val="24"/>
        </w:rPr>
        <w:footnoteReference w:id="11"/>
      </w:r>
      <w:r w:rsidRPr="005B09F6">
        <w:rPr>
          <w:rFonts w:ascii="Calibri" w:hAnsi="Calibri"/>
          <w:sz w:val="24"/>
          <w:szCs w:val="24"/>
        </w:rPr>
        <w:t xml:space="preserve"> Por construção, não existem concessões da Pensão do Tipo A </w:t>
      </w:r>
      <w:proofErr w:type="spellStart"/>
      <w:r w:rsidRPr="005B09F6">
        <w:rPr>
          <w:rFonts w:ascii="Calibri" w:hAnsi="Calibri"/>
          <w:sz w:val="24"/>
          <w:szCs w:val="24"/>
        </w:rPr>
        <w:t>a</w:t>
      </w:r>
      <w:proofErr w:type="spellEnd"/>
      <w:r w:rsidRPr="005B09F6">
        <w:rPr>
          <w:rFonts w:ascii="Calibri" w:hAnsi="Calibri"/>
          <w:sz w:val="24"/>
          <w:szCs w:val="24"/>
        </w:rPr>
        <w:t xml:space="preserve"> partir de 2015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i,2015 </m:t>
                </m:r>
              </m:sub>
              <m:sup>
                <m:r>
                  <w:rPr>
                    <w:rFonts w:ascii="Cambria Math" w:hAnsi="Cambria Math"/>
                    <w:sz w:val="24"/>
                    <w:szCs w:val="24"/>
                  </w:rPr>
                  <m:t>s</m:t>
                </m:r>
              </m:sup>
            </m:sSubSup>
          </m:e>
        </m:sPre>
        <m:r>
          <w:rPr>
            <w:rFonts w:ascii="Cambria Math" w:hAnsi="Cambria Math"/>
            <w:sz w:val="24"/>
            <w:szCs w:val="24"/>
          </w:rPr>
          <m:t>=0</m:t>
        </m:r>
      </m:oMath>
      <w:r w:rsidRPr="005B09F6">
        <w:rPr>
          <w:rFonts w:ascii="Calibri" w:eastAsiaTheme="minorEastAsia" w:hAnsi="Calibri"/>
          <w:sz w:val="24"/>
          <w:szCs w:val="24"/>
        </w:rPr>
        <w:t>), e as concessões do tipo B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são calculadas dadas por meio das equações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_Ref468438367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24</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xml:space="preserve"> e </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REF _Ref468438362 \h  \* MERGEFORMAT </w:instrText>
      </w:r>
      <w:r w:rsidRPr="005B09F6">
        <w:rPr>
          <w:rFonts w:ascii="Calibri" w:eastAsiaTheme="minorEastAsia" w:hAnsi="Calibri"/>
          <w:sz w:val="24"/>
          <w:szCs w:val="24"/>
        </w:rPr>
      </w:r>
      <w:r w:rsidRPr="005B09F6">
        <w:rPr>
          <w:rFonts w:ascii="Calibri" w:eastAsiaTheme="minorEastAsia"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25</w:t>
      </w:r>
      <w:r w:rsidR="008D1275" w:rsidRPr="005B09F6">
        <w:rPr>
          <w:rFonts w:ascii="Calibri" w:eastAsiaTheme="minorEastAsia" w:hAnsi="Calibri"/>
          <w:sz w:val="24"/>
          <w:szCs w:val="24"/>
        </w:rPr>
        <w:t>)</w:t>
      </w:r>
      <w:r w:rsidRPr="005B09F6">
        <w:rPr>
          <w:rFonts w:ascii="Calibri" w:eastAsiaTheme="minorEastAsia" w:hAnsi="Calibri"/>
          <w:sz w:val="24"/>
          <w:szCs w:val="24"/>
        </w:rPr>
        <w:fldChar w:fldCharType="end"/>
      </w:r>
      <w:r w:rsidRPr="005B09F6">
        <w:rPr>
          <w:rFonts w:ascii="Calibri" w:eastAsiaTheme="minorEastAsia" w:hAnsi="Calibri"/>
          <w:sz w:val="24"/>
          <w:szCs w:val="24"/>
        </w:rPr>
        <w:t>, em que se observa que elas dependem de uma probabilidade de geração de Pensões (</w:t>
      </w:r>
      <m:oMath>
        <m:sSubSup>
          <m:sSubSupPr>
            <m:ctrlPr>
              <w:rPr>
                <w:rFonts w:ascii="Cambria Math" w:hAnsi="Cambria Math"/>
                <w:i/>
                <w:sz w:val="24"/>
                <w:szCs w:val="24"/>
              </w:rPr>
            </m:ctrlPr>
          </m:sSubSupPr>
          <m:e>
            <m:r>
              <w:rPr>
                <w:rFonts w:ascii="Cambria Math" w:hAnsi="Cambria Math"/>
                <w:sz w:val="24"/>
                <w:szCs w:val="24"/>
              </w:rPr>
              <m:t>ν</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 xml:space="preserve">,t </m:t>
            </m:r>
          </m:sub>
          <m:sup>
            <m:r>
              <w:rPr>
                <w:rFonts w:ascii="Cambria Math" w:hAnsi="Cambria Math"/>
                <w:sz w:val="24"/>
                <w:szCs w:val="24"/>
              </w:rPr>
              <m:t>s</m:t>
            </m:r>
          </m:sup>
        </m:sSubSup>
      </m:oMath>
      <w:r w:rsidRPr="005B09F6">
        <w:rPr>
          <w:rFonts w:ascii="Calibri" w:eastAsiaTheme="minorEastAsia" w:hAnsi="Calibri"/>
          <w:sz w:val="24"/>
          <w:szCs w:val="24"/>
        </w:rPr>
        <w:t>) aplicada sobre a estimativa de óbitos tanto de segurados como de beneficiários permanentes do sexo oposto (cônjuges), a qual é calculada por meio da multiplicação entre a taxa de mortalidade e somatório de estoques de segurados e de beneficiários de aposentadorias (benefícios permanentes)</w:t>
      </w:r>
      <w:r w:rsidRPr="005B09F6">
        <w:rPr>
          <w:rStyle w:val="Refdenotaderodap"/>
          <w:rFonts w:ascii="Calibri" w:eastAsiaTheme="minorEastAsia" w:hAnsi="Calibri"/>
          <w:sz w:val="24"/>
          <w:szCs w:val="24"/>
        </w:rPr>
        <w:footnoteReference w:id="12"/>
      </w:r>
      <w:r w:rsidRPr="005B09F6">
        <w:rPr>
          <w:rFonts w:ascii="Calibri" w:eastAsiaTheme="minorEastAsia" w:hAnsi="Calibri"/>
          <w:sz w:val="24"/>
          <w:szCs w:val="24"/>
        </w:rPr>
        <w:t>. Observa-se que a variável (</w:t>
      </w:r>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oMath>
      <w:r w:rsidRPr="005B09F6">
        <w:rPr>
          <w:rFonts w:ascii="Calibri" w:eastAsiaTheme="minorEastAsia" w:hAnsi="Calibri"/>
          <w:sz w:val="24"/>
          <w:szCs w:val="24"/>
        </w:rPr>
        <w:t>)</w:t>
      </w:r>
      <w:r w:rsidRPr="005B09F6">
        <w:rPr>
          <w:rFonts w:ascii="Calibri" w:hAnsi="Calibri"/>
          <w:sz w:val="24"/>
          <w:szCs w:val="24"/>
        </w:rPr>
        <w:t xml:space="preserve"> consiste no diferencial de idade entre cônjuges, conforme equação </w:t>
      </w:r>
      <w:r w:rsidRPr="005B09F6">
        <w:rPr>
          <w:rFonts w:ascii="Calibri" w:hAnsi="Calibri"/>
          <w:sz w:val="24"/>
          <w:szCs w:val="24"/>
        </w:rPr>
        <w:fldChar w:fldCharType="begin"/>
      </w:r>
      <w:r w:rsidRPr="005B09F6">
        <w:rPr>
          <w:rFonts w:ascii="Calibri" w:hAnsi="Calibri"/>
          <w:sz w:val="24"/>
          <w:szCs w:val="24"/>
        </w:rPr>
        <w:instrText xml:space="preserve"> REF _Ref468438579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26</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e visa estimar a idade dos cônjuges recebedores do benefício no momento de concessão</w:t>
      </w:r>
      <w:r w:rsidRPr="005B09F6">
        <w:rPr>
          <w:rFonts w:ascii="Calibri" w:eastAsiaTheme="minorEastAsia" w:hAnsi="Calibri"/>
          <w:sz w:val="24"/>
          <w:szCs w:val="24"/>
        </w:rPr>
        <w:t xml:space="preserve">. </w:t>
      </w:r>
      <w:r w:rsidRPr="005B09F6">
        <w:rPr>
          <w:rFonts w:ascii="Calibri" w:hAnsi="Calibri"/>
          <w:sz w:val="24"/>
          <w:szCs w:val="24"/>
        </w:rPr>
        <w:t>Por fim, (</w:t>
      </w:r>
      <m:oMath>
        <m:sSubSup>
          <m:sSubSupPr>
            <m:ctrlPr>
              <w:rPr>
                <w:rFonts w:ascii="Cambria Math" w:hAnsi="Cambria Math"/>
                <w:i/>
                <w:sz w:val="24"/>
                <w:szCs w:val="24"/>
              </w:rPr>
            </m:ctrlPr>
          </m:sSubSupPr>
          <m:e>
            <m:r>
              <w:rPr>
                <w:rFonts w:ascii="Cambria Math" w:hAnsi="Cambria Math"/>
                <w:sz w:val="24"/>
                <w:szCs w:val="24"/>
              </w:rPr>
              <m:t>σ</m:t>
            </m:r>
          </m:e>
          <m:sub>
            <m:r>
              <w:rPr>
                <w:rFonts w:ascii="Cambria Math" w:hAnsi="Cambria Math"/>
                <w:sz w:val="24"/>
                <w:szCs w:val="24"/>
              </w:rPr>
              <m:t>i,t</m:t>
            </m:r>
          </m:sub>
          <m:sup>
            <m:r>
              <w:rPr>
                <w:rFonts w:ascii="Cambria Math" w:hAnsi="Cambria Math"/>
                <w:sz w:val="24"/>
                <w:szCs w:val="24"/>
              </w:rPr>
              <m:t>s</m:t>
            </m:r>
          </m:sup>
        </m:sSubSup>
      </m:oMath>
      <w:r w:rsidRPr="005B09F6">
        <w:rPr>
          <w:rFonts w:ascii="Calibri" w:eastAsiaTheme="minorEastAsia" w:hAnsi="Calibri"/>
          <w:sz w:val="24"/>
          <w:szCs w:val="24"/>
        </w:rPr>
        <w:t>)</w:t>
      </w:r>
      <w:r w:rsidRPr="005B09F6">
        <w:rPr>
          <w:rFonts w:ascii="Calibri" w:hAnsi="Calibri"/>
          <w:sz w:val="24"/>
          <w:szCs w:val="24"/>
        </w:rPr>
        <w:t xml:space="preserve"> é dado pela equação </w:t>
      </w:r>
      <w:r w:rsidRPr="005B09F6">
        <w:rPr>
          <w:rFonts w:ascii="Calibri" w:hAnsi="Calibri"/>
          <w:sz w:val="24"/>
          <w:szCs w:val="24"/>
        </w:rPr>
        <w:fldChar w:fldCharType="begin"/>
      </w:r>
      <w:r w:rsidRPr="005B09F6">
        <w:rPr>
          <w:rFonts w:ascii="Calibri" w:hAnsi="Calibri"/>
          <w:sz w:val="24"/>
          <w:szCs w:val="24"/>
        </w:rPr>
        <w:instrText xml:space="preserve"> REF _Ref468288688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27</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para </w:t>
      </w:r>
      <m:oMath>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oMath>
      <w:r w:rsidRPr="005B09F6">
        <w:rPr>
          <w:rFonts w:ascii="Calibri" w:hAnsi="Calibri"/>
          <w:sz w:val="24"/>
          <w:szCs w:val="24"/>
        </w:rPr>
        <w:t xml:space="preserve">  &gt; 0, </w:t>
      </w:r>
      <w:proofErr w:type="gramStart"/>
      <w:r w:rsidRPr="005B09F6">
        <w:rPr>
          <w:rFonts w:ascii="Calibri" w:hAnsi="Calibri"/>
          <w:sz w:val="24"/>
          <w:szCs w:val="24"/>
        </w:rPr>
        <w:t xml:space="preserve">e </w:t>
      </w:r>
      <m:oMath>
        <m:sSubSup>
          <m:sSubSupPr>
            <m:ctrlPr>
              <w:rPr>
                <w:rFonts w:ascii="Cambria Math" w:hAnsi="Cambria Math"/>
                <w:i/>
                <w:sz w:val="24"/>
                <w:szCs w:val="24"/>
              </w:rPr>
            </m:ctrlPr>
          </m:sSubSupPr>
          <m:e>
            <m:r>
              <w:rPr>
                <w:rFonts w:ascii="Cambria Math" w:hAnsi="Cambria Math"/>
                <w:sz w:val="24"/>
                <w:szCs w:val="24"/>
              </w:rPr>
              <m:t>σ</m:t>
            </m:r>
          </m:e>
          <m:sub>
            <m:r>
              <w:rPr>
                <w:rFonts w:ascii="Cambria Math" w:hAnsi="Cambria Math"/>
                <w:sz w:val="24"/>
                <w:szCs w:val="24"/>
              </w:rPr>
              <m:t>i,t</m:t>
            </m:r>
          </m:sub>
          <m:sup>
            <m:r>
              <w:rPr>
                <w:rFonts w:ascii="Cambria Math" w:hAnsi="Cambria Math"/>
                <w:sz w:val="24"/>
                <w:szCs w:val="24"/>
              </w:rPr>
              <m:t>s</m:t>
            </m:r>
          </m:sup>
        </m:sSubSup>
        <m:r>
          <w:rPr>
            <w:rFonts w:ascii="Cambria Math" w:hAnsi="Cambria Math"/>
            <w:sz w:val="24"/>
            <w:szCs w:val="24"/>
          </w:rPr>
          <m:t>=0</m:t>
        </m:r>
      </m:oMath>
      <w:r w:rsidRPr="005B09F6">
        <w:rPr>
          <w:rFonts w:ascii="Calibri" w:hAnsi="Calibri"/>
          <w:sz w:val="24"/>
          <w:szCs w:val="24"/>
        </w:rPr>
        <w:t xml:space="preserve"> para</w:t>
      </w:r>
      <w:proofErr w:type="gramEnd"/>
      <w:r w:rsidRPr="005B09F6">
        <w:rPr>
          <w:rFonts w:ascii="Calibri" w:hAnsi="Calibri"/>
          <w:sz w:val="24"/>
          <w:szCs w:val="24"/>
        </w:rPr>
        <w:t xml:space="preserve"> </w:t>
      </w:r>
      <m:oMath>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oMath>
      <w:r w:rsidRPr="005B09F6">
        <w:rPr>
          <w:rFonts w:ascii="Calibri" w:hAnsi="Calibri"/>
          <w:sz w:val="24"/>
          <w:szCs w:val="24"/>
        </w:rPr>
        <w:t xml:space="preserve">  = 0 (sendo que </w:t>
      </w:r>
      <m:oMath>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oMath>
      <w:r w:rsidRPr="005B09F6">
        <w:rPr>
          <w:rFonts w:ascii="Calibri" w:hAnsi="Calibri"/>
          <w:sz w:val="24"/>
          <w:szCs w:val="24"/>
        </w:rPr>
        <w:t xml:space="preserve">  é dado pelo número de anos de durou o benefício que está sendo cessado de acordo com a Lei 13.135/2015):</w:t>
      </w:r>
      <w:r w:rsidRPr="005B09F6">
        <w:rPr>
          <w:rStyle w:val="Refdenotaderodap"/>
          <w:rFonts w:ascii="Calibri" w:hAnsi="Calibri"/>
          <w:sz w:val="24"/>
          <w:szCs w:val="24"/>
        </w:rPr>
        <w:footnoteReference w:id="13"/>
      </w:r>
    </w:p>
    <w:p w:rsidR="00FF5C5E" w:rsidRPr="005B09F6" w:rsidRDefault="00FF5C5E" w:rsidP="00FF5C5E">
      <w:pPr>
        <w:spacing w:line="360" w:lineRule="auto"/>
        <w:jc w:val="both"/>
        <w:rPr>
          <w:rFonts w:ascii="Calibri" w:hAnsi="Calibri"/>
          <w:sz w:val="24"/>
          <w:szCs w:val="24"/>
        </w:rPr>
      </w:pPr>
    </w:p>
    <w:tbl>
      <w:tblPr>
        <w:tblStyle w:val="Tabelacomgrade"/>
        <w:tblW w:w="9786"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652"/>
        <w:gridCol w:w="420"/>
        <w:gridCol w:w="714"/>
      </w:tblGrid>
      <w:tr w:rsidR="00FF5C5E" w:rsidRPr="005B09F6" w:rsidTr="00637C42">
        <w:trPr>
          <w:trHeight w:hRule="exact" w:val="567"/>
        </w:trPr>
        <w:tc>
          <w:tcPr>
            <w:tcW w:w="8652" w:type="dxa"/>
            <w:shd w:val="clear" w:color="auto" w:fill="FFFFFF" w:themeFill="background1"/>
            <w:vAlign w:val="center"/>
          </w:tcPr>
          <w:p w:rsidR="00FF5C5E" w:rsidRPr="005B09F6" w:rsidRDefault="00CB65A3" w:rsidP="00637C42">
            <w:pPr>
              <w:spacing w:line="360" w:lineRule="auto"/>
              <w:rPr>
                <w:rFonts w:ascii="Calibri" w:eastAsiaTheme="minorEastAsia" w:hAnsi="Calibri"/>
                <w:b/>
                <w:color w:val="2E653E" w:themeColor="accent5" w:themeShade="BF"/>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1134"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8" w:name="_Ref468375684"/>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21</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8"/>
          </w:p>
        </w:tc>
      </w:tr>
      <w:tr w:rsidR="00FF5C5E" w:rsidRPr="005B09F6" w:rsidTr="00637C42">
        <w:trPr>
          <w:trHeight w:hRule="exact" w:val="567"/>
        </w:trPr>
        <w:tc>
          <w:tcPr>
            <w:tcW w:w="9072" w:type="dxa"/>
            <w:gridSpan w:val="2"/>
            <w:shd w:val="clear" w:color="auto" w:fill="FFFFFF" w:themeFill="background1"/>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PeA</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oMath>
            </m:oMathPara>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39" w:name="_Ref468375701"/>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22</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39"/>
          </w:p>
        </w:tc>
      </w:tr>
      <w:tr w:rsidR="00FF5C5E" w:rsidRPr="005B09F6" w:rsidTr="00637C42">
        <w:trPr>
          <w:trHeight w:hRule="exact" w:val="567"/>
        </w:trPr>
        <w:tc>
          <w:tcPr>
            <w:tcW w:w="9072" w:type="dxa"/>
            <w:gridSpan w:val="2"/>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σ</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 t</m:t>
                </m:r>
                <m:r>
                  <m:rPr>
                    <m:sty m:val="p"/>
                  </m:rPr>
                  <w:rPr>
                    <w:rFonts w:ascii="Cambria Math" w:hAnsi="Cambria Math"/>
                    <w:sz w:val="24"/>
                    <w:szCs w:val="24"/>
                  </w:rPr>
                  <m:t>≥2015</m:t>
                </m:r>
              </m:oMath>
            </m:oMathPara>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0" w:name="_Ref46837566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23</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0"/>
          </w:p>
        </w:tc>
      </w:tr>
      <w:tr w:rsidR="00FF5C5E" w:rsidRPr="005B09F6" w:rsidTr="00637C42">
        <w:trPr>
          <w:trHeight w:hRule="exact" w:val="680"/>
        </w:trPr>
        <w:tc>
          <w:tcPr>
            <w:tcW w:w="9072" w:type="dxa"/>
            <w:gridSpan w:val="2"/>
            <w:shd w:val="clear" w:color="auto" w:fill="FFFFFF" w:themeFill="background1"/>
            <w:vAlign w:val="center"/>
          </w:tcPr>
          <w:p w:rsidR="00FF5C5E" w:rsidRPr="005B09F6" w:rsidRDefault="00CB65A3" w:rsidP="00637C42">
            <w:pPr>
              <w:spacing w:line="360" w:lineRule="auto"/>
              <w:jc w:val="center"/>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H</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ν</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 xml:space="preserve">,t </m:t>
                    </m:r>
                  </m:sub>
                  <m:sup>
                    <m:r>
                      <w:rPr>
                        <w:rFonts w:ascii="Cambria Math" w:hAnsi="Cambria Math"/>
                        <w:sz w:val="24"/>
                        <w:szCs w:val="24"/>
                      </w:rPr>
                      <m:t>M</m:t>
                    </m:r>
                  </m:sup>
                </m:sSubSup>
                <m:r>
                  <w:rPr>
                    <w:rFonts w:ascii="Cambria Math" w:hAnsi="Cambria Math"/>
                    <w:sz w:val="24"/>
                    <w:szCs w:val="24"/>
                  </w:rPr>
                  <m:t xml:space="preserve">. </m:t>
                </m:r>
                <m:d>
                  <m:dPr>
                    <m:ctrlPr>
                      <w:rPr>
                        <w:rFonts w:ascii="Cambria Math" w:hAnsi="Cambria Math"/>
                        <w:i/>
                        <w:sz w:val="24"/>
                        <w:szCs w:val="24"/>
                      </w:rPr>
                    </m:ctrlPr>
                  </m:dPr>
                  <m:e>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 xml:space="preserve">,t </m:t>
                            </m:r>
                          </m:sub>
                          <m:sup>
                            <m:r>
                              <w:rPr>
                                <w:rFonts w:ascii="Cambria Math" w:hAnsi="Cambria Math"/>
                                <w:sz w:val="24"/>
                                <w:szCs w:val="24"/>
                              </w:rPr>
                              <m:t>M</m:t>
                            </m:r>
                          </m:sup>
                        </m:sSubSup>
                      </m:e>
                    </m:sPre>
                    <m:r>
                      <w:rPr>
                        <w:rFonts w:ascii="Cambria Math" w:hAnsi="Cambria Math"/>
                        <w:sz w:val="24"/>
                        <w:szCs w:val="24"/>
                      </w:rPr>
                      <m:t>+</m:t>
                    </m:r>
                    <m:nary>
                      <m:naryPr>
                        <m:chr m:val="∑"/>
                        <m:limLoc m:val="undOvr"/>
                        <m:subHide m:val="1"/>
                        <m:supHide m:val="1"/>
                        <m:ctrlPr>
                          <w:rPr>
                            <w:rFonts w:ascii="Cambria Math" w:hAnsi="Cambria Math"/>
                            <w:i/>
                            <w:sz w:val="24"/>
                            <w:szCs w:val="24"/>
                          </w:rPr>
                        </m:ctrlPr>
                      </m:naryPr>
                      <m:sub/>
                      <m:sup/>
                      <m:e>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,t</m:t>
                                </m:r>
                              </m:sub>
                              <m:sup>
                                <m:r>
                                  <w:rPr>
                                    <w:rFonts w:ascii="Cambria Math" w:hAnsi="Cambria Math"/>
                                    <w:sz w:val="24"/>
                                    <w:szCs w:val="24"/>
                                  </w:rPr>
                                  <m:t>M</m:t>
                                </m:r>
                              </m:sup>
                            </m:sSubSup>
                          </m:e>
                        </m:sPre>
                      </m:e>
                    </m:nary>
                  </m:e>
                </m:d>
                <m:r>
                  <w:rPr>
                    <w:rFonts w:ascii="Cambria Math" w:hAnsi="Cambria Math"/>
                    <w:sz w:val="24"/>
                    <w:szCs w:val="24"/>
                  </w:rPr>
                  <m:t>*</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,t</m:t>
                    </m:r>
                  </m:sub>
                  <m:sup>
                    <m:r>
                      <w:rPr>
                        <w:rFonts w:ascii="Cambria Math" w:hAnsi="Cambria Math"/>
                        <w:sz w:val="24"/>
                        <w:szCs w:val="24"/>
                      </w:rPr>
                      <m:t>M</m:t>
                    </m:r>
                  </m:sup>
                </m:sSubSup>
                <m:r>
                  <w:rPr>
                    <w:rFonts w:ascii="Cambria Math" w:hAnsi="Cambria Math"/>
                    <w:sz w:val="24"/>
                    <w:szCs w:val="24"/>
                  </w:rPr>
                  <m:t>,</m:t>
                </m:r>
              </m:oMath>
            </m:oMathPara>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1" w:name="_Ref468438367"/>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24</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1"/>
          </w:p>
        </w:tc>
      </w:tr>
      <w:tr w:rsidR="00FF5C5E" w:rsidRPr="005B09F6" w:rsidTr="00637C42">
        <w:trPr>
          <w:trHeight w:hRule="exact" w:val="680"/>
        </w:trPr>
        <w:tc>
          <w:tcPr>
            <w:tcW w:w="9072" w:type="dxa"/>
            <w:gridSpan w:val="2"/>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M</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ν</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 xml:space="preserve">,t </m:t>
                    </m:r>
                  </m:sub>
                  <m:sup>
                    <m:r>
                      <w:rPr>
                        <w:rFonts w:ascii="Cambria Math" w:hAnsi="Cambria Math"/>
                        <w:sz w:val="24"/>
                        <w:szCs w:val="24"/>
                      </w:rPr>
                      <m:t>H</m:t>
                    </m:r>
                  </m:sup>
                </m:sSubSup>
                <m:r>
                  <w:rPr>
                    <w:rFonts w:ascii="Cambria Math" w:hAnsi="Cambria Math"/>
                    <w:sz w:val="24"/>
                    <w:szCs w:val="24"/>
                  </w:rPr>
                  <m:t xml:space="preserve">. </m:t>
                </m:r>
                <m:d>
                  <m:dPr>
                    <m:ctrlPr>
                      <w:rPr>
                        <w:rFonts w:ascii="Cambria Math" w:hAnsi="Cambria Math"/>
                        <w:i/>
                        <w:sz w:val="24"/>
                        <w:szCs w:val="24"/>
                      </w:rPr>
                    </m:ctrlPr>
                  </m:dPr>
                  <m:e>
                    <m:sPre>
                      <m:sPrePr>
                        <m:ctrlPr>
                          <w:rPr>
                            <w:rFonts w:ascii="Cambria Math" w:hAnsi="Cambria Math"/>
                            <w:i/>
                            <w:sz w:val="24"/>
                            <w:szCs w:val="24"/>
                          </w:rPr>
                        </m:ctrlPr>
                      </m:sPrePr>
                      <m:sub>
                        <m:r>
                          <w:rPr>
                            <w:rFonts w:ascii="Cambria Math" w:hAnsi="Cambria Math"/>
                            <w:sz w:val="24"/>
                            <w:szCs w:val="24"/>
                          </w:rPr>
                          <m:t>c</m:t>
                        </m:r>
                      </m:sub>
                      <m:sup/>
                      <m:e>
                        <m:sSubSup>
                          <m:sSubSupPr>
                            <m:ctrlPr>
                              <w:rPr>
                                <w:rFonts w:ascii="Cambria Math" w:hAnsi="Cambria Math"/>
                                <w:i/>
                                <w:sz w:val="24"/>
                                <w:szCs w:val="24"/>
                              </w:rPr>
                            </m:ctrlPr>
                          </m:sSubSupPr>
                          <m:e>
                            <m:r>
                              <w:rPr>
                                <w:rFonts w:ascii="Cambria Math" w:hAnsi="Cambria Math"/>
                                <w:sz w:val="24"/>
                                <w:szCs w:val="24"/>
                              </w:rPr>
                              <m:t>F</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 xml:space="preserve">,t </m:t>
                            </m:r>
                          </m:sub>
                          <m:sup>
                            <m:r>
                              <w:rPr>
                                <w:rFonts w:ascii="Cambria Math" w:hAnsi="Cambria Math"/>
                                <w:sz w:val="24"/>
                                <w:szCs w:val="24"/>
                              </w:rPr>
                              <m:t>H</m:t>
                            </m:r>
                          </m:sup>
                        </m:sSubSup>
                      </m:e>
                    </m:sPre>
                    <m:r>
                      <w:rPr>
                        <w:rFonts w:ascii="Cambria Math" w:hAnsi="Cambria Math"/>
                        <w:sz w:val="24"/>
                        <w:szCs w:val="24"/>
                      </w:rPr>
                      <m:t>+</m:t>
                    </m:r>
                    <m:nary>
                      <m:naryPr>
                        <m:chr m:val="∑"/>
                        <m:limLoc m:val="undOvr"/>
                        <m:subHide m:val="1"/>
                        <m:supHide m:val="1"/>
                        <m:ctrlPr>
                          <w:rPr>
                            <w:rFonts w:ascii="Cambria Math" w:hAnsi="Cambria Math"/>
                            <w:i/>
                            <w:sz w:val="24"/>
                            <w:szCs w:val="24"/>
                          </w:rPr>
                        </m:ctrlPr>
                      </m:naryPr>
                      <m:sub/>
                      <m:sup/>
                      <m:e>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α</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,t</m:t>
                                </m:r>
                              </m:sub>
                              <m:sup>
                                <m:r>
                                  <w:rPr>
                                    <w:rFonts w:ascii="Cambria Math" w:hAnsi="Cambria Math"/>
                                    <w:sz w:val="24"/>
                                    <w:szCs w:val="24"/>
                                  </w:rPr>
                                  <m:t>H</m:t>
                                </m:r>
                              </m:sup>
                            </m:sSubSup>
                          </m:e>
                        </m:sPre>
                      </m:e>
                    </m:nary>
                  </m:e>
                </m:d>
                <m:r>
                  <w:rPr>
                    <w:rFonts w:ascii="Cambria Math" w:hAnsi="Cambria Math"/>
                    <w:sz w:val="24"/>
                    <w:szCs w:val="24"/>
                  </w:rPr>
                  <m:t>*</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,t</m:t>
                    </m:r>
                  </m:sub>
                  <m:sup>
                    <m:r>
                      <w:rPr>
                        <w:rFonts w:ascii="Cambria Math" w:hAnsi="Cambria Math"/>
                        <w:sz w:val="24"/>
                        <w:szCs w:val="24"/>
                      </w:rPr>
                      <m:t>H</m:t>
                    </m:r>
                  </m:sup>
                </m:sSubSup>
                <m:r>
                  <w:rPr>
                    <w:rFonts w:ascii="Cambria Math" w:hAnsi="Cambria Math"/>
                    <w:sz w:val="24"/>
                    <w:szCs w:val="24"/>
                  </w:rPr>
                  <m:t>,</m:t>
                </m:r>
              </m:oMath>
            </m:oMathPara>
          </w:p>
          <w:p w:rsidR="00FF5C5E" w:rsidRPr="005B09F6" w:rsidRDefault="00FF5C5E" w:rsidP="00637C42">
            <w:pPr>
              <w:spacing w:line="360" w:lineRule="auto"/>
              <w:jc w:val="center"/>
              <w:rPr>
                <w:rFonts w:ascii="Calibri" w:eastAsia="Calibri" w:hAnsi="Calibri"/>
                <w:sz w:val="24"/>
                <w:szCs w:val="24"/>
              </w:rPr>
            </w:pPr>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bookmarkStart w:id="142" w:name="_Ref46843836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25</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2"/>
          </w:p>
        </w:tc>
      </w:tr>
      <w:tr w:rsidR="00FF5C5E" w:rsidRPr="005B09F6" w:rsidTr="00637C42">
        <w:trPr>
          <w:trHeight w:hRule="exact" w:val="567"/>
        </w:trPr>
        <w:tc>
          <w:tcPr>
            <w:tcW w:w="9072" w:type="dxa"/>
            <w:gridSpan w:val="2"/>
            <w:shd w:val="clear" w:color="auto" w:fill="FFFFFF" w:themeFill="background1"/>
            <w:vAlign w:val="center"/>
          </w:tcPr>
          <w:p w:rsidR="00FF5C5E" w:rsidRPr="005B09F6" w:rsidRDefault="00CB65A3" w:rsidP="00637C42">
            <w:pPr>
              <w:spacing w:line="360" w:lineRule="auto"/>
              <w:rPr>
                <w:rFonts w:ascii="Calibri" w:eastAsia="Calibri" w:hAnsi="Calibri"/>
                <w:sz w:val="24"/>
                <w:szCs w:val="24"/>
              </w:rPr>
            </w:pPr>
            <m:oMathPara>
              <m:oMath>
                <m:sSub>
                  <m:sSubPr>
                    <m:ctrlPr>
                      <w:rPr>
                        <w:rFonts w:ascii="Cambria Math" w:hAnsi="Cambria Math"/>
                        <w:i/>
                        <w:sz w:val="24"/>
                        <w:szCs w:val="24"/>
                      </w:rPr>
                    </m:ctrlPr>
                  </m:sSubPr>
                  <m:e>
                    <m:r>
                      <w:rPr>
                        <w:rFonts w:ascii="Cambria Math" w:hAnsi="Cambria Math"/>
                        <w:sz w:val="24"/>
                        <w:szCs w:val="24"/>
                      </w:rPr>
                      <m:t>D</m:t>
                    </m:r>
                  </m:e>
                  <m:sub>
                    <m:r>
                      <w:rPr>
                        <w:rFonts w:ascii="Cambria Math" w:hAnsi="Cambria Math"/>
                        <w:sz w:val="24"/>
                        <w:szCs w:val="24"/>
                      </w:rPr>
                      <m:t>i, t</m:t>
                    </m:r>
                  </m:sub>
                </m:sSub>
                <m:r>
                  <w:rPr>
                    <w:rFonts w:ascii="Cambria Math" w:hAnsi="Cambria Math"/>
                    <w:sz w:val="24"/>
                    <w:szCs w:val="24"/>
                  </w:rPr>
                  <m:t>=</m:t>
                </m:r>
                <m:sSubSup>
                  <m:sSubSupPr>
                    <m:ctrlPr>
                      <w:rPr>
                        <w:rFonts w:ascii="Cambria Math" w:hAnsi="Cambria Math"/>
                        <w:i/>
                        <w:sz w:val="24"/>
                        <w:szCs w:val="24"/>
                      </w:rPr>
                    </m:ctrlPr>
                  </m:sSubSupPr>
                  <m:e>
                    <m:sSubSup>
                      <m:sSubSupPr>
                        <m:ctrlPr>
                          <w:rPr>
                            <w:rFonts w:ascii="Cambria Math" w:hAnsi="Cambria Math"/>
                            <w:i/>
                            <w:sz w:val="24"/>
                            <w:szCs w:val="24"/>
                          </w:rPr>
                        </m:ctrlPr>
                      </m:sSubSupPr>
                      <m:e>
                        <m:r>
                          <w:rPr>
                            <w:rFonts w:ascii="Cambria Math" w:hAnsi="Cambria Math"/>
                            <w:sz w:val="24"/>
                            <w:szCs w:val="24"/>
                          </w:rPr>
                          <m:t>Id</m:t>
                        </m:r>
                      </m:e>
                      <m:sub>
                        <m:r>
                          <w:rPr>
                            <w:rFonts w:ascii="Cambria Math" w:hAnsi="Cambria Math"/>
                            <w:sz w:val="24"/>
                            <w:szCs w:val="24"/>
                          </w:rPr>
                          <m:t xml:space="preserve">i,t </m:t>
                        </m:r>
                      </m:sub>
                      <m:sup>
                        <m:r>
                          <w:rPr>
                            <w:rFonts w:ascii="Cambria Math" w:hAnsi="Cambria Math"/>
                            <w:sz w:val="24"/>
                            <w:szCs w:val="24"/>
                          </w:rPr>
                          <m:t>H</m:t>
                        </m:r>
                      </m:sup>
                    </m:sSubSup>
                    <m:r>
                      <w:rPr>
                        <w:rFonts w:ascii="Cambria Math" w:hAnsi="Cambria Math"/>
                        <w:sz w:val="24"/>
                        <w:szCs w:val="24"/>
                      </w:rPr>
                      <m:t>-Id</m:t>
                    </m:r>
                  </m:e>
                  <m:sub>
                    <m:r>
                      <w:rPr>
                        <w:rFonts w:ascii="Cambria Math" w:hAnsi="Cambria Math"/>
                        <w:sz w:val="24"/>
                        <w:szCs w:val="24"/>
                      </w:rPr>
                      <m:t xml:space="preserve">i,t </m:t>
                    </m:r>
                  </m:sub>
                  <m:sup>
                    <m:r>
                      <w:rPr>
                        <w:rFonts w:ascii="Cambria Math" w:hAnsi="Cambria Math"/>
                        <w:sz w:val="24"/>
                        <w:szCs w:val="24"/>
                      </w:rPr>
                      <m:t>M</m:t>
                    </m:r>
                  </m:sup>
                </m:sSubSup>
              </m:oMath>
            </m:oMathPara>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bookmarkStart w:id="143" w:name="_Ref46843857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26</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3"/>
          </w:p>
        </w:tc>
      </w:tr>
      <w:tr w:rsidR="00FF5C5E" w:rsidRPr="005B09F6" w:rsidTr="00637C42">
        <w:trPr>
          <w:trHeight w:hRule="exact" w:val="3119"/>
        </w:trPr>
        <w:tc>
          <w:tcPr>
            <w:tcW w:w="9072" w:type="dxa"/>
            <w:gridSpan w:val="2"/>
            <w:shd w:val="clear" w:color="auto" w:fill="FFFFFF" w:themeFill="background1"/>
            <w:vAlign w:val="center"/>
          </w:tcPr>
          <w:p w:rsidR="00FF5C5E" w:rsidRPr="005B09F6" w:rsidRDefault="00CB65A3" w:rsidP="00637C42">
            <w:pPr>
              <w:spacing w:line="360" w:lineRule="auto"/>
              <w:ind w:firstLine="318"/>
              <w:rPr>
                <w:rFonts w:ascii="Calibri" w:eastAsiaTheme="minorEastAsia" w:hAnsi="Calibri"/>
                <w:sz w:val="24"/>
                <w:szCs w:val="24"/>
              </w:rPr>
            </w:pPr>
            <m:oMathPara>
              <m:oMath>
                <m:sSubSup>
                  <m:sSubSupPr>
                    <m:ctrlPr>
                      <w:rPr>
                        <w:rFonts w:ascii="Cambria Math" w:hAnsi="Cambria Math"/>
                        <w:i/>
                        <w:sz w:val="24"/>
                        <w:szCs w:val="24"/>
                      </w:rPr>
                    </m:ctrlPr>
                  </m:sSubSupPr>
                  <m:e>
                    <m:r>
                      <w:rPr>
                        <w:rFonts w:ascii="Cambria Math" w:hAnsi="Cambria Math"/>
                        <w:sz w:val="24"/>
                        <w:szCs w:val="24"/>
                      </w:rPr>
                      <m:t>σ</m:t>
                    </m:r>
                  </m:e>
                  <m:sub>
                    <m:r>
                      <w:rPr>
                        <w:rFonts w:ascii="Cambria Math" w:hAnsi="Cambria Math"/>
                        <w:sz w:val="24"/>
                        <w:szCs w:val="24"/>
                      </w:rPr>
                      <m:t>i,t</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PeB</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i-</m:t>
                        </m:r>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r>
                          <w:rPr>
                            <w:rFonts w:ascii="Cambria Math" w:hAnsi="Cambria Math"/>
                            <w:sz w:val="24"/>
                            <w:szCs w:val="24"/>
                          </w:rPr>
                          <m:t>,t-</m:t>
                        </m:r>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r>
                          <w:rPr>
                            <w:rFonts w:ascii="Cambria Math" w:hAnsi="Cambria Math"/>
                            <w:sz w:val="24"/>
                            <w:szCs w:val="24"/>
                          </w:rPr>
                          <m:t xml:space="preserve"> </m:t>
                        </m:r>
                      </m:sub>
                      <m:sup>
                        <m:r>
                          <w:rPr>
                            <w:rFonts w:ascii="Cambria Math" w:hAnsi="Cambria Math"/>
                            <w:sz w:val="24"/>
                            <w:szCs w:val="24"/>
                          </w:rPr>
                          <m:t>s</m:t>
                        </m:r>
                      </m:sup>
                    </m:sSubSup>
                  </m:e>
                </m:sPre>
                <m:r>
                  <w:rPr>
                    <w:rFonts w:ascii="Cambria Math" w:hAnsi="Cambria Math"/>
                    <w:sz w:val="24"/>
                    <w:szCs w:val="24"/>
                  </w:rPr>
                  <m:t>.</m:t>
                </m:r>
                <m:nary>
                  <m:naryPr>
                    <m:chr m:val="∏"/>
                    <m:limLoc m:val="undOvr"/>
                    <m:ctrlPr>
                      <w:rPr>
                        <w:rFonts w:ascii="Cambria Math" w:hAnsi="Cambria Math"/>
                        <w:i/>
                        <w:sz w:val="24"/>
                        <w:szCs w:val="24"/>
                      </w:rPr>
                    </m:ctrlPr>
                  </m:naryPr>
                  <m:sub>
                    <m:r>
                      <w:rPr>
                        <w:rFonts w:ascii="Cambria Math" w:hAnsi="Cambria Math"/>
                        <w:sz w:val="24"/>
                        <w:szCs w:val="24"/>
                      </w:rPr>
                      <m:t>k=i-</m:t>
                    </m:r>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sub>
                  <m:sup>
                    <m:r>
                      <w:rPr>
                        <w:rFonts w:ascii="Cambria Math" w:hAnsi="Cambria Math"/>
                        <w:sz w:val="24"/>
                        <w:szCs w:val="24"/>
                      </w:rPr>
                      <m:t>i</m:t>
                    </m:r>
                  </m:sup>
                  <m:e>
                    <m:r>
                      <w:rPr>
                        <w:rFonts w:ascii="Cambria Math" w:hAnsi="Cambria Math"/>
                        <w:sz w:val="24"/>
                        <w:szCs w:val="24"/>
                      </w:rPr>
                      <m:t xml:space="preserve">(1 - </m:t>
                    </m:r>
                  </m:e>
                </m:nary>
                <m:r>
                  <w:rPr>
                    <w:rFonts w:ascii="Cambria Math" w:hAnsi="Cambria Math"/>
                    <w:sz w:val="24"/>
                    <w:szCs w:val="24"/>
                  </w:rPr>
                  <m:t xml:space="preserve"> </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k,t-(i-k) </m:t>
                    </m:r>
                  </m:sub>
                  <m:sup>
                    <m:r>
                      <w:rPr>
                        <w:rFonts w:ascii="Cambria Math" w:hAnsi="Cambria Math"/>
                        <w:sz w:val="24"/>
                        <w:szCs w:val="24"/>
                      </w:rPr>
                      <m:t>s</m:t>
                    </m:r>
                  </m:sup>
                </m:sSubSup>
                <m:r>
                  <w:rPr>
                    <w:rFonts w:ascii="Cambria Math" w:hAnsi="Cambria Math"/>
                    <w:sz w:val="24"/>
                    <w:szCs w:val="24"/>
                  </w:rPr>
                  <m:t xml:space="preserve"> . </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Pe</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k,t-(i-k) </m:t>
                        </m:r>
                      </m:sub>
                      <m:sup>
                        <m:r>
                          <w:rPr>
                            <w:rFonts w:ascii="Cambria Math" w:hAnsi="Cambria Math"/>
                            <w:sz w:val="24"/>
                            <w:szCs w:val="24"/>
                          </w:rPr>
                          <m:t>s</m:t>
                        </m:r>
                      </m:sup>
                    </m:sSubSup>
                  </m:e>
                </m:sPre>
                <m:r>
                  <w:rPr>
                    <w:rFonts w:ascii="Cambria Math" w:hAnsi="Cambria Math"/>
                    <w:sz w:val="24"/>
                    <w:szCs w:val="24"/>
                  </w:rPr>
                  <m:t>)</m:t>
                </m:r>
              </m:oMath>
            </m:oMathPara>
          </w:p>
          <w:p w:rsidR="00FF5C5E" w:rsidRPr="005B09F6" w:rsidRDefault="00CB65A3" w:rsidP="00637C42">
            <w:pPr>
              <w:spacing w:line="360" w:lineRule="auto"/>
              <w:rPr>
                <w:rFonts w:ascii="Calibri" w:eastAsiaTheme="minorEastAsia" w:hAnsi="Calibri"/>
                <w:sz w:val="24"/>
                <w:szCs w:val="24"/>
              </w:rPr>
            </w:pPr>
            <m:oMathPara>
              <m:oMath>
                <m:sSub>
                  <m:sSubPr>
                    <m:ctrlPr>
                      <w:rPr>
                        <w:rFonts w:ascii="Cambria Math" w:hAnsi="Cambria Math"/>
                        <w:i/>
                        <w:sz w:val="24"/>
                        <w:szCs w:val="24"/>
                      </w:rPr>
                    </m:ctrlPr>
                  </m:sSubPr>
                  <m:e>
                    <m:r>
                      <w:rPr>
                        <w:rFonts w:ascii="Cambria Math" w:hAnsi="Cambria Math"/>
                        <w:sz w:val="24"/>
                        <w:szCs w:val="24"/>
                      </w:rPr>
                      <m:t>j</m:t>
                    </m:r>
                  </m:e>
                  <m:sub>
                    <m:r>
                      <w:rPr>
                        <w:rFonts w:ascii="Cambria Math" w:hAnsi="Cambria Math"/>
                        <w:sz w:val="24"/>
                        <w:szCs w:val="24"/>
                      </w:rPr>
                      <m:t>i</m:t>
                    </m:r>
                  </m:sub>
                </m:sSub>
                <m:r>
                  <w:rPr>
                    <w:rFonts w:ascii="Cambria Math" w:hAnsi="Cambria Math"/>
                    <w:sz w:val="24"/>
                    <w:szCs w:val="24"/>
                  </w:rPr>
                  <m:t>=</m:t>
                </m:r>
                <m:d>
                  <m:dPr>
                    <m:begChr m:val="{"/>
                    <m:endChr m:val=""/>
                    <m:ctrlPr>
                      <w:rPr>
                        <w:rFonts w:ascii="Cambria Math" w:hAnsi="Cambria Math"/>
                        <w:i/>
                        <w:sz w:val="24"/>
                        <w:szCs w:val="24"/>
                      </w:rPr>
                    </m:ctrlPr>
                  </m:dPr>
                  <m:e>
                    <m:eqArr>
                      <m:eqArrPr>
                        <m:ctrlPr>
                          <w:rPr>
                            <w:rFonts w:ascii="Cambria Math" w:hAnsi="Cambria Math"/>
                            <w:i/>
                            <w:sz w:val="24"/>
                            <w:szCs w:val="24"/>
                          </w:rPr>
                        </m:ctrlPr>
                      </m:eqArrPr>
                      <m:e>
                        <m:f>
                          <m:fPr>
                            <m:type m:val="noBar"/>
                            <m:ctrlPr>
                              <w:rPr>
                                <w:rFonts w:ascii="Cambria Math" w:hAnsi="Cambria Math"/>
                                <w:i/>
                                <w:sz w:val="24"/>
                                <w:szCs w:val="24"/>
                              </w:rPr>
                            </m:ctrlPr>
                          </m:fPr>
                          <m:num>
                            <m:r>
                              <w:rPr>
                                <w:rFonts w:ascii="Cambria Math" w:hAnsi="Cambria Math"/>
                                <w:sz w:val="24"/>
                                <w:szCs w:val="24"/>
                              </w:rPr>
                              <m:t>3,  se i≤23</m:t>
                            </m:r>
                          </m:num>
                          <m:den>
                            <m:r>
                              <w:rPr>
                                <w:rFonts w:ascii="Cambria Math" w:hAnsi="Cambria Math"/>
                                <w:sz w:val="24"/>
                                <w:szCs w:val="24"/>
                              </w:rPr>
                              <m:t>6, se 27≤i≤32,</m:t>
                            </m:r>
                          </m:den>
                        </m:f>
                      </m:e>
                      <m:e>
                        <m:f>
                          <m:fPr>
                            <m:type m:val="noBar"/>
                            <m:ctrlPr>
                              <w:rPr>
                                <w:rFonts w:ascii="Cambria Math" w:hAnsi="Cambria Math"/>
                                <w:i/>
                                <w:sz w:val="24"/>
                                <w:szCs w:val="24"/>
                              </w:rPr>
                            </m:ctrlPr>
                          </m:fPr>
                          <m:num>
                            <m:r>
                              <w:rPr>
                                <w:rFonts w:ascii="Cambria Math" w:hAnsi="Cambria Math"/>
                                <w:sz w:val="24"/>
                                <w:szCs w:val="24"/>
                              </w:rPr>
                              <m:t>10, se 37≤i≤39,</m:t>
                            </m:r>
                          </m:num>
                          <m:den>
                            <m:r>
                              <w:rPr>
                                <w:rFonts w:ascii="Cambria Math" w:hAnsi="Cambria Math"/>
                                <w:sz w:val="24"/>
                                <w:szCs w:val="24"/>
                              </w:rPr>
                              <m:t>15, se 45≤i≤55,</m:t>
                            </m:r>
                          </m:den>
                        </m:f>
                      </m:e>
                      <m:e>
                        <m:f>
                          <m:fPr>
                            <m:type m:val="noBar"/>
                            <m:ctrlPr>
                              <w:rPr>
                                <w:rFonts w:ascii="Cambria Math" w:hAnsi="Cambria Math"/>
                                <w:i/>
                                <w:sz w:val="24"/>
                                <w:szCs w:val="24"/>
                              </w:rPr>
                            </m:ctrlPr>
                          </m:fPr>
                          <m:num>
                            <m:r>
                              <w:rPr>
                                <w:rFonts w:ascii="Cambria Math" w:hAnsi="Cambria Math"/>
                                <w:sz w:val="24"/>
                                <w:szCs w:val="24"/>
                              </w:rPr>
                              <m:t>20 ,se 61≤i≤63,</m:t>
                            </m:r>
                          </m:num>
                          <m:den>
                            <m:r>
                              <w:rPr>
                                <w:rFonts w:ascii="Cambria Math" w:hAnsi="Cambria Math"/>
                                <w:sz w:val="24"/>
                                <w:szCs w:val="24"/>
                              </w:rPr>
                              <m:t xml:space="preserve">0, para qualquer outro i </m:t>
                            </m:r>
                          </m:den>
                        </m:f>
                      </m:e>
                    </m:eqArr>
                  </m:e>
                </m:d>
              </m:oMath>
            </m:oMathPara>
          </w:p>
          <w:p w:rsidR="00FF5C5E" w:rsidRPr="005B09F6" w:rsidRDefault="00FF5C5E" w:rsidP="00637C42">
            <w:pPr>
              <w:spacing w:line="360" w:lineRule="auto"/>
              <w:ind w:firstLine="318"/>
              <w:rPr>
                <w:rFonts w:ascii="Calibri" w:hAnsi="Calibri"/>
                <w:sz w:val="24"/>
                <w:szCs w:val="24"/>
              </w:rPr>
            </w:pPr>
          </w:p>
          <w:p w:rsidR="00FF5C5E" w:rsidRPr="005B09F6" w:rsidRDefault="00FF5C5E" w:rsidP="00637C42">
            <w:pPr>
              <w:spacing w:line="360" w:lineRule="auto"/>
              <w:rPr>
                <w:rFonts w:ascii="Calibri" w:eastAsia="Calibri" w:hAnsi="Calibri"/>
                <w:sz w:val="24"/>
                <w:szCs w:val="24"/>
              </w:rPr>
            </w:pPr>
          </w:p>
        </w:tc>
        <w:tc>
          <w:tcPr>
            <w:tcW w:w="714"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bookmarkStart w:id="144" w:name="_Ref468288688"/>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27</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4"/>
          </w:p>
        </w:tc>
      </w:tr>
    </w:tbl>
    <w:p w:rsidR="00FF5C5E" w:rsidRPr="005B09F6" w:rsidRDefault="00FF5C5E" w:rsidP="00FF5C5E">
      <w:pPr>
        <w:rPr>
          <w:rFonts w:ascii="Calibri" w:hAnsi="Calibri"/>
          <w:b/>
          <w:i/>
          <w:color w:val="1C6194" w:themeColor="accent2" w:themeShade="BF"/>
          <w:sz w:val="24"/>
          <w:szCs w:val="24"/>
        </w:rPr>
      </w:pPr>
    </w:p>
    <w:p w:rsidR="00FF5C5E" w:rsidRPr="005B09F6" w:rsidRDefault="00FF5C5E" w:rsidP="00FF5C5E">
      <w:pPr>
        <w:rPr>
          <w:rFonts w:ascii="Calibri" w:hAnsi="Calibri"/>
          <w:b/>
          <w:i/>
          <w:color w:val="1C6194" w:themeColor="accent2" w:themeShade="BF"/>
          <w:sz w:val="24"/>
          <w:szCs w:val="24"/>
        </w:rPr>
      </w:pPr>
    </w:p>
    <w:p w:rsidR="001232C4" w:rsidRPr="005B09F6" w:rsidRDefault="001232C4" w:rsidP="00FF5C5E">
      <w:pPr>
        <w:rPr>
          <w:rFonts w:ascii="Calibri" w:hAnsi="Calibri"/>
          <w:b/>
          <w:i/>
          <w:color w:val="1C6194" w:themeColor="accent2" w:themeShade="BF"/>
          <w:sz w:val="24"/>
          <w:szCs w:val="24"/>
        </w:rPr>
      </w:pPr>
    </w:p>
    <w:p w:rsidR="001232C4" w:rsidRPr="005B09F6" w:rsidRDefault="001232C4" w:rsidP="00FF5C5E">
      <w:pPr>
        <w:rPr>
          <w:rFonts w:ascii="Calibri" w:hAnsi="Calibri"/>
          <w:b/>
          <w:i/>
          <w:color w:val="1C6194" w:themeColor="accent2" w:themeShade="BF"/>
          <w:sz w:val="24"/>
          <w:szCs w:val="24"/>
        </w:rPr>
      </w:pPr>
    </w:p>
    <w:p w:rsidR="001232C4" w:rsidRPr="005B09F6" w:rsidRDefault="001232C4" w:rsidP="00FF5C5E">
      <w:pPr>
        <w:rPr>
          <w:rFonts w:ascii="Calibri" w:hAnsi="Calibri"/>
          <w:b/>
          <w:i/>
          <w:color w:val="1C6194" w:themeColor="accent2" w:themeShade="BF"/>
          <w:sz w:val="24"/>
          <w:szCs w:val="24"/>
        </w:rPr>
      </w:pPr>
    </w:p>
    <w:p w:rsidR="001232C4" w:rsidRPr="005B09F6" w:rsidRDefault="001232C4" w:rsidP="00FF5C5E">
      <w:pPr>
        <w:rPr>
          <w:rFonts w:ascii="Calibri" w:hAnsi="Calibri"/>
          <w:b/>
          <w:i/>
          <w:color w:val="1C6194" w:themeColor="accent2" w:themeShade="BF"/>
          <w:sz w:val="24"/>
          <w:szCs w:val="24"/>
        </w:rPr>
      </w:pPr>
    </w:p>
    <w:p w:rsidR="00FF5C5E" w:rsidRPr="005B09F6" w:rsidRDefault="00FF5C5E" w:rsidP="00FF5C5E">
      <w:pPr>
        <w:rPr>
          <w:rFonts w:ascii="Calibri" w:hAnsi="Calibri"/>
          <w:b/>
          <w:i/>
          <w:color w:val="1C6194" w:themeColor="accent2" w:themeShade="BF"/>
          <w:sz w:val="24"/>
          <w:szCs w:val="24"/>
        </w:rPr>
      </w:pPr>
    </w:p>
    <w:p w:rsidR="00FF5C5E" w:rsidRPr="005B09F6" w:rsidRDefault="00FF5C5E" w:rsidP="00FF5C5E">
      <w:pPr>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Benefícios Assistenciais</w:t>
      </w:r>
    </w:p>
    <w:p w:rsidR="00FF5C5E" w:rsidRPr="005B09F6" w:rsidRDefault="00FF5C5E" w:rsidP="00FF5C5E">
      <w:pPr>
        <w:spacing w:line="360" w:lineRule="auto"/>
        <w:jc w:val="both"/>
        <w:rPr>
          <w:rFonts w:ascii="Calibri" w:hAnsi="Calibri"/>
          <w:sz w:val="24"/>
          <w:szCs w:val="24"/>
        </w:rPr>
      </w:pP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 xml:space="preserve">Os 4 (quatro) tipos de Benefícios Assistenciais (Loas Idoso, Loas Deficiente, RMV Idoso e RMV Deficiente) são modelados seguindo o método do fluxo exposto na equação </w:t>
      </w:r>
      <w:r w:rsidRPr="005B09F6">
        <w:rPr>
          <w:rFonts w:ascii="Calibri" w:hAnsi="Calibri"/>
          <w:sz w:val="24"/>
          <w:szCs w:val="24"/>
        </w:rPr>
        <w:fldChar w:fldCharType="begin"/>
      </w:r>
      <w:r w:rsidRPr="005B09F6">
        <w:rPr>
          <w:rFonts w:ascii="Calibri" w:hAnsi="Calibri"/>
          <w:sz w:val="24"/>
          <w:szCs w:val="24"/>
        </w:rPr>
        <w:instrText xml:space="preserve"> REF _Ref468288716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28</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w:t>
      </w:r>
      <w:r w:rsidRPr="005B09F6">
        <w:rPr>
          <w:rStyle w:val="Refdenotaderodap"/>
          <w:rFonts w:ascii="Calibri" w:hAnsi="Calibri"/>
          <w:sz w:val="24"/>
          <w:szCs w:val="24"/>
        </w:rPr>
        <w:footnoteReference w:id="14"/>
      </w:r>
      <w:r w:rsidRPr="005B09F6">
        <w:rPr>
          <w:rFonts w:ascii="Calibri" w:hAnsi="Calibri"/>
          <w:sz w:val="24"/>
          <w:szCs w:val="24"/>
        </w:rPr>
        <w:t xml:space="preserve"> Ademais, o Fator de Ajuste da Mortalidade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e</w:t>
      </w:r>
      <w:r w:rsidRPr="005B09F6">
        <w:rPr>
          <w:rFonts w:ascii="Calibri" w:hAnsi="Calibri"/>
          <w:sz w:val="24"/>
          <w:szCs w:val="24"/>
        </w:rPr>
        <w:t xml:space="preserve"> a Probabilidade de Concessão de Benefício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w:t>
      </w:r>
      <w:r w:rsidRPr="005B09F6">
        <w:rPr>
          <w:rFonts w:ascii="Calibri" w:hAnsi="Calibri"/>
          <w:sz w:val="24"/>
          <w:szCs w:val="24"/>
        </w:rPr>
        <w:t xml:space="preserve">são estimados de acordo com as equações </w:t>
      </w:r>
      <w:r w:rsidRPr="005B09F6">
        <w:rPr>
          <w:rFonts w:ascii="Calibri" w:hAnsi="Calibri"/>
          <w:sz w:val="24"/>
          <w:szCs w:val="24"/>
        </w:rPr>
        <w:fldChar w:fldCharType="begin"/>
      </w:r>
      <w:r w:rsidRPr="005B09F6">
        <w:rPr>
          <w:rFonts w:ascii="Calibri" w:hAnsi="Calibri"/>
          <w:sz w:val="24"/>
          <w:szCs w:val="24"/>
        </w:rPr>
        <w:instrText xml:space="preserve"> REF _Ref468375832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29</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a </w:t>
      </w:r>
      <w:r w:rsidRPr="005B09F6">
        <w:rPr>
          <w:rFonts w:ascii="Calibri" w:hAnsi="Calibri"/>
          <w:sz w:val="24"/>
          <w:szCs w:val="24"/>
        </w:rPr>
        <w:fldChar w:fldCharType="begin"/>
      </w:r>
      <w:r w:rsidRPr="005B09F6">
        <w:rPr>
          <w:rFonts w:ascii="Calibri" w:hAnsi="Calibri"/>
          <w:sz w:val="24"/>
          <w:szCs w:val="24"/>
        </w:rPr>
        <w:instrText xml:space="preserve"> REF _Ref468375784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31</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Acrescenta-se que a Probabilidade de Concessão no RMV é nula (</w:t>
      </w:r>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Rmv</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=0</m:t>
        </m:r>
      </m:oMath>
      <w:r w:rsidRPr="005B09F6">
        <w:rPr>
          <w:rFonts w:ascii="Calibri" w:eastAsiaTheme="minorEastAsia" w:hAnsi="Calibri"/>
          <w:sz w:val="24"/>
          <w:szCs w:val="24"/>
        </w:rPr>
        <w:t>)</w:t>
      </w:r>
      <w:r w:rsidRPr="005B09F6">
        <w:rPr>
          <w:rFonts w:ascii="Calibri" w:hAnsi="Calibri"/>
          <w:sz w:val="24"/>
          <w:szCs w:val="24"/>
        </w:rPr>
        <w:t>, pois o benefício está em extinção (sem novas concessões)</w:t>
      </w:r>
      <w:r w:rsidRPr="005B09F6">
        <w:rPr>
          <w:rStyle w:val="Refdenotaderodap"/>
          <w:rFonts w:ascii="Calibri" w:hAnsi="Calibri"/>
          <w:sz w:val="24"/>
          <w:szCs w:val="24"/>
        </w:rPr>
        <w:footnoteReference w:id="15"/>
      </w:r>
      <w:r w:rsidRPr="005B09F6">
        <w:rPr>
          <w:rFonts w:ascii="Calibri" w:hAnsi="Calibri"/>
          <w:sz w:val="24"/>
          <w:szCs w:val="24"/>
        </w:rPr>
        <w:t xml:space="preserve">. </w:t>
      </w:r>
    </w:p>
    <w:p w:rsidR="00FF5C5E" w:rsidRPr="005B09F6" w:rsidRDefault="00FF5C5E" w:rsidP="00FF5C5E">
      <w:pPr>
        <w:spacing w:line="360" w:lineRule="auto"/>
        <w:jc w:val="both"/>
        <w:rPr>
          <w:rFonts w:ascii="Calibri" w:hAnsi="Calibri"/>
          <w:sz w:val="24"/>
          <w:szCs w:val="24"/>
        </w:rPr>
      </w:pPr>
    </w:p>
    <w:tbl>
      <w:tblPr>
        <w:tblStyle w:val="Tabelacomgrade"/>
        <w:tblW w:w="9786"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8652"/>
        <w:gridCol w:w="420"/>
        <w:gridCol w:w="714"/>
      </w:tblGrid>
      <w:tr w:rsidR="00FF5C5E" w:rsidRPr="005B09F6" w:rsidTr="00637C42">
        <w:trPr>
          <w:trHeight w:hRule="exact" w:val="1021"/>
        </w:trPr>
        <w:tc>
          <w:tcPr>
            <w:tcW w:w="8652" w:type="dxa"/>
            <w:shd w:val="clear" w:color="auto" w:fill="FFFFFF" w:themeFill="background1"/>
            <w:vAlign w:val="center"/>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oMath>
            </m:oMathPara>
          </w:p>
          <w:p w:rsidR="00FF5C5E" w:rsidRPr="005B09F6" w:rsidRDefault="00FF5C5E" w:rsidP="00637C42">
            <w:pPr>
              <w:spacing w:line="360" w:lineRule="auto"/>
              <w:rPr>
                <w:rFonts w:ascii="Calibri" w:eastAsiaTheme="minorEastAsia" w:hAnsi="Calibri"/>
                <w:b/>
                <w:color w:val="2E653E" w:themeColor="accent5" w:themeShade="BF"/>
                <w:sz w:val="24"/>
                <w:szCs w:val="24"/>
              </w:rPr>
            </w:pPr>
            <m:oMathPara>
              <m:oMath>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 xml:space="preserve">. </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oMath>
            </m:oMathPara>
          </w:p>
        </w:tc>
        <w:tc>
          <w:tcPr>
            <w:tcW w:w="1134"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5" w:name="_Ref46828871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28</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5"/>
          </w:p>
        </w:tc>
      </w:tr>
      <w:tr w:rsidR="00FF5C5E" w:rsidRPr="005B09F6" w:rsidTr="00637C42">
        <w:trPr>
          <w:trHeight w:hRule="exact" w:val="454"/>
        </w:trPr>
        <w:tc>
          <w:tcPr>
            <w:tcW w:w="9072" w:type="dxa"/>
            <w:gridSpan w:val="2"/>
            <w:shd w:val="clear" w:color="auto" w:fill="FFFFFF" w:themeFill="background1"/>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eastAsia="Cambria Math" w:hAnsi="Cambria Math" w:cs="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m:t>
                            </m:r>
                          </m:e>
                          <m:sub>
                            <m:r>
                              <w:rPr>
                                <w:rFonts w:ascii="Cambria Math" w:hAnsi="Cambria Math"/>
                                <w:sz w:val="24"/>
                                <w:szCs w:val="24"/>
                              </w:rPr>
                              <m:t xml:space="preserve">i,t </m:t>
                            </m:r>
                          </m:sub>
                          <m:sup>
                            <m:r>
                              <w:rPr>
                                <w:rFonts w:ascii="Cambria Math" w:hAnsi="Cambria Math"/>
                                <w:sz w:val="24"/>
                                <w:szCs w:val="24"/>
                              </w:rPr>
                              <m:t>s</m:t>
                            </m:r>
                          </m:sup>
                        </m:sSubSup>
                      </m:e>
                    </m:sPre>
                  </m:num>
                  <m:den>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den>
                </m:f>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6" w:name="_Ref46837583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29</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6"/>
          </w:p>
        </w:tc>
      </w:tr>
      <w:tr w:rsidR="00FF5C5E" w:rsidRPr="005B09F6" w:rsidTr="00637C42">
        <w:trPr>
          <w:trHeight w:hRule="exact" w:val="454"/>
        </w:trPr>
        <w:tc>
          <w:tcPr>
            <w:tcW w:w="9072" w:type="dxa"/>
            <w:gridSpan w:val="2"/>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Ce</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2</m:t>
                        </m:r>
                      </m:den>
                    </m:f>
                    <m:r>
                      <w:rPr>
                        <w:rFonts w:ascii="Cambria Math" w:hAnsi="Cambria Math"/>
                        <w:sz w:val="24"/>
                        <w:szCs w:val="24"/>
                      </w:rPr>
                      <m:t>)]</m:t>
                    </m:r>
                  </m:den>
                </m:f>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7" w:name="_Ref46837583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30</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7"/>
          </w:p>
        </w:tc>
      </w:tr>
      <w:tr w:rsidR="00FF5C5E" w:rsidRPr="005B09F6" w:rsidTr="00637C42">
        <w:trPr>
          <w:trHeight w:hRule="exact" w:val="454"/>
        </w:trPr>
        <w:tc>
          <w:tcPr>
            <w:tcW w:w="9072" w:type="dxa"/>
            <w:gridSpan w:val="2"/>
            <w:shd w:val="clear" w:color="auto" w:fill="FFFFFF" w:themeFill="background1"/>
          </w:tcPr>
          <w:p w:rsidR="00FF5C5E" w:rsidRPr="005B09F6" w:rsidRDefault="00CB65A3" w:rsidP="00637C42">
            <w:pPr>
              <w:spacing w:line="360" w:lineRule="auto"/>
              <w:jc w:val="center"/>
              <w:rPr>
                <w:rFonts w:ascii="Calibri" w:eastAsiaTheme="minorEastAsia" w:hAnsi="Calibri"/>
                <w:sz w:val="24"/>
                <w:szCs w:val="24"/>
              </w:rPr>
            </w:pPr>
            <m:oMathPara>
              <m:oMath>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ρ</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r>
                  <m:rPr>
                    <m:sty m:val="p"/>
                  </m:rPr>
                  <w:rPr>
                    <w:rFonts w:ascii="Cambria Math" w:eastAsiaTheme="minorEastAsia"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m:t>
                    </m:r>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i,t-1 </m:t>
                        </m:r>
                      </m:sub>
                      <m:sup>
                        <m:r>
                          <w:rPr>
                            <w:rFonts w:ascii="Cambria Math" w:hAnsi="Cambria Math"/>
                            <w:sz w:val="24"/>
                            <w:szCs w:val="24"/>
                          </w:rPr>
                          <m:t>s</m:t>
                        </m:r>
                      </m:sup>
                    </m:sSubSup>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c</m:t>
                            </m:r>
                          </m:sub>
                          <m:sup>
                            <m:r>
                              <w:rPr>
                                <w:rFonts w:ascii="Cambria Math" w:hAnsi="Cambria Math"/>
                                <w:sz w:val="24"/>
                                <w:szCs w:val="24"/>
                              </w:rPr>
                              <m:t>L</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num>
                      <m:den>
                        <m:r>
                          <w:rPr>
                            <w:rFonts w:ascii="Cambria Math" w:hAnsi="Cambria Math"/>
                            <w:sz w:val="24"/>
                            <w:szCs w:val="24"/>
                          </w:rPr>
                          <m:t>2</m:t>
                        </m:r>
                      </m:den>
                    </m:f>
                  </m:den>
                </m:f>
                <m:r>
                  <w:rPr>
                    <w:rFonts w:ascii="Cambria Math" w:hAnsi="Cambria Math"/>
                    <w:sz w:val="24"/>
                    <w:szCs w:val="24"/>
                  </w:rPr>
                  <m:t>)]</m:t>
                </m:r>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48" w:name="_Ref468375784"/>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31</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48"/>
          </w:p>
        </w:tc>
      </w:tr>
      <w:tr w:rsidR="00FF5C5E" w:rsidRPr="005B09F6" w:rsidTr="00637C42">
        <w:trPr>
          <w:trHeight w:hRule="exact" w:val="454"/>
        </w:trPr>
        <w:tc>
          <w:tcPr>
            <w:tcW w:w="9072" w:type="dxa"/>
            <w:gridSpan w:val="2"/>
            <w:shd w:val="clear" w:color="auto" w:fill="FFFFFF" w:themeFill="background1"/>
          </w:tcPr>
          <w:p w:rsidR="00FF5C5E" w:rsidRPr="005B09F6" w:rsidRDefault="00FF5C5E" w:rsidP="00637C42">
            <w:pPr>
              <w:spacing w:line="360" w:lineRule="auto"/>
              <w:jc w:val="center"/>
              <w:rPr>
                <w:rFonts w:ascii="Calibri" w:eastAsia="Calibri" w:hAnsi="Calibri"/>
                <w:sz w:val="24"/>
                <w:szCs w:val="24"/>
              </w:rPr>
            </w:pPr>
            <m:oMathPara>
              <m:oMathParaPr>
                <m:jc m:val="left"/>
              </m:oMathParaPr>
              <m:oMath>
                <m:r>
                  <w:rPr>
                    <w:rFonts w:ascii="Cambria Math" w:hAnsi="Cambria Math"/>
                    <w:sz w:val="24"/>
                    <w:szCs w:val="24"/>
                  </w:rPr>
                  <m:t>L∈{LoasIdo, LoasDef, RmvIda,RmvInv}</m:t>
                </m:r>
              </m:oMath>
            </m:oMathPara>
          </w:p>
        </w:tc>
        <w:tc>
          <w:tcPr>
            <w:tcW w:w="709"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bl>
    <w:p w:rsidR="00FF5C5E" w:rsidRPr="005B09F6" w:rsidRDefault="00FF5C5E" w:rsidP="00FF5C5E">
      <w:pPr>
        <w:spacing w:before="96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Migração entre Concessões</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O modelo possui um módulo específico para lidar com a dinâmica de concessões de benefícios, de maneira a permitir tratamentos diferenciados e hipóteses sobre o comportamento das concessões futuras. Tal arcabouço possibilita a modelagem da fixação ou incremento de idade mínima como regra de acesso aos benefícios, uma vez que as concess</w:t>
      </w:r>
      <w:r w:rsidRPr="005B09F6">
        <w:rPr>
          <w:rFonts w:ascii="Calibri" w:hAnsi="Calibri" w:cs="Arial Narrow"/>
          <w:sz w:val="24"/>
          <w:szCs w:val="24"/>
        </w:rPr>
        <w:t>ões</w:t>
      </w:r>
      <w:r w:rsidRPr="005B09F6">
        <w:rPr>
          <w:rFonts w:ascii="Calibri" w:hAnsi="Calibri"/>
          <w:sz w:val="24"/>
          <w:szCs w:val="24"/>
        </w:rPr>
        <w:t xml:space="preserve"> inicialmente previstas s</w:t>
      </w:r>
      <w:r w:rsidRPr="005B09F6">
        <w:rPr>
          <w:rFonts w:ascii="Calibri" w:hAnsi="Calibri" w:cs="Arial Narrow"/>
          <w:sz w:val="24"/>
          <w:szCs w:val="24"/>
        </w:rPr>
        <w:t>ã</w:t>
      </w:r>
      <w:r w:rsidRPr="005B09F6">
        <w:rPr>
          <w:rFonts w:ascii="Calibri" w:hAnsi="Calibri"/>
          <w:sz w:val="24"/>
          <w:szCs w:val="24"/>
        </w:rPr>
        <w:t>o postergadas no tempo at</w:t>
      </w:r>
      <w:r w:rsidRPr="005B09F6">
        <w:rPr>
          <w:rFonts w:ascii="Calibri" w:hAnsi="Calibri" w:cs="Arial Narrow"/>
          <w:sz w:val="24"/>
          <w:szCs w:val="24"/>
        </w:rPr>
        <w:t>é</w:t>
      </w:r>
      <w:r w:rsidRPr="005B09F6">
        <w:rPr>
          <w:rFonts w:ascii="Calibri" w:hAnsi="Calibri"/>
          <w:sz w:val="24"/>
          <w:szCs w:val="24"/>
        </w:rPr>
        <w:t xml:space="preserve"> que sejam satisfeitas as condições de elegibilidade ao acesso ao benefício (procedimento inteiramente automatizado no modelo).</w:t>
      </w:r>
      <w:r w:rsidRPr="005B09F6">
        <w:rPr>
          <w:rStyle w:val="Refdenotaderodap"/>
          <w:rFonts w:ascii="Calibri" w:hAnsi="Calibri"/>
          <w:sz w:val="24"/>
          <w:szCs w:val="24"/>
        </w:rPr>
        <w:footnoteReference w:id="16"/>
      </w:r>
      <w:r w:rsidRPr="005B09F6">
        <w:rPr>
          <w:rFonts w:ascii="Calibri" w:hAnsi="Calibri"/>
          <w:sz w:val="24"/>
          <w:szCs w:val="24"/>
        </w:rPr>
        <w:t xml:space="preserve"> Também é possível a modelagem de eventuais bloqueios parciais (ou totais) dos fluxos de concessão ao longo do tempo, o que pode ser advindo, por exemplo, de um eventual aumento de carência como regra de acesso a determinado benefício, o que poderia levar à redução das estimativas de concessões futuras. Esse módulo do modelo também permite a migra</w:t>
      </w:r>
      <w:r w:rsidRPr="005B09F6">
        <w:rPr>
          <w:rFonts w:ascii="Calibri" w:hAnsi="Calibri" w:cs="Arial Narrow"/>
          <w:sz w:val="24"/>
          <w:szCs w:val="24"/>
        </w:rPr>
        <w:t>çã</w:t>
      </w:r>
      <w:r w:rsidRPr="005B09F6">
        <w:rPr>
          <w:rFonts w:ascii="Calibri" w:hAnsi="Calibri"/>
          <w:sz w:val="24"/>
          <w:szCs w:val="24"/>
        </w:rPr>
        <w:t>o entre as concess</w:t>
      </w:r>
      <w:r w:rsidRPr="005B09F6">
        <w:rPr>
          <w:rFonts w:ascii="Calibri" w:hAnsi="Calibri" w:cs="Arial Narrow"/>
          <w:sz w:val="24"/>
          <w:szCs w:val="24"/>
        </w:rPr>
        <w:t>õ</w:t>
      </w:r>
      <w:r w:rsidRPr="005B09F6">
        <w:rPr>
          <w:rFonts w:ascii="Calibri" w:hAnsi="Calibri"/>
          <w:sz w:val="24"/>
          <w:szCs w:val="24"/>
        </w:rPr>
        <w:t>es de benef</w:t>
      </w:r>
      <w:r w:rsidRPr="005B09F6">
        <w:rPr>
          <w:rFonts w:ascii="Calibri" w:hAnsi="Calibri" w:cs="Arial Narrow"/>
          <w:sz w:val="24"/>
          <w:szCs w:val="24"/>
        </w:rPr>
        <w:t>í</w:t>
      </w:r>
      <w:r w:rsidRPr="005B09F6">
        <w:rPr>
          <w:rFonts w:ascii="Calibri" w:hAnsi="Calibri"/>
          <w:sz w:val="24"/>
          <w:szCs w:val="24"/>
        </w:rPr>
        <w:t>cios permanentes ao longo do tempo, uma vez que o endurecimento de regras de acesso a determinado benefício poderia incentivar a busca por outro benefício de regra de elegibilidade de acesso menos restrita. Ademais, é possível que sejam levados em consideração os impactos sobre a concess</w:t>
      </w:r>
      <w:r w:rsidRPr="005B09F6">
        <w:rPr>
          <w:rFonts w:ascii="Calibri" w:hAnsi="Calibri" w:cs="Arial Narrow"/>
          <w:sz w:val="24"/>
          <w:szCs w:val="24"/>
        </w:rPr>
        <w:t>ã</w:t>
      </w:r>
      <w:r w:rsidRPr="005B09F6">
        <w:rPr>
          <w:rFonts w:ascii="Calibri" w:hAnsi="Calibri"/>
          <w:sz w:val="24"/>
          <w:szCs w:val="24"/>
        </w:rPr>
        <w:t>o de benefícios temporários (Auxílios) oriundos da postergação de concess</w:t>
      </w:r>
      <w:r w:rsidRPr="005B09F6">
        <w:rPr>
          <w:rFonts w:ascii="Calibri" w:hAnsi="Calibri" w:cs="Arial Narrow"/>
          <w:sz w:val="24"/>
          <w:szCs w:val="24"/>
        </w:rPr>
        <w:t>õ</w:t>
      </w:r>
      <w:r w:rsidRPr="005B09F6">
        <w:rPr>
          <w:rFonts w:ascii="Calibri" w:hAnsi="Calibri"/>
          <w:sz w:val="24"/>
          <w:szCs w:val="24"/>
        </w:rPr>
        <w:t>es em decorr</w:t>
      </w:r>
      <w:r w:rsidRPr="005B09F6">
        <w:rPr>
          <w:rFonts w:ascii="Calibri" w:hAnsi="Calibri" w:cs="Arial Narrow"/>
          <w:sz w:val="24"/>
          <w:szCs w:val="24"/>
        </w:rPr>
        <w:t>ê</w:t>
      </w:r>
      <w:r w:rsidRPr="005B09F6">
        <w:rPr>
          <w:rFonts w:ascii="Calibri" w:hAnsi="Calibri"/>
          <w:sz w:val="24"/>
          <w:szCs w:val="24"/>
        </w:rPr>
        <w:t>ncia, por exemplo, de mudan</w:t>
      </w:r>
      <w:r w:rsidRPr="005B09F6">
        <w:rPr>
          <w:rFonts w:ascii="Calibri" w:hAnsi="Calibri" w:cs="Arial Narrow"/>
          <w:sz w:val="24"/>
          <w:szCs w:val="24"/>
        </w:rPr>
        <w:t>ç</w:t>
      </w:r>
      <w:r w:rsidRPr="005B09F6">
        <w:rPr>
          <w:rFonts w:ascii="Calibri" w:hAnsi="Calibri"/>
          <w:sz w:val="24"/>
          <w:szCs w:val="24"/>
        </w:rPr>
        <w:t>as nas regras de acesso a benefícios (aumento de idade ou de car</w:t>
      </w:r>
      <w:r w:rsidRPr="005B09F6">
        <w:rPr>
          <w:rFonts w:ascii="Calibri" w:hAnsi="Calibri" w:cs="Arial Narrow"/>
          <w:sz w:val="24"/>
          <w:szCs w:val="24"/>
        </w:rPr>
        <w:t>ê</w:t>
      </w:r>
      <w:r w:rsidRPr="005B09F6">
        <w:rPr>
          <w:rFonts w:ascii="Calibri" w:hAnsi="Calibri"/>
          <w:sz w:val="24"/>
          <w:szCs w:val="24"/>
        </w:rPr>
        <w:t>ncia).</w:t>
      </w:r>
      <w:r w:rsidRPr="005B09F6">
        <w:rPr>
          <w:rStyle w:val="Refdenotaderodap"/>
          <w:rFonts w:ascii="Calibri" w:hAnsi="Calibri"/>
          <w:sz w:val="24"/>
          <w:szCs w:val="24"/>
        </w:rPr>
        <w:footnoteReference w:id="17"/>
      </w:r>
      <w:r w:rsidRPr="005B09F6">
        <w:rPr>
          <w:rFonts w:ascii="Calibri" w:hAnsi="Calibri"/>
          <w:sz w:val="24"/>
          <w:szCs w:val="24"/>
        </w:rPr>
        <w:t xml:space="preserve"> Por fim, a contabilização por coorte ao longo do tempo dos indivíduos que poderiam ter suas aposentadorias postergadas em decorrência de eventual mudança de regras de acesso permite que sejam estimados os impactos de tal mudança legislativa na receita previdenciária, na medida em que muitos desses indivíduos permanecerão no mercado de trabalho. </w:t>
      </w:r>
    </w:p>
    <w:p w:rsidR="00FF5C5E" w:rsidRPr="005B09F6" w:rsidRDefault="00FF5C5E" w:rsidP="00FF5C5E">
      <w:pPr>
        <w:spacing w:line="360" w:lineRule="auto"/>
        <w:jc w:val="both"/>
        <w:rPr>
          <w:rFonts w:ascii="Calibri" w:hAnsi="Calibri"/>
          <w:sz w:val="24"/>
          <w:szCs w:val="24"/>
        </w:rPr>
      </w:pPr>
    </w:p>
    <w:p w:rsidR="00FF5C5E" w:rsidRPr="005B09F6" w:rsidRDefault="00B37896" w:rsidP="0079121C">
      <w:pPr>
        <w:pStyle w:val="Ttulo2"/>
        <w:rPr>
          <w:rFonts w:ascii="Calibri" w:hAnsi="Calibri"/>
          <w:sz w:val="24"/>
          <w:szCs w:val="24"/>
        </w:rPr>
      </w:pPr>
      <w:bookmarkStart w:id="149" w:name="_Toc479081350"/>
      <w:r w:rsidRPr="005B09F6">
        <w:rPr>
          <w:rFonts w:ascii="Calibri" w:hAnsi="Calibri"/>
          <w:sz w:val="24"/>
          <w:szCs w:val="24"/>
        </w:rPr>
        <w:t>4</w:t>
      </w:r>
      <w:r w:rsidR="006A0D4B" w:rsidRPr="005B09F6">
        <w:rPr>
          <w:rFonts w:ascii="Calibri" w:hAnsi="Calibri"/>
          <w:sz w:val="24"/>
          <w:szCs w:val="24"/>
        </w:rPr>
        <w:t>.4</w:t>
      </w:r>
      <w:r w:rsidR="008D7859" w:rsidRPr="005B09F6">
        <w:rPr>
          <w:rFonts w:ascii="Calibri" w:hAnsi="Calibri"/>
          <w:sz w:val="24"/>
          <w:szCs w:val="24"/>
        </w:rPr>
        <w:tab/>
      </w:r>
      <w:r w:rsidR="001232C4" w:rsidRPr="005B09F6">
        <w:rPr>
          <w:rFonts w:ascii="Calibri" w:hAnsi="Calibri"/>
          <w:sz w:val="24"/>
          <w:szCs w:val="24"/>
        </w:rPr>
        <w:t>Preços</w:t>
      </w:r>
      <w:bookmarkEnd w:id="149"/>
    </w:p>
    <w:p w:rsidR="00FF5C5E" w:rsidRPr="005B09F6" w:rsidRDefault="00FF5C5E" w:rsidP="00735D74">
      <w:pPr>
        <w:spacing w:before="24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Rendimentos dos Subconjuntos Populacionais</w:t>
      </w:r>
    </w:p>
    <w:p w:rsidR="00FF5C5E" w:rsidRPr="005B09F6" w:rsidRDefault="00FF5C5E" w:rsidP="00FF5C5E">
      <w:pPr>
        <w:spacing w:before="360" w:line="360" w:lineRule="auto"/>
        <w:jc w:val="both"/>
        <w:rPr>
          <w:rFonts w:ascii="Calibri" w:hAnsi="Calibri"/>
          <w:sz w:val="24"/>
          <w:szCs w:val="24"/>
        </w:rPr>
      </w:pPr>
      <w:r w:rsidRPr="005B09F6">
        <w:rPr>
          <w:rFonts w:ascii="Calibri" w:eastAsiaTheme="minorEastAsia" w:hAnsi="Calibri"/>
          <w:sz w:val="24"/>
          <w:szCs w:val="24"/>
        </w:rPr>
        <w:t xml:space="preserve">Definida a projeção da evolução de quantidades das </w:t>
      </w:r>
      <w:r w:rsidRPr="005B09F6">
        <w:rPr>
          <w:rFonts w:ascii="Calibri" w:hAnsi="Calibri"/>
          <w:sz w:val="24"/>
          <w:szCs w:val="24"/>
        </w:rPr>
        <w:t>subpopulações de interesse mencionadas anteriormente</w:t>
      </w:r>
      <w:r w:rsidRPr="005B09F6">
        <w:rPr>
          <w:rFonts w:ascii="Calibri" w:eastAsiaTheme="minorEastAsia" w:hAnsi="Calibri"/>
          <w:sz w:val="24"/>
          <w:szCs w:val="24"/>
        </w:rPr>
        <w:t xml:space="preserve">, faz-se necessária a projeção da evolução de seus </w:t>
      </w:r>
      <w:r w:rsidRPr="005B09F6">
        <w:rPr>
          <w:rFonts w:ascii="Calibri" w:hAnsi="Calibri"/>
          <w:sz w:val="24"/>
          <w:szCs w:val="24"/>
        </w:rPr>
        <w:t>rendimentos médios,</w:t>
      </w:r>
      <w:r w:rsidRPr="005B09F6">
        <w:rPr>
          <w:rStyle w:val="Refdenotaderodap"/>
          <w:rFonts w:ascii="Calibri" w:hAnsi="Calibri"/>
          <w:sz w:val="24"/>
          <w:szCs w:val="24"/>
        </w:rPr>
        <w:footnoteReference w:id="18"/>
      </w:r>
      <w:r w:rsidRPr="005B09F6">
        <w:rPr>
          <w:rFonts w:ascii="Calibri" w:hAnsi="Calibri"/>
          <w:sz w:val="24"/>
          <w:szCs w:val="24"/>
        </w:rPr>
        <w:t xml:space="preserve"> e assim, por meio da multiplicação entre preços e quantidades, é possível estimar a evolução das massas salariais dos subconjuntos populacionais.</w:t>
      </w:r>
      <w:r w:rsidRPr="005B09F6">
        <w:rPr>
          <w:rStyle w:val="Refdenotaderodap"/>
          <w:rFonts w:ascii="Calibri" w:hAnsi="Calibri"/>
          <w:sz w:val="24"/>
          <w:szCs w:val="24"/>
        </w:rPr>
        <w:footnoteReference w:id="19"/>
      </w:r>
      <w:r w:rsidRPr="005B09F6">
        <w:rPr>
          <w:rFonts w:ascii="Calibri" w:hAnsi="Calibri"/>
          <w:sz w:val="24"/>
          <w:szCs w:val="24"/>
        </w:rPr>
        <w:t xml:space="preserve"> No caso da população ocupada, seu rendimento médio cresce à taxa de crescimento da produtividade do trabalho (</w:t>
      </w:r>
      <m:oMath>
        <m:sSub>
          <m:sSubPr>
            <m:ctrlPr>
              <w:rPr>
                <w:rFonts w:ascii="Cambria Math" w:hAnsi="Cambria Math"/>
                <w:i/>
                <w:sz w:val="24"/>
                <w:szCs w:val="24"/>
              </w:rPr>
            </m:ctrlPr>
          </m:sSubPr>
          <m:e>
            <m:r>
              <w:rPr>
                <w:rFonts w:ascii="Cambria Math" w:hAnsi="Cambria Math"/>
                <w:sz w:val="24"/>
                <w:szCs w:val="24"/>
              </w:rPr>
              <m:t>η</m:t>
            </m:r>
          </m:e>
          <m:sub>
            <m:r>
              <w:rPr>
                <w:rFonts w:ascii="Cambria Math" w:hAnsi="Cambria Math"/>
                <w:sz w:val="24"/>
                <w:szCs w:val="24"/>
              </w:rPr>
              <m:t>t</m:t>
            </m:r>
          </m:sub>
        </m:sSub>
      </m:oMath>
      <w:r w:rsidRPr="005B09F6">
        <w:rPr>
          <w:rFonts w:ascii="Calibri" w:hAnsi="Calibri"/>
          <w:sz w:val="24"/>
          <w:szCs w:val="24"/>
        </w:rPr>
        <w:t xml:space="preserve">), conforme explicitado pela equação </w:t>
      </w:r>
      <w:r w:rsidRPr="005B09F6">
        <w:rPr>
          <w:rFonts w:ascii="Calibri" w:hAnsi="Calibri"/>
          <w:sz w:val="24"/>
          <w:szCs w:val="24"/>
        </w:rPr>
        <w:fldChar w:fldCharType="begin"/>
      </w:r>
      <w:r w:rsidRPr="005B09F6">
        <w:rPr>
          <w:rFonts w:ascii="Calibri" w:hAnsi="Calibri"/>
          <w:sz w:val="24"/>
          <w:szCs w:val="24"/>
        </w:rPr>
        <w:instrText xml:space="preserve"> REF _Ref468185385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32</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e a evolução da massa salarial dessa subpopulação é computada a partir do produto entre seu rendimento médio </w:t>
      </w:r>
      <w:r w:rsidRPr="005B09F6">
        <w:rPr>
          <w:rFonts w:ascii="Calibri" w:eastAsiaTheme="minorEastAsia" w:hAnsi="Calibri"/>
          <w:sz w:val="24"/>
          <w:szCs w:val="24"/>
        </w:rPr>
        <w:t>(</w:t>
      </w:r>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 xml:space="preserve">) </w:t>
      </w:r>
      <w:r w:rsidRPr="005B09F6">
        <w:rPr>
          <w:rFonts w:ascii="Calibri" w:hAnsi="Calibri"/>
          <w:sz w:val="24"/>
          <w:szCs w:val="24"/>
        </w:rPr>
        <w:t>e a quantidade de ocupados (</w:t>
      </w:r>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xml:space="preserve">) para cada clientela,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_Ref468185405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33</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Lógica semelhante é empregada para a estimativa de evolução das massas salariais dos contribuintes urbanos no SM (</w:t>
      </w:r>
      <m:oMath>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Csm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acima do SM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 xml:space="preserve">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eastAsiaTheme="minorEastAsia" w:hAnsi="Calibri"/>
          <w:sz w:val="24"/>
          <w:szCs w:val="24"/>
        </w:rPr>
        <w:t>)</w:t>
      </w:r>
      <w:r w:rsidRPr="005B09F6">
        <w:rPr>
          <w:rFonts w:ascii="Calibri" w:hAnsi="Calibri"/>
          <w:sz w:val="24"/>
          <w:szCs w:val="24"/>
        </w:rPr>
        <w:t xml:space="preserve">, as quais acompanham a evolução das quantidades de suas subpopulações e de seus rendimentos, conforme as equações </w:t>
      </w:r>
      <w:r w:rsidRPr="005B09F6">
        <w:rPr>
          <w:rFonts w:ascii="Calibri" w:hAnsi="Calibri"/>
          <w:sz w:val="24"/>
          <w:szCs w:val="24"/>
        </w:rPr>
        <w:fldChar w:fldCharType="begin"/>
      </w:r>
      <w:r w:rsidRPr="005B09F6">
        <w:rPr>
          <w:rFonts w:ascii="Calibri" w:hAnsi="Calibri"/>
          <w:sz w:val="24"/>
          <w:szCs w:val="24"/>
        </w:rPr>
        <w:instrText xml:space="preserve"> REF _Ref468185436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34</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e </w:t>
      </w:r>
      <w:r w:rsidRPr="005B09F6">
        <w:rPr>
          <w:rFonts w:ascii="Calibri" w:hAnsi="Calibri"/>
          <w:sz w:val="24"/>
          <w:szCs w:val="24"/>
        </w:rPr>
        <w:fldChar w:fldCharType="begin"/>
      </w:r>
      <w:r w:rsidRPr="005B09F6">
        <w:rPr>
          <w:rFonts w:ascii="Calibri" w:hAnsi="Calibri"/>
          <w:sz w:val="24"/>
          <w:szCs w:val="24"/>
        </w:rPr>
        <w:instrText xml:space="preserve"> REF _Ref468185580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35</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Quanto à evolução dos rendimentos, observa-se que o SM evolui de acordo com taxa de crescimento própria (</w:t>
      </w:r>
      <m:oMath>
        <m:sSub>
          <m:sSubPr>
            <m:ctrlPr>
              <w:rPr>
                <w:rFonts w:ascii="Cambria Math" w:hAnsi="Cambria Math"/>
                <w:i/>
                <w:sz w:val="24"/>
                <w:szCs w:val="24"/>
              </w:rPr>
            </m:ctrlPr>
          </m:sSubPr>
          <m:e>
            <m:r>
              <w:rPr>
                <w:rFonts w:ascii="Cambria Math" w:hAnsi="Cambria Math"/>
                <w:sz w:val="24"/>
                <w:szCs w:val="24"/>
              </w:rPr>
              <m:t>β</m:t>
            </m:r>
          </m:e>
          <m:sub>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min</m:t>
                    </m:r>
                  </m:sub>
                </m:sSub>
              </m:e>
              <m:sub>
                <m:r>
                  <w:rPr>
                    <w:rFonts w:ascii="Cambria Math" w:hAnsi="Cambria Math"/>
                    <w:sz w:val="24"/>
                    <w:szCs w:val="24"/>
                  </w:rPr>
                  <m:t>t</m:t>
                </m:r>
              </m:sub>
            </m:sSub>
          </m:sub>
        </m:sSub>
      </m:oMath>
      <w:r w:rsidRPr="005B09F6">
        <w:rPr>
          <w:rFonts w:ascii="Calibri" w:eastAsiaTheme="minorEastAsia" w:hAnsi="Calibri"/>
          <w:sz w:val="24"/>
          <w:szCs w:val="24"/>
        </w:rPr>
        <w:t>)</w:t>
      </w:r>
      <w:r w:rsidRPr="005B09F6">
        <w:rPr>
          <w:rFonts w:ascii="Calibri" w:hAnsi="Calibri"/>
          <w:sz w:val="24"/>
          <w:szCs w:val="24"/>
        </w:rPr>
        <w:t xml:space="preserve">, conforme a equação </w:t>
      </w:r>
      <w:r w:rsidRPr="005B09F6">
        <w:rPr>
          <w:rFonts w:ascii="Calibri" w:hAnsi="Calibri"/>
          <w:sz w:val="24"/>
          <w:szCs w:val="24"/>
        </w:rPr>
        <w:fldChar w:fldCharType="begin"/>
      </w:r>
      <w:r w:rsidRPr="005B09F6">
        <w:rPr>
          <w:rFonts w:ascii="Calibri" w:hAnsi="Calibri"/>
          <w:sz w:val="24"/>
          <w:szCs w:val="24"/>
        </w:rPr>
        <w:instrText xml:space="preserve"> REF _Ref468185464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36</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Style w:val="Refdenotaderodap"/>
          <w:rFonts w:ascii="Calibri" w:eastAsiaTheme="minorEastAsia" w:hAnsi="Calibri"/>
          <w:sz w:val="24"/>
          <w:szCs w:val="24"/>
        </w:rPr>
        <w:footnoteReference w:id="20"/>
      </w:r>
      <w:r w:rsidRPr="005B09F6">
        <w:rPr>
          <w:rFonts w:ascii="Calibri" w:hAnsi="Calibri"/>
          <w:sz w:val="24"/>
          <w:szCs w:val="24"/>
        </w:rPr>
        <w:t xml:space="preserve"> enquanto que os rendimentos médios dos contribuintes acima do SM crescem de acordo com a taxa de crescimento da produtividade do trabalho (</w:t>
      </w:r>
      <m:oMath>
        <m:sSub>
          <m:sSubPr>
            <m:ctrlPr>
              <w:rPr>
                <w:rFonts w:ascii="Cambria Math" w:hAnsi="Cambria Math"/>
                <w:i/>
                <w:sz w:val="24"/>
                <w:szCs w:val="24"/>
              </w:rPr>
            </m:ctrlPr>
          </m:sSubPr>
          <m:e>
            <m:r>
              <w:rPr>
                <w:rFonts w:ascii="Cambria Math" w:hAnsi="Cambria Math"/>
                <w:sz w:val="24"/>
                <w:szCs w:val="24"/>
              </w:rPr>
              <m:t>η</m:t>
            </m:r>
          </m:e>
          <m:sub>
            <m:r>
              <w:rPr>
                <w:rFonts w:ascii="Cambria Math" w:hAnsi="Cambria Math"/>
                <w:sz w:val="24"/>
                <w:szCs w:val="24"/>
              </w:rPr>
              <m:t>t</m:t>
            </m:r>
          </m:sub>
        </m:sSub>
      </m:oMath>
      <w:r w:rsidRPr="005B09F6">
        <w:rPr>
          <w:rFonts w:ascii="Calibri" w:hAnsi="Calibri"/>
          <w:sz w:val="24"/>
          <w:szCs w:val="24"/>
        </w:rPr>
        <w:t xml:space="preserve">),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_Ref468185674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37</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w:t>
      </w:r>
    </w:p>
    <w:p w:rsidR="0079121C" w:rsidRPr="005B09F6" w:rsidRDefault="0079121C" w:rsidP="00FF5C5E">
      <w:pPr>
        <w:spacing w:before="360" w:line="360" w:lineRule="auto"/>
        <w:jc w:val="both"/>
        <w:rPr>
          <w:rFonts w:ascii="Calibri" w:hAnsi="Calibri"/>
          <w:sz w:val="24"/>
          <w:szCs w:val="24"/>
        </w:rPr>
      </w:pPr>
    </w:p>
    <w:tbl>
      <w:tblPr>
        <w:tblStyle w:val="Tabelacomgrade"/>
        <w:tblW w:w="9780"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9072"/>
        <w:gridCol w:w="708"/>
      </w:tblGrid>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η</m:t>
                    </m:r>
                  </m:e>
                  <m:sub>
                    <m:r>
                      <w:rPr>
                        <w:rFonts w:ascii="Cambria Math" w:hAnsi="Cambria Math"/>
                        <w:sz w:val="24"/>
                        <w:szCs w:val="24"/>
                      </w:rPr>
                      <m:t>t</m:t>
                    </m:r>
                  </m:sub>
                </m:sSub>
                <m:r>
                  <w:rPr>
                    <w:rFonts w:ascii="Cambria Math" w:hAnsi="Cambria Math"/>
                    <w:sz w:val="24"/>
                    <w:szCs w:val="24"/>
                  </w:rPr>
                  <m:t>)</m:t>
                </m:r>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0" w:name="_Ref46818538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32</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0"/>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 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1" w:name="_Ref46818540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33</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1"/>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Csm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min</m:t>
                        </m:r>
                      </m:sub>
                    </m:sSub>
                  </m:e>
                  <m:sub>
                    <m:r>
                      <w:rPr>
                        <w:rFonts w:ascii="Cambria Math" w:hAnsi="Cambria Math"/>
                        <w:sz w:val="24"/>
                        <w:szCs w:val="24"/>
                      </w:rPr>
                      <m:t>t</m:t>
                    </m:r>
                  </m:sub>
                </m:sSub>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Csm </m:t>
                    </m:r>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2" w:name="_Ref46818543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34</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2"/>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 xml:space="preserve">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e>
                    <m:sSubSup>
                      <m:sSubSupPr>
                        <m:ctrlPr>
                          <w:rPr>
                            <w:rFonts w:ascii="Cambria Math" w:hAnsi="Cambria Math"/>
                            <w:i/>
                            <w:sz w:val="24"/>
                            <w:szCs w:val="24"/>
                          </w:rPr>
                        </m:ctrlPr>
                      </m:sSubSupPr>
                      <m:e>
                        <m:r>
                          <w:rPr>
                            <w:rFonts w:ascii="Cambria Math" w:hAnsi="Cambria Math"/>
                            <w:sz w:val="24"/>
                            <w:szCs w:val="24"/>
                          </w:rPr>
                          <m:t>P</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3" w:name="_Ref468185580"/>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35</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3"/>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min</m:t>
                        </m:r>
                      </m:sub>
                    </m:sSub>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min</m:t>
                        </m:r>
                      </m:sub>
                    </m:sSub>
                  </m:e>
                  <m:sub>
                    <m:r>
                      <w:rPr>
                        <w:rFonts w:ascii="Cambria Math" w:hAnsi="Cambria Math"/>
                        <w:sz w:val="24"/>
                        <w:szCs w:val="24"/>
                      </w:rPr>
                      <m:t>t-1</m:t>
                    </m:r>
                  </m:sub>
                </m:sSub>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β</m:t>
                    </m:r>
                  </m:e>
                  <m:sub>
                    <m:sSub>
                      <m:sSubPr>
                        <m:ctrlPr>
                          <w:rPr>
                            <w:rFonts w:ascii="Cambria Math" w:hAnsi="Cambria Math"/>
                            <w:i/>
                            <w:sz w:val="24"/>
                            <w:szCs w:val="24"/>
                          </w:rPr>
                        </m:ctrlPr>
                      </m:sSubPr>
                      <m:e>
                        <m:sSub>
                          <m:sSubPr>
                            <m:ctrlPr>
                              <w:rPr>
                                <w:rFonts w:ascii="Cambria Math" w:hAnsi="Cambria Math"/>
                                <w:i/>
                                <w:sz w:val="24"/>
                                <w:szCs w:val="24"/>
                              </w:rPr>
                            </m:ctrlPr>
                          </m:sSubPr>
                          <m:e>
                            <m:r>
                              <w:rPr>
                                <w:rFonts w:ascii="Cambria Math" w:hAnsi="Cambria Math"/>
                                <w:sz w:val="24"/>
                                <w:szCs w:val="24"/>
                              </w:rPr>
                              <m:t>ω</m:t>
                            </m:r>
                          </m:e>
                          <m:sub>
                            <m:r>
                              <w:rPr>
                                <w:rFonts w:ascii="Cambria Math" w:hAnsi="Cambria Math"/>
                                <w:sz w:val="24"/>
                                <w:szCs w:val="24"/>
                              </w:rPr>
                              <m:t>min</m:t>
                            </m:r>
                          </m:sub>
                        </m:sSub>
                      </m:e>
                      <m:sub>
                        <m:r>
                          <w:rPr>
                            <w:rFonts w:ascii="Cambria Math" w:hAnsi="Cambria Math"/>
                            <w:sz w:val="24"/>
                            <w:szCs w:val="24"/>
                          </w:rPr>
                          <m:t>t</m:t>
                        </m:r>
                      </m:sub>
                    </m:sSub>
                  </m:sub>
                </m:sSub>
                <m:r>
                  <w:rPr>
                    <w:rFonts w:ascii="Cambria Math" w:hAnsi="Cambria Math"/>
                    <w:sz w:val="24"/>
                    <w:szCs w:val="24"/>
                  </w:rPr>
                  <m:t>)</m:t>
                </m:r>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4" w:name="_Ref468185464"/>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36</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4"/>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 xml:space="preserve">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 xml:space="preserve"> </m:t>
                    </m:r>
                  </m:sup>
                  <m:e>
                    <m:sSubSup>
                      <m:sSubSupPr>
                        <m:ctrlPr>
                          <w:rPr>
                            <w:rFonts w:ascii="Cambria Math" w:hAnsi="Cambria Math"/>
                            <w:i/>
                            <w:sz w:val="24"/>
                            <w:szCs w:val="24"/>
                          </w:rPr>
                        </m:ctrlPr>
                      </m:sSubSupPr>
                      <m:e>
                        <m:r>
                          <w:rPr>
                            <w:rFonts w:ascii="Cambria Math" w:hAnsi="Cambria Math"/>
                            <w:sz w:val="24"/>
                            <w:szCs w:val="24"/>
                          </w:rPr>
                          <m:t>ω</m:t>
                        </m:r>
                      </m:e>
                      <m:sub>
                        <m:r>
                          <w:rPr>
                            <w:rFonts w:ascii="Cambria Math" w:hAnsi="Cambria Math"/>
                            <w:sz w:val="24"/>
                            <w:szCs w:val="24"/>
                          </w:rPr>
                          <m:t xml:space="preserve">i,t-1 </m:t>
                        </m:r>
                      </m:sub>
                      <m:sup>
                        <m:r>
                          <w:rPr>
                            <w:rFonts w:ascii="Cambria Math" w:hAnsi="Cambria Math"/>
                            <w:sz w:val="24"/>
                            <w:szCs w:val="24"/>
                          </w:rPr>
                          <m:t>s</m:t>
                        </m:r>
                      </m:sup>
                    </m:sSubSup>
                  </m:e>
                </m:sPre>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η</m:t>
                    </m:r>
                  </m:e>
                  <m:sub>
                    <m:r>
                      <w:rPr>
                        <w:rFonts w:ascii="Cambria Math" w:hAnsi="Cambria Math"/>
                        <w:sz w:val="24"/>
                        <w:szCs w:val="24"/>
                      </w:rPr>
                      <m:t>t</m:t>
                    </m:r>
                  </m:sub>
                </m:sSub>
                <m:r>
                  <w:rPr>
                    <w:rFonts w:ascii="Cambria Math" w:hAnsi="Cambria Math"/>
                    <w:sz w:val="24"/>
                    <w:szCs w:val="24"/>
                  </w:rPr>
                  <m:t>)</m:t>
                </m:r>
              </m:oMath>
            </m:oMathPara>
          </w:p>
        </w:tc>
        <w:tc>
          <w:tcPr>
            <w:tcW w:w="708"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5" w:name="_Ref468185674"/>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37</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5"/>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 xml:space="preserve">Valor dos Benefícios </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Para todos os benefícios previdenciários associados às clientelas Rural e Urbana-Piso, e para os benefícios assistenciais, os valores de benefício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c</m:t>
            </m:r>
          </m:sub>
          <m:sup>
            <m:r>
              <w:rPr>
                <w:rFonts w:ascii="Cambria Math" w:eastAsiaTheme="minorEastAsia" w:hAnsi="Cambria Math"/>
                <w:sz w:val="24"/>
                <w:szCs w:val="24"/>
              </w:rPr>
              <m:t>α,</m:t>
            </m:r>
            <m:r>
              <w:rPr>
                <w:rFonts w:ascii="Cambria Math" w:hAnsi="Cambria Math"/>
                <w:sz w:val="24"/>
                <w:szCs w:val="24"/>
              </w:rPr>
              <m:t>δ, P,L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t</m:t>
                </m:r>
              </m:sub>
            </m:sSub>
          </m:e>
        </m:sPre>
      </m:oMath>
      <w:r w:rsidRPr="005B09F6">
        <w:rPr>
          <w:rFonts w:ascii="Calibri" w:hAnsi="Calibri"/>
          <w:sz w:val="24"/>
          <w:szCs w:val="24"/>
        </w:rPr>
        <w:t xml:space="preserve">) são dados pela equação </w:t>
      </w:r>
      <w:r w:rsidRPr="005B09F6">
        <w:rPr>
          <w:rFonts w:ascii="Calibri" w:hAnsi="Calibri"/>
          <w:sz w:val="24"/>
          <w:szCs w:val="24"/>
        </w:rPr>
        <w:fldChar w:fldCharType="begin"/>
      </w:r>
      <w:r w:rsidRPr="005B09F6">
        <w:rPr>
          <w:rFonts w:ascii="Calibri" w:hAnsi="Calibri"/>
          <w:sz w:val="24"/>
          <w:szCs w:val="24"/>
        </w:rPr>
        <w:instrText xml:space="preserve"> REF _Ref468284572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38</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onde o parâmetro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hAnsi="Cambria Math"/>
                    <w:sz w:val="24"/>
                    <w:szCs w:val="24"/>
                  </w:rPr>
                  <m:t>β</m:t>
                </m:r>
              </m:e>
              <m:sub>
                <m:r>
                  <w:rPr>
                    <w:rFonts w:ascii="Cambria Math" w:eastAsiaTheme="minorEastAsia" w:hAnsi="Cambria Math"/>
                    <w:sz w:val="24"/>
                    <w:szCs w:val="24"/>
                  </w:rPr>
                  <m:t>t</m:t>
                </m:r>
              </m:sub>
            </m:sSub>
          </m:e>
        </m:sPre>
      </m:oMath>
      <w:r w:rsidRPr="005B09F6">
        <w:rPr>
          <w:rFonts w:ascii="Calibri" w:eastAsiaTheme="minorEastAsia" w:hAnsi="Calibri"/>
          <w:sz w:val="24"/>
          <w:szCs w:val="24"/>
        </w:rPr>
        <w:t xml:space="preserve">) </w:t>
      </w:r>
      <w:r w:rsidRPr="005B09F6">
        <w:rPr>
          <w:rFonts w:ascii="Calibri" w:hAnsi="Calibri"/>
          <w:sz w:val="24"/>
          <w:szCs w:val="24"/>
        </w:rPr>
        <w:t>representa a taxa de reajuste em termos reais de cada benefício. Embora esses benefícios tenham atualmente seus valores vinculados ao SM, o estabelecimento de diferenciação entre as taxas de reajuste real por benefício implica a evolução individual dos valores de cada benefício. Tal artificio de modelagem permite que a igualdade entre os valores de benefício nos pisos previdenciário e assistencial e o SM seja interpretada como um caso particular, possibilitando a simulação de eventuais modificações legislativas em qualquer momento do tempo, advindos tanto de mudanças na política de valorização do SM como também de eventuais propostas de desvinculação entre os pisos de benefícios e o valor do SM.</w:t>
      </w:r>
      <w:r w:rsidRPr="005B09F6">
        <w:rPr>
          <w:rStyle w:val="Refdenotaderodap"/>
          <w:rFonts w:ascii="Calibri" w:hAnsi="Calibri"/>
          <w:sz w:val="24"/>
          <w:szCs w:val="24"/>
        </w:rPr>
        <w:footnoteReference w:id="21"/>
      </w:r>
    </w:p>
    <w:p w:rsidR="00FF5C5E" w:rsidRPr="005B09F6" w:rsidRDefault="00FF5C5E" w:rsidP="00FF5C5E">
      <w:pPr>
        <w:spacing w:line="360" w:lineRule="auto"/>
        <w:jc w:val="both"/>
        <w:rPr>
          <w:rFonts w:ascii="Calibri" w:hAnsi="Calibri"/>
          <w:sz w:val="24"/>
          <w:szCs w:val="24"/>
        </w:rPr>
      </w:pPr>
    </w:p>
    <w:tbl>
      <w:tblPr>
        <w:tblStyle w:val="Tabelacomgrade"/>
        <w:tblW w:w="9780" w:type="dxa"/>
        <w:tblInd w:w="-5"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9072"/>
        <w:gridCol w:w="708"/>
      </w:tblGrid>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eastAsiaTheme="minorEastAsia" w:hAnsi="Calibri"/>
                <w:sz w:val="24"/>
                <w:szCs w:val="24"/>
              </w:rPr>
            </w:pPr>
            <m:oMathPara>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t</m:t>
                        </m:r>
                      </m:sub>
                    </m:sSub>
                  </m:e>
                </m:sPre>
                <m:r>
                  <w:rPr>
                    <w:rFonts w:ascii="Cambria Math" w:hAnsi="Cambria Math" w:cs="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t-1</m:t>
                        </m:r>
                      </m:sub>
                    </m:sSub>
                  </m:e>
                </m:sPre>
                <m:r>
                  <w:rPr>
                    <w:rFonts w:ascii="Cambria Math" w:hAnsi="Cambria Math" w:cs="Cambria Math"/>
                    <w:sz w:val="24"/>
                    <w:szCs w:val="24"/>
                  </w:rPr>
                  <m:t>. (1+</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hAnsi="Cambria Math"/>
                            <w:sz w:val="24"/>
                            <w:szCs w:val="24"/>
                          </w:rPr>
                          <m:t>β</m:t>
                        </m:r>
                      </m:e>
                      <m:sub>
                        <m:r>
                          <w:rPr>
                            <w:rFonts w:ascii="Cambria Math" w:eastAsiaTheme="minorEastAsia" w:hAnsi="Cambria Math"/>
                            <w:sz w:val="24"/>
                            <w:szCs w:val="24"/>
                          </w:rPr>
                          <m:t>t</m:t>
                        </m:r>
                      </m:sub>
                    </m:sSub>
                  </m:e>
                </m:sPre>
                <m:r>
                  <w:rPr>
                    <w:rFonts w:ascii="Cambria Math" w:hAnsi="Cambria Math" w:cs="Cambria Math"/>
                    <w:sz w:val="24"/>
                    <w:szCs w:val="24"/>
                  </w:rPr>
                  <m:t>)</m:t>
                </m:r>
              </m:oMath>
            </m:oMathPara>
          </w:p>
          <w:p w:rsidR="00FF5C5E" w:rsidRPr="005B09F6" w:rsidRDefault="00FF5C5E" w:rsidP="00637C42">
            <w:pPr>
              <w:spacing w:line="360" w:lineRule="auto"/>
              <w:rPr>
                <w:rFonts w:ascii="Calibri" w:eastAsiaTheme="minorEastAsia" w:hAnsi="Calibri"/>
                <w:sz w:val="24"/>
                <w:szCs w:val="24"/>
              </w:rPr>
            </w:pPr>
          </w:p>
          <w:p w:rsidR="00FF5C5E" w:rsidRPr="005B09F6" w:rsidRDefault="00FF5C5E" w:rsidP="00637C42">
            <w:pPr>
              <w:spacing w:line="360" w:lineRule="auto"/>
              <w:rPr>
                <w:rFonts w:ascii="Calibri" w:eastAsiaTheme="minorEastAsia" w:hAnsi="Calibri"/>
                <w:sz w:val="24"/>
                <w:szCs w:val="24"/>
              </w:rPr>
            </w:pPr>
          </w:p>
          <w:p w:rsidR="00FF5C5E" w:rsidRPr="005B09F6" w:rsidRDefault="00FF5C5E" w:rsidP="00637C42">
            <w:pPr>
              <w:spacing w:line="360" w:lineRule="auto"/>
              <w:jc w:val="both"/>
              <w:rPr>
                <w:rFonts w:ascii="Calibri" w:eastAsiaTheme="minorEastAsia" w:hAnsi="Calibri"/>
                <w:sz w:val="24"/>
                <w:szCs w:val="24"/>
              </w:rPr>
            </w:pPr>
            <m:oMathPara>
              <m:oMathParaPr>
                <m:jc m:val="left"/>
              </m:oMathParaPr>
              <m:oMath>
                <m:r>
                  <w:rPr>
                    <w:rFonts w:ascii="Cambria Math" w:hAnsi="Cambria Math"/>
                    <w:sz w:val="24"/>
                    <w:szCs w:val="24"/>
                  </w:rPr>
                  <m:t>α∈{Apin, Apid, Atcn, Atce, Atcp, Atcd,Ainv}</m:t>
                </m:r>
              </m:oMath>
            </m:oMathPara>
          </w:p>
          <w:p w:rsidR="00FF5C5E" w:rsidRPr="005B09F6" w:rsidRDefault="00FF5C5E" w:rsidP="00637C42">
            <w:pPr>
              <w:spacing w:line="360" w:lineRule="auto"/>
              <w:jc w:val="both"/>
              <w:rPr>
                <w:rFonts w:ascii="Calibri" w:hAnsi="Calibri"/>
                <w:sz w:val="24"/>
                <w:szCs w:val="24"/>
              </w:rPr>
            </w:pPr>
            <m:oMathPara>
              <m:oMathParaPr>
                <m:jc m:val="left"/>
              </m:oMathParaPr>
              <m:oMath>
                <m:r>
                  <w:rPr>
                    <w:rFonts w:ascii="Cambria Math" w:hAnsi="Cambria Math"/>
                    <w:sz w:val="24"/>
                    <w:szCs w:val="24"/>
                  </w:rPr>
                  <m:t>L∈{LoasIdo, LoasDef, RmvIda,RmvInv}</m:t>
                </m:r>
              </m:oMath>
            </m:oMathPara>
          </w:p>
          <w:p w:rsidR="00FF5C5E" w:rsidRPr="005B09F6" w:rsidRDefault="00FF5C5E" w:rsidP="00637C42">
            <w:pPr>
              <w:spacing w:line="360" w:lineRule="auto"/>
              <w:rPr>
                <w:rFonts w:ascii="Calibri" w:hAnsi="Calibri"/>
                <w:sz w:val="24"/>
                <w:szCs w:val="24"/>
              </w:rPr>
            </w:pPr>
          </w:p>
        </w:tc>
        <w:tc>
          <w:tcPr>
            <w:tcW w:w="708" w:type="dxa"/>
            <w:vMerge w:val="restart"/>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6" w:name="_Ref46828457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38</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6"/>
          </w:p>
        </w:tc>
      </w:tr>
      <w:tr w:rsidR="00FF5C5E" w:rsidRPr="005B09F6" w:rsidTr="00637C42">
        <w:trPr>
          <w:trHeight w:hRule="exact" w:val="454"/>
        </w:trPr>
        <w:tc>
          <w:tcPr>
            <w:tcW w:w="9072" w:type="dxa"/>
            <w:shd w:val="clear" w:color="auto" w:fill="FFFFFF" w:themeFill="background1"/>
            <w:vAlign w:val="center"/>
          </w:tcPr>
          <w:p w:rsidR="00FF5C5E" w:rsidRPr="005B09F6" w:rsidRDefault="00FF5C5E" w:rsidP="00637C42">
            <w:pPr>
              <w:spacing w:line="360" w:lineRule="auto"/>
              <w:jc w:val="both"/>
              <w:rPr>
                <w:rFonts w:ascii="Calibri" w:eastAsiaTheme="minorEastAsia" w:hAnsi="Calibri"/>
                <w:sz w:val="24"/>
                <w:szCs w:val="24"/>
              </w:rPr>
            </w:pPr>
            <m:oMathPara>
              <m:oMathParaPr>
                <m:jc m:val="left"/>
              </m:oMathParaPr>
              <m:oMath>
                <m:r>
                  <w:rPr>
                    <w:rFonts w:ascii="Cambria Math" w:hAnsi="Cambria Math"/>
                    <w:sz w:val="24"/>
                    <w:szCs w:val="24"/>
                  </w:rPr>
                  <m:t>α∈{Apin, Apid, Atcn, Atce, Atcp, Atcd,Ainv}</m:t>
                </m:r>
              </m:oMath>
            </m:oMathPara>
          </w:p>
          <w:p w:rsidR="00FF5C5E" w:rsidRPr="005B09F6" w:rsidRDefault="00FF5C5E" w:rsidP="00637C42">
            <w:pPr>
              <w:spacing w:line="360" w:lineRule="auto"/>
              <w:jc w:val="both"/>
              <w:rPr>
                <w:rFonts w:ascii="Calibri" w:eastAsia="Calibri" w:hAnsi="Calibri"/>
                <w:sz w:val="24"/>
                <w:szCs w:val="24"/>
              </w:rPr>
            </w:pPr>
          </w:p>
        </w:tc>
        <w:tc>
          <w:tcPr>
            <w:tcW w:w="708" w:type="dxa"/>
            <w:vMerge/>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072" w:type="dxa"/>
            <w:shd w:val="clear" w:color="auto" w:fill="FFFFFF" w:themeFill="background1"/>
            <w:vAlign w:val="center"/>
          </w:tcPr>
          <w:p w:rsidR="00FF5C5E" w:rsidRPr="005B09F6" w:rsidRDefault="00FF5C5E" w:rsidP="00637C42">
            <w:pPr>
              <w:spacing w:line="360" w:lineRule="auto"/>
              <w:jc w:val="both"/>
              <w:rPr>
                <w:rFonts w:ascii="Calibri" w:eastAsia="Calibri" w:hAnsi="Calibri"/>
                <w:sz w:val="24"/>
                <w:szCs w:val="24"/>
              </w:rPr>
            </w:pPr>
            <m:oMathPara>
              <m:oMathParaPr>
                <m:jc m:val="left"/>
              </m:oMathParaPr>
              <m:oMath>
                <m:r>
                  <w:rPr>
                    <w:rFonts w:ascii="Cambria Math" w:hAnsi="Cambria Math"/>
                    <w:sz w:val="24"/>
                    <w:szCs w:val="24"/>
                  </w:rPr>
                  <m:t>δ∈{Ad, Aa, Ar}</m:t>
                </m:r>
              </m:oMath>
            </m:oMathPara>
          </w:p>
        </w:tc>
        <w:tc>
          <w:tcPr>
            <w:tcW w:w="708" w:type="dxa"/>
            <w:vMerge/>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072" w:type="dxa"/>
            <w:shd w:val="clear" w:color="auto" w:fill="FFFFFF" w:themeFill="background1"/>
            <w:vAlign w:val="center"/>
          </w:tcPr>
          <w:p w:rsidR="00FF5C5E" w:rsidRPr="005B09F6" w:rsidRDefault="00FF5C5E" w:rsidP="00637C42">
            <w:pPr>
              <w:spacing w:line="360" w:lineRule="auto"/>
              <w:jc w:val="both"/>
              <w:rPr>
                <w:rFonts w:ascii="Calibri" w:eastAsia="Calibri" w:hAnsi="Calibri"/>
                <w:sz w:val="24"/>
                <w:szCs w:val="24"/>
              </w:rPr>
            </w:pPr>
            <m:oMathPara>
              <m:oMathParaPr>
                <m:jc m:val="left"/>
              </m:oMathParaPr>
              <m:oMath>
                <m:r>
                  <w:rPr>
                    <w:rFonts w:ascii="Cambria Math" w:hAnsi="Cambria Math"/>
                    <w:sz w:val="24"/>
                    <w:szCs w:val="24"/>
                  </w:rPr>
                  <m:t>P∈{PeA, PeB}</m:t>
                </m:r>
              </m:oMath>
            </m:oMathPara>
          </w:p>
        </w:tc>
        <w:tc>
          <w:tcPr>
            <w:tcW w:w="708" w:type="dxa"/>
            <w:vMerge/>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072" w:type="dxa"/>
            <w:shd w:val="clear" w:color="auto" w:fill="FFFFFF" w:themeFill="background1"/>
            <w:vAlign w:val="center"/>
          </w:tcPr>
          <w:p w:rsidR="00FF5C5E" w:rsidRPr="005B09F6" w:rsidRDefault="00FF5C5E" w:rsidP="00637C42">
            <w:pPr>
              <w:spacing w:line="360" w:lineRule="auto"/>
              <w:jc w:val="both"/>
              <w:rPr>
                <w:rFonts w:ascii="Calibri" w:hAnsi="Calibri"/>
                <w:sz w:val="24"/>
                <w:szCs w:val="24"/>
              </w:rPr>
            </w:pPr>
            <m:oMathPara>
              <m:oMathParaPr>
                <m:jc m:val="left"/>
              </m:oMathParaPr>
              <m:oMath>
                <m:r>
                  <w:rPr>
                    <w:rFonts w:ascii="Cambria Math" w:hAnsi="Cambria Math"/>
                    <w:sz w:val="24"/>
                    <w:szCs w:val="24"/>
                  </w:rPr>
                  <m:t>L∈{LoasIdo, LoasDef, RmvIda,RmvInv}</m:t>
                </m:r>
              </m:oMath>
            </m:oMathPara>
          </w:p>
          <w:p w:rsidR="00FF5C5E" w:rsidRPr="005B09F6" w:rsidRDefault="00FF5C5E" w:rsidP="00637C42">
            <w:pPr>
              <w:spacing w:line="360" w:lineRule="auto"/>
              <w:rPr>
                <w:rFonts w:ascii="Calibri" w:eastAsia="Calibri" w:hAnsi="Calibri"/>
                <w:i/>
                <w:sz w:val="24"/>
                <w:szCs w:val="24"/>
              </w:rPr>
            </w:pPr>
          </w:p>
        </w:tc>
        <w:tc>
          <w:tcPr>
            <w:tcW w:w="708" w:type="dxa"/>
            <w:vMerge/>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bl>
    <w:p w:rsidR="00FF5C5E" w:rsidRPr="005B09F6" w:rsidRDefault="00FF5C5E" w:rsidP="00FF5C5E">
      <w:pPr>
        <w:spacing w:line="360" w:lineRule="auto"/>
        <w:rPr>
          <w:rFonts w:ascii="Calibri" w:hAnsi="Calibri"/>
          <w:i/>
          <w:color w:val="2E653E" w:themeColor="accent5" w:themeShade="BF"/>
          <w:sz w:val="24"/>
          <w:szCs w:val="24"/>
        </w:rPr>
      </w:pPr>
    </w:p>
    <w:p w:rsidR="00FF5C5E" w:rsidRPr="005B09F6" w:rsidRDefault="00FF5C5E" w:rsidP="00FF5C5E">
      <w:pPr>
        <w:spacing w:line="360" w:lineRule="auto"/>
        <w:rPr>
          <w:rFonts w:ascii="Calibri" w:hAnsi="Calibri"/>
          <w:i/>
          <w:color w:val="2E653E" w:themeColor="accent5" w:themeShade="BF"/>
          <w:sz w:val="24"/>
          <w:szCs w:val="24"/>
        </w:rPr>
      </w:pPr>
    </w:p>
    <w:p w:rsidR="00FF5C5E" w:rsidRPr="005B09F6" w:rsidRDefault="00FF5C5E" w:rsidP="00FF5C5E">
      <w:pPr>
        <w:pStyle w:val="TtuloPrincipal"/>
        <w:spacing w:after="0" w:line="360" w:lineRule="auto"/>
        <w:rPr>
          <w:rFonts w:ascii="Calibri" w:hAnsi="Calibri"/>
          <w:color w:val="1C6194" w:themeColor="accent2" w:themeShade="BF"/>
          <w:sz w:val="24"/>
          <w:szCs w:val="24"/>
        </w:rPr>
      </w:pPr>
    </w:p>
    <w:p w:rsidR="00FF5C5E" w:rsidRPr="005B09F6" w:rsidRDefault="00FF5C5E" w:rsidP="00FF5C5E">
      <w:pPr>
        <w:rPr>
          <w:rFonts w:ascii="Calibri" w:hAnsi="Calibri"/>
          <w:b/>
          <w:color w:val="1C6194" w:themeColor="accent2" w:themeShade="BF"/>
          <w:sz w:val="24"/>
          <w:szCs w:val="24"/>
        </w:rPr>
      </w:pPr>
      <w:r w:rsidRPr="005B09F6">
        <w:rPr>
          <w:rFonts w:ascii="Calibri" w:hAnsi="Calibri"/>
          <w:color w:val="1C6194" w:themeColor="accent2" w:themeShade="BF"/>
          <w:sz w:val="24"/>
          <w:szCs w:val="24"/>
        </w:rPr>
        <w:br w:type="page"/>
      </w:r>
    </w:p>
    <w:p w:rsidR="00FF5C5E" w:rsidRPr="005B09F6" w:rsidRDefault="00084FE1" w:rsidP="0079121C">
      <w:pPr>
        <w:pStyle w:val="Ttulo2"/>
        <w:rPr>
          <w:rFonts w:ascii="Calibri" w:hAnsi="Calibri"/>
          <w:sz w:val="24"/>
          <w:szCs w:val="24"/>
        </w:rPr>
      </w:pPr>
      <w:bookmarkStart w:id="157" w:name="_Toc479081351"/>
      <w:r w:rsidRPr="005B09F6">
        <w:rPr>
          <w:rFonts w:ascii="Calibri" w:hAnsi="Calibri"/>
          <w:sz w:val="24"/>
          <w:szCs w:val="24"/>
        </w:rPr>
        <w:t>4</w:t>
      </w:r>
      <w:r w:rsidR="006A0D4B" w:rsidRPr="005B09F6">
        <w:rPr>
          <w:rFonts w:ascii="Calibri" w:hAnsi="Calibri"/>
          <w:sz w:val="24"/>
          <w:szCs w:val="24"/>
        </w:rPr>
        <w:t>.5</w:t>
      </w:r>
      <w:r w:rsidR="008D7859" w:rsidRPr="005B09F6">
        <w:rPr>
          <w:rFonts w:ascii="Calibri" w:hAnsi="Calibri"/>
          <w:sz w:val="24"/>
          <w:szCs w:val="24"/>
        </w:rPr>
        <w:tab/>
      </w:r>
      <w:r w:rsidR="00CA0F20" w:rsidRPr="005B09F6">
        <w:rPr>
          <w:rFonts w:ascii="Calibri" w:hAnsi="Calibri"/>
          <w:sz w:val="24"/>
          <w:szCs w:val="24"/>
        </w:rPr>
        <w:t>Valores</w:t>
      </w:r>
      <w:bookmarkEnd w:id="157"/>
    </w:p>
    <w:p w:rsidR="00FF5C5E" w:rsidRPr="005B09F6" w:rsidRDefault="00FF5C5E" w:rsidP="009B7037">
      <w:pPr>
        <w:spacing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Receitas Previdenciárias e PIB</w:t>
      </w: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As receitas previdenciárias (</w:t>
      </w:r>
      <m:oMath>
        <m:sSub>
          <m:sSubPr>
            <m:ctrlPr>
              <w:rPr>
                <w:rFonts w:ascii="Cambria Math" w:hAnsi="Cambria Math"/>
                <w:i/>
                <w:sz w:val="24"/>
                <w:szCs w:val="24"/>
              </w:rPr>
            </m:ctrlPr>
          </m:sSubPr>
          <m:e>
            <m:r>
              <w:rPr>
                <w:rFonts w:ascii="Cambria Math" w:hAnsi="Cambria Math"/>
                <w:sz w:val="24"/>
                <w:szCs w:val="24"/>
              </w:rPr>
              <m:t>Rec</m:t>
            </m:r>
          </m:e>
          <m:sub>
            <m:r>
              <w:rPr>
                <w:rFonts w:ascii="Cambria Math" w:hAnsi="Cambria Math"/>
                <w:sz w:val="24"/>
                <w:szCs w:val="24"/>
              </w:rPr>
              <m:t>t</m:t>
            </m:r>
          </m:sub>
        </m:sSub>
      </m:oMath>
      <w:r w:rsidRPr="005B09F6">
        <w:rPr>
          <w:rFonts w:ascii="Calibri" w:hAnsi="Calibri"/>
          <w:sz w:val="24"/>
          <w:szCs w:val="24"/>
        </w:rPr>
        <w:t xml:space="preserve">) são calculadas segundo a equação </w:t>
      </w:r>
      <w:r w:rsidRPr="005B09F6">
        <w:rPr>
          <w:rFonts w:ascii="Calibri" w:hAnsi="Calibri"/>
          <w:sz w:val="24"/>
          <w:szCs w:val="24"/>
        </w:rPr>
        <w:fldChar w:fldCharType="begin"/>
      </w:r>
      <w:r w:rsidRPr="005B09F6">
        <w:rPr>
          <w:rFonts w:ascii="Calibri" w:hAnsi="Calibri"/>
          <w:sz w:val="24"/>
          <w:szCs w:val="24"/>
        </w:rPr>
        <w:instrText xml:space="preserve"> REF _Ref468186299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39</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utilizando-se como base os valores da massa salarial de contribuintes urbanos</w:t>
      </w:r>
      <w:r w:rsidRPr="005B09F6">
        <w:rPr>
          <w:rStyle w:val="Refdenotaderodap"/>
          <w:rFonts w:ascii="Calibri" w:hAnsi="Calibri"/>
          <w:sz w:val="24"/>
          <w:szCs w:val="24"/>
        </w:rPr>
        <w:footnoteReference w:id="22"/>
      </w:r>
      <w:r w:rsidRPr="005B09F6">
        <w:rPr>
          <w:rFonts w:ascii="Calibri" w:hAnsi="Calibri"/>
          <w:sz w:val="24"/>
          <w:szCs w:val="24"/>
        </w:rPr>
        <w:t xml:space="preserve"> (</w:t>
      </w:r>
      <m:oMath>
        <m:sPre>
          <m:sPrePr>
            <m:ctrlPr>
              <w:rPr>
                <w:rFonts w:ascii="Cambria Math" w:hAnsi="Cambria Math"/>
                <w:i/>
                <w:sz w:val="24"/>
                <w:szCs w:val="24"/>
              </w:rPr>
            </m:ctrlPr>
          </m:sPrePr>
          <m:sub>
            <m:r>
              <w:rPr>
                <w:rFonts w:ascii="Cambria Math" w:hAnsi="Cambria Math"/>
                <w:sz w:val="24"/>
                <w:szCs w:val="24"/>
              </w:rPr>
              <m:t>Urb</m:t>
            </m:r>
          </m:sub>
          <m:sup>
            <m:r>
              <w:rPr>
                <w:rFonts w:ascii="Cambria Math" w:hAnsi="Cambria Math"/>
                <w:sz w:val="24"/>
                <w:szCs w:val="24"/>
              </w:rPr>
              <m:t xml:space="preserve">Csm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Urb</m:t>
            </m:r>
          </m:sub>
          <m:sup>
            <m:r>
              <w:rPr>
                <w:rFonts w:ascii="Cambria Math" w:hAnsi="Cambria Math"/>
                <w:sz w:val="24"/>
                <w:szCs w:val="24"/>
              </w:rPr>
              <m:t xml:space="preserve">Ca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aplicando a ela uma alíquota efetiva média (</w:t>
      </w:r>
      <m:oMath>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t</m:t>
            </m:r>
          </m:sub>
        </m:sSub>
      </m:oMath>
      <w:r w:rsidRPr="005B09F6">
        <w:rPr>
          <w:rFonts w:ascii="Calibri" w:hAnsi="Calibri"/>
          <w:sz w:val="24"/>
          <w:szCs w:val="24"/>
        </w:rPr>
        <w:t>). Ademais, a partir da hipótese de que a proporção dos salários na renda total da economia (</w:t>
      </w:r>
      <m:oMath>
        <m:r>
          <w:rPr>
            <w:rFonts w:ascii="Cambria Math" w:hAnsi="Cambria Math"/>
            <w:sz w:val="24"/>
            <w:szCs w:val="24"/>
          </w:rPr>
          <m:t>ψ</m:t>
        </m:r>
      </m:oMath>
      <w:r w:rsidRPr="005B09F6">
        <w:rPr>
          <w:rFonts w:ascii="Calibri" w:eastAsiaTheme="minorEastAsia" w:hAnsi="Calibri"/>
          <w:sz w:val="24"/>
          <w:szCs w:val="24"/>
        </w:rPr>
        <w:t xml:space="preserve">) </w:t>
      </w:r>
      <w:r w:rsidRPr="005B09F6">
        <w:rPr>
          <w:rFonts w:ascii="Calibri" w:hAnsi="Calibri"/>
          <w:sz w:val="24"/>
          <w:szCs w:val="24"/>
        </w:rPr>
        <w:t xml:space="preserve">mantenha-se constante ao longo do tempo, conforme as equações </w:t>
      </w:r>
      <w:r w:rsidRPr="005B09F6">
        <w:rPr>
          <w:rFonts w:ascii="Calibri" w:hAnsi="Calibri"/>
          <w:sz w:val="24"/>
          <w:szCs w:val="24"/>
        </w:rPr>
        <w:fldChar w:fldCharType="begin"/>
      </w:r>
      <w:r w:rsidRPr="005B09F6">
        <w:rPr>
          <w:rFonts w:ascii="Calibri" w:hAnsi="Calibri"/>
          <w:sz w:val="24"/>
          <w:szCs w:val="24"/>
        </w:rPr>
        <w:instrText xml:space="preserve"> REF _Ref468186453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40</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e </w:t>
      </w:r>
      <w:r w:rsidRPr="005B09F6">
        <w:rPr>
          <w:rFonts w:ascii="Calibri" w:hAnsi="Calibri"/>
          <w:sz w:val="24"/>
          <w:szCs w:val="24"/>
        </w:rPr>
        <w:fldChar w:fldCharType="begin"/>
      </w:r>
      <w:r w:rsidRPr="005B09F6">
        <w:rPr>
          <w:rFonts w:ascii="Calibri" w:hAnsi="Calibri"/>
          <w:sz w:val="24"/>
          <w:szCs w:val="24"/>
        </w:rPr>
        <w:instrText xml:space="preserve"> REF _Ref468285782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41</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é possível estimar a evolução da taxa de crescimento do PIB (</w:t>
      </w:r>
      <m:oMath>
        <m:sSub>
          <m:sSubPr>
            <m:ctrlPr>
              <w:rPr>
                <w:rFonts w:ascii="Cambria Math" w:hAnsi="Cambria Math"/>
                <w:i/>
                <w:sz w:val="24"/>
                <w:szCs w:val="24"/>
              </w:rPr>
            </m:ctrlPr>
          </m:sSubPr>
          <m:e>
            <m:r>
              <w:rPr>
                <w:rFonts w:ascii="Cambria Math" w:hAnsi="Cambria Math"/>
                <w:sz w:val="24"/>
                <w:szCs w:val="24"/>
              </w:rPr>
              <m:t>β</m:t>
            </m:r>
          </m:e>
          <m: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m:t>
                </m:r>
              </m:sub>
            </m:sSub>
          </m:sub>
        </m:sSub>
      </m:oMath>
      <w:r w:rsidRPr="005B09F6">
        <w:rPr>
          <w:rFonts w:ascii="Calibri" w:hAnsi="Calibri"/>
          <w:sz w:val="24"/>
          <w:szCs w:val="24"/>
        </w:rPr>
        <w:t xml:space="preserve">) como sendo idêntica à taxa de crescimento da massa salarial da população ocupada, de acordo com as equações </w:t>
      </w:r>
      <w:r w:rsidRPr="005B09F6">
        <w:rPr>
          <w:rFonts w:ascii="Calibri" w:hAnsi="Calibri"/>
          <w:sz w:val="24"/>
          <w:szCs w:val="24"/>
        </w:rPr>
        <w:fldChar w:fldCharType="begin"/>
      </w:r>
      <w:r w:rsidRPr="005B09F6">
        <w:rPr>
          <w:rFonts w:ascii="Calibri" w:hAnsi="Calibri"/>
          <w:sz w:val="24"/>
          <w:szCs w:val="24"/>
        </w:rPr>
        <w:instrText xml:space="preserve"> REF _Ref468285895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42</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e </w:t>
      </w:r>
      <w:r w:rsidRPr="005B09F6">
        <w:rPr>
          <w:rFonts w:ascii="Calibri" w:hAnsi="Calibri"/>
          <w:sz w:val="24"/>
          <w:szCs w:val="24"/>
        </w:rPr>
        <w:fldChar w:fldCharType="begin"/>
      </w:r>
      <w:r w:rsidRPr="005B09F6">
        <w:rPr>
          <w:rFonts w:ascii="Calibri" w:hAnsi="Calibri"/>
          <w:sz w:val="24"/>
          <w:szCs w:val="24"/>
        </w:rPr>
        <w:instrText xml:space="preserve"> REF _Ref468285919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43</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w:t>
      </w:r>
    </w:p>
    <w:p w:rsidR="00FF5C5E" w:rsidRPr="005B09F6" w:rsidRDefault="00FF5C5E" w:rsidP="00FF5C5E">
      <w:pPr>
        <w:spacing w:line="360" w:lineRule="auto"/>
        <w:jc w:val="both"/>
        <w:rPr>
          <w:rFonts w:ascii="Calibri" w:hAnsi="Calibri"/>
          <w:sz w:val="24"/>
          <w:szCs w:val="24"/>
        </w:rPr>
      </w:pPr>
    </w:p>
    <w:tbl>
      <w:tblPr>
        <w:tblStyle w:val="Tabelacomgrade"/>
        <w:tblW w:w="9781"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9035"/>
        <w:gridCol w:w="141"/>
        <w:gridCol w:w="605"/>
      </w:tblGrid>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eastAsiaTheme="minorEastAsia" w:hAnsi="Calibri"/>
                <w:b/>
                <w:color w:val="2E653E" w:themeColor="accent5" w:themeShade="BF"/>
                <w:sz w:val="24"/>
                <w:szCs w:val="24"/>
              </w:rPr>
            </w:pPr>
            <m:oMathPara>
              <m:oMath>
                <m:sSub>
                  <m:sSubPr>
                    <m:ctrlPr>
                      <w:rPr>
                        <w:rFonts w:ascii="Cambria Math" w:hAnsi="Cambria Math"/>
                        <w:i/>
                        <w:sz w:val="24"/>
                        <w:szCs w:val="24"/>
                      </w:rPr>
                    </m:ctrlPr>
                  </m:sSubPr>
                  <m:e>
                    <m:r>
                      <w:rPr>
                        <w:rFonts w:ascii="Cambria Math" w:hAnsi="Cambria Math"/>
                        <w:sz w:val="24"/>
                        <w:szCs w:val="24"/>
                      </w:rPr>
                      <m:t>Rec</m:t>
                    </m:r>
                  </m:e>
                  <m:sub>
                    <m:r>
                      <w:rPr>
                        <w:rFonts w:ascii="Cambria Math" w:hAnsi="Cambria Math"/>
                        <w:sz w:val="24"/>
                        <w:szCs w:val="24"/>
                      </w:rPr>
                      <m:t>t</m:t>
                    </m:r>
                  </m:sub>
                </m:sSub>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Csm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Ca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π</m:t>
                    </m:r>
                  </m:e>
                  <m:sub>
                    <m:r>
                      <w:rPr>
                        <w:rFonts w:ascii="Cambria Math" w:hAnsi="Cambria Math"/>
                        <w:sz w:val="24"/>
                        <w:szCs w:val="24"/>
                      </w:rPr>
                      <m:t>t</m:t>
                    </m:r>
                  </m:sub>
                </m:sSub>
                <m:r>
                  <w:rPr>
                    <w:rFonts w:ascii="Cambria Math" w:hAnsi="Cambria Math"/>
                    <w:sz w:val="24"/>
                    <w:szCs w:val="24"/>
                  </w:rPr>
                  <m:t xml:space="preserve"> </m:t>
                </m:r>
              </m:oMath>
            </m:oMathPara>
          </w:p>
        </w:tc>
        <w:tc>
          <w:tcPr>
            <w:tcW w:w="709"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8" w:name="_Ref46818629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39</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8"/>
          </w:p>
        </w:tc>
      </w:tr>
      <w:tr w:rsidR="00FF5C5E" w:rsidRPr="005B09F6" w:rsidTr="00637C42">
        <w:trPr>
          <w:trHeight w:hRule="exact" w:val="1021"/>
        </w:trPr>
        <w:tc>
          <w:tcPr>
            <w:tcW w:w="9214" w:type="dxa"/>
            <w:gridSpan w:val="2"/>
            <w:shd w:val="clear" w:color="auto" w:fill="FFFFFF" w:themeFill="background1"/>
            <w:vAlign w:val="center"/>
          </w:tcPr>
          <w:p w:rsidR="00FF5C5E" w:rsidRPr="005B09F6" w:rsidRDefault="00CB65A3" w:rsidP="00637C42">
            <w:pPr>
              <w:spacing w:line="360" w:lineRule="auto"/>
              <w:rPr>
                <w:rFonts w:ascii="Calibri" w:eastAsiaTheme="minorEastAsia" w:hAnsi="Calibri"/>
                <w:b/>
                <w:color w:val="2E653E" w:themeColor="accent5" w:themeShade="BF"/>
                <w:sz w:val="24"/>
                <w:szCs w:val="24"/>
              </w:rPr>
            </w:pPr>
            <m:oMathPara>
              <m:oMath>
                <m:f>
                  <m:fPr>
                    <m:type m:val="lin"/>
                    <m:ctrlPr>
                      <w:rPr>
                        <w:rFonts w:ascii="Cambria Math" w:hAnsi="Cambria Math"/>
                        <w:i/>
                        <w:sz w:val="24"/>
                        <w:szCs w:val="24"/>
                      </w:rPr>
                    </m:ctrlPr>
                  </m:fPr>
                  <m:num>
                    <m:r>
                      <w:rPr>
                        <w:rFonts w:ascii="Cambria Math" w:hAnsi="Cambria Math"/>
                        <w:sz w:val="24"/>
                        <w:szCs w:val="24"/>
                      </w:rPr>
                      <m:t>(</m:t>
                    </m:r>
                    <m:nary>
                      <m:naryPr>
                        <m:chr m:val="∑"/>
                        <m:limLoc m:val="undOvr"/>
                        <m:supHide m:val="1"/>
                        <m:ctrlPr>
                          <w:rPr>
                            <w:rFonts w:ascii="Cambria Math" w:hAnsi="Cambria Math"/>
                            <w:i/>
                            <w:sz w:val="24"/>
                            <w:szCs w:val="24"/>
                          </w:rPr>
                        </m:ctrlPr>
                      </m:naryPr>
                      <m:sub>
                        <m:r>
                          <w:rPr>
                            <w:rFonts w:ascii="Cambria Math" w:hAnsi="Cambria Math"/>
                            <w:sz w:val="24"/>
                            <w:szCs w:val="24"/>
                          </w:rPr>
                          <m:t>i, s</m:t>
                        </m:r>
                      </m:sub>
                      <m:sup/>
                      <m:e>
                        <m:sPre>
                          <m:sPrePr>
                            <m:ctrlPr>
                              <w:rPr>
                                <w:rFonts w:ascii="Cambria Math" w:hAnsi="Cambria Math"/>
                                <w:i/>
                                <w:sz w:val="24"/>
                                <w:szCs w:val="24"/>
                              </w:rPr>
                            </m:ctrlPr>
                          </m:sPrePr>
                          <m:sub>
                            <m:r>
                              <w:rPr>
                                <w:rFonts w:ascii="Cambria Math" w:hAnsi="Cambria Math"/>
                                <w:sz w:val="24"/>
                                <w:szCs w:val="24"/>
                              </w:rPr>
                              <m:t>Tot</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e>
                    </m:nary>
                    <m: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m:t>
                        </m:r>
                      </m:sub>
                    </m:sSub>
                  </m:den>
                </m:f>
                <m:r>
                  <w:rPr>
                    <w:rFonts w:ascii="Cambria Math" w:hAnsi="Cambria Math"/>
                    <w:sz w:val="24"/>
                    <w:szCs w:val="24"/>
                  </w:rPr>
                  <m:t>=</m:t>
                </m:r>
                <m:f>
                  <m:fPr>
                    <m:type m:val="lin"/>
                    <m:ctrlPr>
                      <w:rPr>
                        <w:rFonts w:ascii="Cambria Math" w:hAnsi="Cambria Math"/>
                        <w:i/>
                        <w:sz w:val="24"/>
                        <w:szCs w:val="24"/>
                      </w:rPr>
                    </m:ctrlPr>
                  </m:fPr>
                  <m:num>
                    <m:r>
                      <w:rPr>
                        <w:rFonts w:ascii="Cambria Math" w:hAnsi="Cambria Math"/>
                        <w:sz w:val="24"/>
                        <w:szCs w:val="24"/>
                      </w:rPr>
                      <m:t>(</m:t>
                    </m:r>
                    <m:nary>
                      <m:naryPr>
                        <m:chr m:val="∑"/>
                        <m:limLoc m:val="undOvr"/>
                        <m:supHide m:val="1"/>
                        <m:ctrlPr>
                          <w:rPr>
                            <w:rFonts w:ascii="Cambria Math" w:hAnsi="Cambria Math"/>
                            <w:i/>
                            <w:sz w:val="24"/>
                            <w:szCs w:val="24"/>
                          </w:rPr>
                        </m:ctrlPr>
                      </m:naryPr>
                      <m:sub>
                        <m:r>
                          <w:rPr>
                            <w:rFonts w:ascii="Cambria Math" w:hAnsi="Cambria Math"/>
                            <w:sz w:val="24"/>
                            <w:szCs w:val="24"/>
                          </w:rPr>
                          <m:t>i, s</m:t>
                        </m:r>
                      </m:sub>
                      <m:sup/>
                      <m:e>
                        <m:sPre>
                          <m:sPrePr>
                            <m:ctrlPr>
                              <w:rPr>
                                <w:rFonts w:ascii="Cambria Math" w:hAnsi="Cambria Math"/>
                                <w:i/>
                                <w:sz w:val="24"/>
                                <w:szCs w:val="24"/>
                              </w:rPr>
                            </m:ctrlPr>
                          </m:sPrePr>
                          <m:sub>
                            <m:r>
                              <w:rPr>
                                <w:rFonts w:ascii="Cambria Math" w:hAnsi="Cambria Math"/>
                                <w:sz w:val="24"/>
                                <w:szCs w:val="24"/>
                              </w:rPr>
                              <m:t>Tot</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i,t-1 </m:t>
                                </m:r>
                              </m:sub>
                              <m:sup>
                                <m:r>
                                  <w:rPr>
                                    <w:rFonts w:ascii="Cambria Math" w:hAnsi="Cambria Math"/>
                                    <w:sz w:val="24"/>
                                    <w:szCs w:val="24"/>
                                  </w:rPr>
                                  <m:t>s</m:t>
                                </m:r>
                              </m:sup>
                            </m:sSubSup>
                          </m:e>
                        </m:sPre>
                      </m:e>
                    </m:nary>
                    <m:r>
                      <w:rPr>
                        <w:rFonts w:ascii="Cambria Math" w:hAnsi="Cambria Math"/>
                        <w:sz w:val="24"/>
                        <w:szCs w:val="24"/>
                      </w:rPr>
                      <m:t>)</m:t>
                    </m:r>
                  </m:num>
                  <m:den>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t-1</m:t>
                        </m:r>
                      </m:sub>
                    </m:sSub>
                  </m:den>
                </m:f>
                <m:r>
                  <w:rPr>
                    <w:rFonts w:ascii="Cambria Math" w:hAnsi="Cambria Math"/>
                    <w:sz w:val="24"/>
                    <w:szCs w:val="24"/>
                  </w:rPr>
                  <m:t>=ψ</m:t>
                </m:r>
              </m:oMath>
            </m:oMathPara>
          </w:p>
        </w:tc>
        <w:tc>
          <w:tcPr>
            <w:tcW w:w="567"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59" w:name="_Ref468186453"/>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40</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59"/>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eastAsia="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Tot</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R</m:t>
                    </m:r>
                  </m:sub>
                  <m:sup>
                    <m:r>
                      <w:rPr>
                        <w:rFonts w:ascii="Cambria Math" w:hAnsi="Cambria Math"/>
                        <w:sz w:val="24"/>
                        <w:szCs w:val="24"/>
                      </w:rPr>
                      <m:t xml:space="preserve">Ocup </m:t>
                    </m:r>
                  </m:sup>
                  <m:e>
                    <m:sSubSup>
                      <m:sSubSupPr>
                        <m:ctrlPr>
                          <w:rPr>
                            <w:rFonts w:ascii="Cambria Math" w:hAnsi="Cambria Math"/>
                            <w:i/>
                            <w:sz w:val="24"/>
                            <w:szCs w:val="24"/>
                          </w:rPr>
                        </m:ctrlPr>
                      </m:sSubSupPr>
                      <m:e>
                        <m:r>
                          <w:rPr>
                            <w:rFonts w:ascii="Cambria Math" w:hAnsi="Cambria Math"/>
                            <w:sz w:val="24"/>
                            <w:szCs w:val="24"/>
                          </w:rPr>
                          <m:t>W</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oMath>
            </m:oMathPara>
          </w:p>
        </w:tc>
        <w:tc>
          <w:tcPr>
            <w:tcW w:w="709"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bookmarkStart w:id="160" w:name="_Ref468285782"/>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41</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0"/>
          </w:p>
        </w:tc>
      </w:tr>
      <w:tr w:rsidR="00FF5C5E" w:rsidRPr="005B09F6" w:rsidTr="00637C42">
        <w:trPr>
          <w:trHeight w:hRule="exact" w:val="454"/>
        </w:trPr>
        <w:tc>
          <w:tcPr>
            <w:tcW w:w="9072" w:type="dxa"/>
            <w:shd w:val="clear" w:color="auto" w:fill="FFFFFF" w:themeFill="background1"/>
            <w:vAlign w:val="center"/>
          </w:tcPr>
          <w:p w:rsidR="00FF5C5E" w:rsidRPr="005B09F6" w:rsidRDefault="00FF5C5E" w:rsidP="00637C42">
            <w:pPr>
              <w:spacing w:line="360" w:lineRule="auto"/>
              <w:rPr>
                <w:rFonts w:ascii="Calibri" w:hAnsi="Calibri"/>
                <w:sz w:val="24"/>
                <w:szCs w:val="24"/>
              </w:rPr>
            </w:pPr>
            <m:oMathPara>
              <m:oMath>
                <m:r>
                  <w:rPr>
                    <w:rFonts w:ascii="Cambria Math" w:hAnsi="Cambria Math"/>
                    <w:sz w:val="24"/>
                    <w:szCs w:val="24"/>
                  </w:rPr>
                  <m:t xml:space="preserve"> </m:t>
                </m:r>
                <m:sSub>
                  <m:sSubPr>
                    <m:ctrlPr>
                      <w:rPr>
                        <w:rFonts w:ascii="Cambria Math" w:hAnsi="Cambria Math"/>
                        <w:i/>
                        <w:sz w:val="24"/>
                        <w:szCs w:val="24"/>
                      </w:rPr>
                    </m:ctrlPr>
                  </m:sSubPr>
                  <m:e>
                    <m:r>
                      <w:rPr>
                        <w:rFonts w:ascii="Cambria Math" w:hAnsi="Cambria Math"/>
                        <w:sz w:val="24"/>
                        <w:szCs w:val="24"/>
                      </w:rPr>
                      <m:t>β</m:t>
                    </m:r>
                  </m:e>
                  <m: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m:t>
                        </m:r>
                      </m:sub>
                    </m:sSub>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β</m:t>
                    </m:r>
                  </m:e>
                  <m:sub>
                    <m:sPre>
                      <m:sPrePr>
                        <m:ctrlPr>
                          <w:rPr>
                            <w:rFonts w:ascii="Cambria Math" w:hAnsi="Cambria Math"/>
                            <w:i/>
                            <w:sz w:val="24"/>
                            <w:szCs w:val="24"/>
                          </w:rPr>
                        </m:ctrlPr>
                      </m:sPrePr>
                      <m:sub>
                        <m:r>
                          <w:rPr>
                            <w:rFonts w:ascii="Cambria Math" w:hAnsi="Cambria Math"/>
                            <w:sz w:val="24"/>
                            <w:szCs w:val="24"/>
                          </w:rPr>
                          <m:t>Ocup</m:t>
                        </m:r>
                      </m:sub>
                      <m:sup/>
                      <m:e>
                        <m:sSub>
                          <m:sSubPr>
                            <m:ctrlPr>
                              <w:rPr>
                                <w:rFonts w:ascii="Cambria Math" w:hAnsi="Cambria Math"/>
                                <w:i/>
                                <w:sz w:val="24"/>
                                <w:szCs w:val="24"/>
                              </w:rPr>
                            </m:ctrlPr>
                          </m:sSubPr>
                          <m:e>
                            <m:r>
                              <w:rPr>
                                <w:rFonts w:ascii="Cambria Math" w:hAnsi="Cambria Math"/>
                                <w:sz w:val="24"/>
                                <w:szCs w:val="24"/>
                              </w:rPr>
                              <m:t>W</m:t>
                            </m:r>
                          </m:e>
                          <m:sub>
                            <m:r>
                              <w:rPr>
                                <w:rFonts w:ascii="Cambria Math" w:hAnsi="Cambria Math"/>
                                <w:sz w:val="24"/>
                                <w:szCs w:val="24"/>
                              </w:rPr>
                              <m:t>t</m:t>
                            </m:r>
                          </m:sub>
                        </m:sSub>
                      </m:e>
                    </m:sPre>
                  </m:sub>
                </m:sSub>
              </m:oMath>
            </m:oMathPara>
          </w:p>
        </w:tc>
        <w:tc>
          <w:tcPr>
            <w:tcW w:w="709"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61" w:name="_Ref46828589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42</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1"/>
          </w:p>
        </w:tc>
      </w:tr>
      <w:tr w:rsidR="00FF5C5E" w:rsidRPr="005B09F6" w:rsidTr="00637C42">
        <w:trPr>
          <w:trHeight w:hRule="exact" w:val="454"/>
        </w:trPr>
        <w:tc>
          <w:tcPr>
            <w:tcW w:w="9072"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t-1</m:t>
                    </m:r>
                  </m:sub>
                </m:sSub>
                <m:r>
                  <w:rPr>
                    <w:rFonts w:ascii="Cambria Math" w:hAnsi="Cambria Math"/>
                    <w:sz w:val="24"/>
                    <w:szCs w:val="24"/>
                  </w:rPr>
                  <m:t>.(1+</m:t>
                </m:r>
                <m:sSub>
                  <m:sSubPr>
                    <m:ctrlPr>
                      <w:rPr>
                        <w:rFonts w:ascii="Cambria Math" w:hAnsi="Cambria Math"/>
                        <w:i/>
                        <w:sz w:val="24"/>
                        <w:szCs w:val="24"/>
                      </w:rPr>
                    </m:ctrlPr>
                  </m:sSubPr>
                  <m:e>
                    <m:r>
                      <w:rPr>
                        <w:rFonts w:ascii="Cambria Math" w:hAnsi="Cambria Math"/>
                        <w:sz w:val="24"/>
                        <w:szCs w:val="24"/>
                      </w:rPr>
                      <m:t>β</m:t>
                    </m:r>
                  </m:e>
                  <m:sub>
                    <m:sSub>
                      <m:sSubPr>
                        <m:ctrlPr>
                          <w:rPr>
                            <w:rFonts w:ascii="Cambria Math" w:hAnsi="Cambria Math"/>
                            <w:i/>
                            <w:sz w:val="24"/>
                            <w:szCs w:val="24"/>
                          </w:rPr>
                        </m:ctrlPr>
                      </m:sSubPr>
                      <m:e>
                        <m:r>
                          <w:rPr>
                            <w:rFonts w:ascii="Cambria Math" w:hAnsi="Cambria Math"/>
                            <w:sz w:val="24"/>
                            <w:szCs w:val="24"/>
                          </w:rPr>
                          <m:t>Y</m:t>
                        </m:r>
                      </m:e>
                      <m:sub>
                        <m:r>
                          <w:rPr>
                            <w:rFonts w:ascii="Cambria Math" w:hAnsi="Cambria Math"/>
                            <w:sz w:val="24"/>
                            <w:szCs w:val="24"/>
                          </w:rPr>
                          <m:t>t</m:t>
                        </m:r>
                      </m:sub>
                    </m:sSub>
                  </m:sub>
                </m:sSub>
                <m:r>
                  <w:rPr>
                    <w:rFonts w:ascii="Cambria Math" w:hAnsi="Cambria Math"/>
                    <w:sz w:val="24"/>
                    <w:szCs w:val="24"/>
                  </w:rPr>
                  <m:t>)</m:t>
                </m:r>
              </m:oMath>
            </m:oMathPara>
          </w:p>
        </w:tc>
        <w:tc>
          <w:tcPr>
            <w:tcW w:w="709"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62" w:name="_Ref46828591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43</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2"/>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Despesa com Benefícios Previdenciários (Rurais e Urbanos no Piso Previdenciário) e Assistenciais</w:t>
      </w:r>
    </w:p>
    <w:p w:rsidR="00BA259F" w:rsidRPr="005B09F6" w:rsidRDefault="00BA259F" w:rsidP="00FF5C5E">
      <w:pPr>
        <w:spacing w:line="360" w:lineRule="auto"/>
        <w:jc w:val="both"/>
        <w:rPr>
          <w:rFonts w:ascii="Calibri" w:hAnsi="Calibri"/>
          <w:sz w:val="24"/>
          <w:szCs w:val="24"/>
        </w:rPr>
      </w:pPr>
    </w:p>
    <w:p w:rsidR="00FF5C5E" w:rsidRPr="005B09F6" w:rsidRDefault="00FF5C5E" w:rsidP="00FF5C5E">
      <w:pPr>
        <w:spacing w:line="360" w:lineRule="auto"/>
        <w:jc w:val="both"/>
        <w:rPr>
          <w:rFonts w:ascii="Calibri" w:hAnsi="Calibri"/>
          <w:sz w:val="24"/>
          <w:szCs w:val="24"/>
        </w:rPr>
      </w:pPr>
      <w:r w:rsidRPr="005B09F6">
        <w:rPr>
          <w:rFonts w:ascii="Calibri" w:hAnsi="Calibri"/>
          <w:sz w:val="24"/>
          <w:szCs w:val="24"/>
        </w:rPr>
        <w:t>Para todos os benefícios previdenciários associados às clientelas Rural e Urbana-Piso, e para os benefícios assistenciais, os valores projetados da despesa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t</m:t>
                </m:r>
              </m:sub>
            </m:sSub>
          </m:e>
        </m:sPre>
      </m:oMath>
      <w:r w:rsidRPr="005B09F6">
        <w:rPr>
          <w:rFonts w:ascii="Calibri" w:hAnsi="Calibri"/>
          <w:sz w:val="24"/>
          <w:szCs w:val="24"/>
        </w:rPr>
        <w:t>) são calculados pela multiplicação entre quantidades e preços, ou seja, entre o estoque médio de benefícios em cada ano multiplicado pelo valor pago anualmente em cada benefício, esse último calculado pela multiplicação do valor do benefício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t</m:t>
                </m:r>
              </m:sub>
            </m:sSub>
          </m:e>
        </m:sPre>
      </m:oMath>
      <w:r w:rsidRPr="005B09F6">
        <w:rPr>
          <w:rFonts w:ascii="Calibri" w:hAnsi="Calibri"/>
          <w:sz w:val="24"/>
          <w:szCs w:val="24"/>
        </w:rPr>
        <w:t>) pelo número de parcelas mensais pagas aos beneficiários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t</m:t>
                </m:r>
              </m:sub>
            </m:sSub>
          </m:e>
        </m:sPre>
      </m:oMath>
      <w:r w:rsidRPr="005B09F6">
        <w:rPr>
          <w:rFonts w:ascii="Calibri" w:hAnsi="Calibri"/>
          <w:sz w:val="24"/>
          <w:szCs w:val="24"/>
        </w:rPr>
        <w:t>),</w:t>
      </w:r>
      <w:r w:rsidRPr="005B09F6">
        <w:rPr>
          <w:rStyle w:val="Refdenotaderodap"/>
          <w:rFonts w:ascii="Calibri" w:hAnsi="Calibri"/>
          <w:sz w:val="24"/>
          <w:szCs w:val="24"/>
        </w:rPr>
        <w:footnoteReference w:id="23"/>
      </w:r>
      <w:r w:rsidRPr="005B09F6">
        <w:rPr>
          <w:rFonts w:ascii="Calibri" w:hAnsi="Calibri"/>
          <w:sz w:val="24"/>
          <w:szCs w:val="24"/>
        </w:rPr>
        <w:t xml:space="preserve"> como explicitado na equação </w:t>
      </w:r>
      <w:r w:rsidRPr="005B09F6">
        <w:rPr>
          <w:rFonts w:ascii="Calibri" w:hAnsi="Calibri"/>
          <w:sz w:val="24"/>
          <w:szCs w:val="24"/>
        </w:rPr>
        <w:fldChar w:fldCharType="begin"/>
      </w:r>
      <w:r w:rsidRPr="005B09F6">
        <w:rPr>
          <w:rFonts w:ascii="Calibri" w:hAnsi="Calibri"/>
          <w:sz w:val="24"/>
          <w:szCs w:val="24"/>
        </w:rPr>
        <w:instrText xml:space="preserve"> REF _Ref468352961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44</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xml:space="preserve">. Nota-se que, enquanto os estoques reportados nas quantidades referem-se às informações da posição de 31 de dezembro de cada ano, para o cômputo da despesa é utilizada uma estimativa do estoque médio anual, ou seja, do estoque na posição de 30 de junho de cada ano). Ademais, é importante verificar que os valores financeiros futuros da despesa apresentam-se em termos dos valores correntes de 2017, uma vez que, a partir desse ano, os valores dos benefícios são atualizados somente em termos reais. Nesse sentido, é importante o entendimento de que o modelo não utiliza projeções de inflação, assim, os valores de benefícios projetados a partir de 2017 não são atualizados monetariamente pela inflação.  </w:t>
      </w:r>
    </w:p>
    <w:p w:rsidR="00DE2B77" w:rsidRPr="005B09F6" w:rsidRDefault="00DE2B77" w:rsidP="00FF5C5E">
      <w:pPr>
        <w:spacing w:line="360" w:lineRule="auto"/>
        <w:jc w:val="both"/>
        <w:rPr>
          <w:rFonts w:ascii="Calibri" w:hAnsi="Calibri"/>
          <w:sz w:val="24"/>
          <w:szCs w:val="24"/>
        </w:rPr>
      </w:pPr>
    </w:p>
    <w:tbl>
      <w:tblPr>
        <w:tblStyle w:val="Tabelacomgrade"/>
        <w:tblW w:w="9781" w:type="dxa"/>
        <w:tblInd w:w="-10"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ook w:val="04A0" w:firstRow="1" w:lastRow="0" w:firstColumn="1" w:lastColumn="0" w:noHBand="0" w:noVBand="1"/>
      </w:tblPr>
      <w:tblGrid>
        <w:gridCol w:w="9176"/>
        <w:gridCol w:w="605"/>
      </w:tblGrid>
      <w:tr w:rsidR="00FF5C5E" w:rsidRPr="005B09F6" w:rsidTr="00637C42">
        <w:trPr>
          <w:trHeight w:hRule="exact" w:val="680"/>
        </w:trPr>
        <w:tc>
          <w:tcPr>
            <w:tcW w:w="9215" w:type="dxa"/>
            <w:shd w:val="clear" w:color="auto" w:fill="FFFFFF" w:themeFill="background1"/>
            <w:vAlign w:val="center"/>
          </w:tcPr>
          <w:p w:rsidR="00FF5C5E" w:rsidRPr="005B09F6" w:rsidRDefault="00CB65A3" w:rsidP="00637C42">
            <w:pPr>
              <w:spacing w:line="360" w:lineRule="auto"/>
              <w:rPr>
                <w:rFonts w:ascii="Calibri" w:hAnsi="Calibri"/>
                <w:sz w:val="24"/>
                <w:szCs w:val="24"/>
              </w:rPr>
            </w:pPr>
            <m:oMathPara>
              <m:oMath>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V</m:t>
                        </m:r>
                      </m:e>
                      <m:sub>
                        <m:r>
                          <w:rPr>
                            <w:rFonts w:ascii="Cambria Math" w:eastAsiaTheme="minorEastAsia" w:hAnsi="Cambria Math"/>
                            <w:sz w:val="24"/>
                            <w:szCs w:val="24"/>
                          </w:rPr>
                          <m:t>t</m:t>
                        </m:r>
                      </m:sub>
                    </m:sSub>
                  </m:e>
                </m:sPre>
                <m:r>
                  <w:rPr>
                    <w:rFonts w:ascii="Cambria Math" w:hAnsi="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t</m:t>
                        </m:r>
                      </m:sub>
                    </m:sSub>
                  </m:e>
                </m:sPre>
                <m:r>
                  <w:rPr>
                    <w:rFonts w:ascii="Cambria Math" w:eastAsiaTheme="minorEastAsia" w:hAnsi="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Q</m:t>
                        </m:r>
                      </m:e>
                      <m:sub>
                        <m:r>
                          <w:rPr>
                            <w:rFonts w:ascii="Cambria Math" w:eastAsiaTheme="minorEastAsia" w:hAnsi="Cambria Math"/>
                            <w:sz w:val="24"/>
                            <w:szCs w:val="24"/>
                          </w:rPr>
                          <m:t>t-1</m:t>
                        </m:r>
                      </m:sub>
                    </m:sSub>
                  </m:e>
                </m:sPre>
                <m:r>
                  <w:rPr>
                    <w:rFonts w:ascii="Cambria Math" w:eastAsiaTheme="minorEastAsia" w:hAnsi="Cambria Math"/>
                    <w:sz w:val="24"/>
                    <w:szCs w:val="24"/>
                  </w:rPr>
                  <m:t>)/2]</m:t>
                </m:r>
                <m:r>
                  <w:rPr>
                    <w:rFonts w:ascii="Cambria Math" w:hAnsi="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t</m:t>
                        </m:r>
                      </m:sub>
                    </m:sSub>
                  </m:e>
                </m:sPre>
                <m:r>
                  <w:rPr>
                    <w:rFonts w:ascii="Cambria Math" w:hAnsi="Cambria Math" w:cs="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R, Up</m:t>
                    </m:r>
                  </m:sub>
                  <m:sup>
                    <m:r>
                      <w:rPr>
                        <w:rFonts w:ascii="Cambria Math" w:eastAsiaTheme="minorEastAsia" w:hAnsi="Cambria Math"/>
                        <w:sz w:val="24"/>
                        <w:szCs w:val="24"/>
                      </w:rPr>
                      <m:t>α,</m:t>
                    </m:r>
                    <m:r>
                      <w:rPr>
                        <w:rFonts w:ascii="Cambria Math" w:hAnsi="Cambria Math"/>
                        <w:sz w:val="24"/>
                        <w:szCs w:val="24"/>
                      </w:rPr>
                      <m:t>δ, P, L</m:t>
                    </m:r>
                  </m:sup>
                  <m:e>
                    <m:sSub>
                      <m:sSubPr>
                        <m:ctrlPr>
                          <w:rPr>
                            <w:rFonts w:ascii="Cambria Math" w:eastAsiaTheme="minorEastAsia" w:hAnsi="Cambria Math"/>
                            <w:i/>
                            <w:sz w:val="24"/>
                            <w:szCs w:val="24"/>
                          </w:rPr>
                        </m:ctrlPr>
                      </m:sSubPr>
                      <m:e>
                        <m:r>
                          <w:rPr>
                            <w:rFonts w:ascii="Cambria Math" w:eastAsiaTheme="minorEastAsia" w:hAnsi="Cambria Math"/>
                            <w:sz w:val="24"/>
                            <w:szCs w:val="24"/>
                          </w:rPr>
                          <m:t>n</m:t>
                        </m:r>
                      </m:e>
                      <m:sub>
                        <m:r>
                          <w:rPr>
                            <w:rFonts w:ascii="Cambria Math" w:eastAsiaTheme="minorEastAsia" w:hAnsi="Cambria Math"/>
                            <w:sz w:val="24"/>
                            <w:szCs w:val="24"/>
                          </w:rPr>
                          <m:t>t</m:t>
                        </m:r>
                      </m:sub>
                    </m:sSub>
                  </m:e>
                </m:sPre>
              </m:oMath>
            </m:oMathPara>
          </w:p>
        </w:tc>
        <w:tc>
          <w:tcPr>
            <w:tcW w:w="566"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63" w:name="_Ref468352961"/>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44</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3"/>
          </w:p>
        </w:tc>
      </w:tr>
      <w:tr w:rsidR="00FF5C5E" w:rsidRPr="005B09F6" w:rsidTr="00637C42">
        <w:trPr>
          <w:trHeight w:hRule="exact" w:val="454"/>
        </w:trPr>
        <w:tc>
          <w:tcPr>
            <w:tcW w:w="9215" w:type="dxa"/>
            <w:shd w:val="clear" w:color="auto" w:fill="FFFFFF" w:themeFill="background1"/>
            <w:vAlign w:val="bottom"/>
          </w:tcPr>
          <w:p w:rsidR="00FF5C5E" w:rsidRPr="005B09F6" w:rsidRDefault="00FF5C5E" w:rsidP="00637C42">
            <w:pPr>
              <w:shd w:val="clear" w:color="auto" w:fill="FFFFFF" w:themeFill="background1"/>
              <w:spacing w:line="360" w:lineRule="auto"/>
              <w:jc w:val="both"/>
              <w:rPr>
                <w:rFonts w:ascii="Calibri" w:eastAsiaTheme="minorEastAsia" w:hAnsi="Calibri"/>
                <w:sz w:val="24"/>
                <w:szCs w:val="24"/>
              </w:rPr>
            </w:pPr>
            <m:oMathPara>
              <m:oMathParaPr>
                <m:jc m:val="left"/>
              </m:oMathParaPr>
              <m:oMath>
                <m:r>
                  <w:rPr>
                    <w:rFonts w:ascii="Cambria Math" w:hAnsi="Cambria Math"/>
                    <w:sz w:val="24"/>
                    <w:szCs w:val="24"/>
                    <w:shd w:val="clear" w:color="auto" w:fill="FFFFFF" w:themeFill="background1"/>
                  </w:rPr>
                  <m:t>α∈{Apin, Apid, Atcn, Atce, Atcp, Atcd,Ainv}</m:t>
                </m:r>
              </m:oMath>
            </m:oMathPara>
          </w:p>
          <w:p w:rsidR="00FF5C5E" w:rsidRPr="005B09F6" w:rsidRDefault="00FF5C5E" w:rsidP="00637C42">
            <w:pPr>
              <w:spacing w:line="360" w:lineRule="auto"/>
              <w:rPr>
                <w:rFonts w:ascii="Calibri" w:eastAsia="Calibri" w:hAnsi="Calibri"/>
                <w:sz w:val="24"/>
                <w:szCs w:val="24"/>
              </w:rPr>
            </w:pPr>
          </w:p>
        </w:tc>
        <w:tc>
          <w:tcPr>
            <w:tcW w:w="566" w:type="dxa"/>
            <w:shd w:val="clear" w:color="auto" w:fill="FFFFFF" w:themeFill="background1"/>
            <w:vAlign w:val="bottom"/>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215" w:type="dxa"/>
            <w:shd w:val="clear" w:color="auto" w:fill="FFFFFF" w:themeFill="background1"/>
            <w:vAlign w:val="center"/>
          </w:tcPr>
          <w:p w:rsidR="00FF5C5E" w:rsidRPr="005B09F6" w:rsidRDefault="00FF5C5E" w:rsidP="00637C42">
            <w:pPr>
              <w:shd w:val="clear" w:color="auto" w:fill="FFFFFF" w:themeFill="background1"/>
              <w:spacing w:line="360" w:lineRule="auto"/>
              <w:jc w:val="both"/>
              <w:rPr>
                <w:rFonts w:ascii="Calibri" w:eastAsia="Tw Cen MT" w:hAnsi="Calibri"/>
                <w:sz w:val="24"/>
                <w:szCs w:val="24"/>
              </w:rPr>
            </w:pPr>
            <m:oMathPara>
              <m:oMathParaPr>
                <m:jc m:val="left"/>
              </m:oMathParaPr>
              <m:oMath>
                <m:r>
                  <w:rPr>
                    <w:rFonts w:ascii="Cambria Math" w:hAnsi="Cambria Math"/>
                    <w:sz w:val="24"/>
                    <w:szCs w:val="24"/>
                  </w:rPr>
                  <m:t>δ∈{Ad, Aa, Ar}</m:t>
                </m:r>
              </m:oMath>
            </m:oMathPara>
          </w:p>
        </w:tc>
        <w:tc>
          <w:tcPr>
            <w:tcW w:w="566"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215" w:type="dxa"/>
            <w:shd w:val="clear" w:color="auto" w:fill="FFFFFF" w:themeFill="background1"/>
            <w:vAlign w:val="center"/>
          </w:tcPr>
          <w:p w:rsidR="00FF5C5E" w:rsidRPr="005B09F6" w:rsidRDefault="00FF5C5E" w:rsidP="00637C42">
            <w:pPr>
              <w:shd w:val="clear" w:color="auto" w:fill="FFFFFF" w:themeFill="background1"/>
              <w:spacing w:line="360" w:lineRule="auto"/>
              <w:jc w:val="both"/>
              <w:rPr>
                <w:rFonts w:ascii="Calibri" w:eastAsia="Tw Cen MT" w:hAnsi="Calibri"/>
                <w:sz w:val="24"/>
                <w:szCs w:val="24"/>
              </w:rPr>
            </w:pPr>
            <m:oMathPara>
              <m:oMathParaPr>
                <m:jc m:val="left"/>
              </m:oMathParaPr>
              <m:oMath>
                <m:r>
                  <w:rPr>
                    <w:rFonts w:ascii="Cambria Math" w:hAnsi="Cambria Math"/>
                    <w:sz w:val="24"/>
                    <w:szCs w:val="24"/>
                  </w:rPr>
                  <m:t>P∈{PeA, PeB}</m:t>
                </m:r>
              </m:oMath>
            </m:oMathPara>
          </w:p>
        </w:tc>
        <w:tc>
          <w:tcPr>
            <w:tcW w:w="566"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r w:rsidR="00FF5C5E" w:rsidRPr="005B09F6" w:rsidTr="00637C42">
        <w:trPr>
          <w:trHeight w:hRule="exact" w:val="454"/>
        </w:trPr>
        <w:tc>
          <w:tcPr>
            <w:tcW w:w="9215" w:type="dxa"/>
            <w:shd w:val="clear" w:color="auto" w:fill="FFFFFF" w:themeFill="background1"/>
            <w:vAlign w:val="center"/>
          </w:tcPr>
          <w:p w:rsidR="00FF5C5E" w:rsidRPr="005B09F6" w:rsidRDefault="00FF5C5E" w:rsidP="00637C42">
            <w:pPr>
              <w:shd w:val="clear" w:color="auto" w:fill="FFFFFF" w:themeFill="background1"/>
              <w:spacing w:line="360" w:lineRule="auto"/>
              <w:jc w:val="both"/>
              <w:rPr>
                <w:rFonts w:ascii="Calibri" w:hAnsi="Calibri"/>
                <w:sz w:val="24"/>
                <w:szCs w:val="24"/>
              </w:rPr>
            </w:pPr>
            <m:oMathPara>
              <m:oMathParaPr>
                <m:jc m:val="left"/>
              </m:oMathParaPr>
              <m:oMath>
                <m:r>
                  <w:rPr>
                    <w:rFonts w:ascii="Cambria Math" w:hAnsi="Cambria Math"/>
                    <w:sz w:val="24"/>
                    <w:szCs w:val="24"/>
                  </w:rPr>
                  <m:t>L∈{LoasIdo, LoasDef, RmvIda,RmvInv}</m:t>
                </m:r>
              </m:oMath>
            </m:oMathPara>
          </w:p>
          <w:p w:rsidR="00FF5C5E" w:rsidRPr="005B09F6" w:rsidRDefault="00FF5C5E" w:rsidP="00637C42">
            <w:pPr>
              <w:spacing w:line="360" w:lineRule="auto"/>
              <w:rPr>
                <w:rFonts w:ascii="Calibri" w:eastAsia="Calibri" w:hAnsi="Calibri"/>
                <w:sz w:val="24"/>
                <w:szCs w:val="24"/>
              </w:rPr>
            </w:pPr>
          </w:p>
        </w:tc>
        <w:tc>
          <w:tcPr>
            <w:tcW w:w="566" w:type="dxa"/>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p>
        </w:tc>
      </w:tr>
    </w:tbl>
    <w:p w:rsidR="00FF5C5E" w:rsidRPr="005B09F6" w:rsidRDefault="00FF5C5E" w:rsidP="00FF5C5E">
      <w:pPr>
        <w:spacing w:before="720" w:after="240" w:line="360" w:lineRule="auto"/>
        <w:jc w:val="both"/>
        <w:rPr>
          <w:rFonts w:ascii="Calibri" w:hAnsi="Calibri"/>
          <w:b/>
          <w:i/>
          <w:color w:val="1C6194" w:themeColor="accent2" w:themeShade="BF"/>
          <w:sz w:val="24"/>
          <w:szCs w:val="24"/>
        </w:rPr>
      </w:pPr>
      <w:r w:rsidRPr="005B09F6">
        <w:rPr>
          <w:rFonts w:ascii="Calibri" w:hAnsi="Calibri"/>
          <w:b/>
          <w:i/>
          <w:color w:val="1C6194" w:themeColor="accent2" w:themeShade="BF"/>
          <w:sz w:val="24"/>
          <w:szCs w:val="24"/>
        </w:rPr>
        <w:t>Despesa com Benefícios Previdenciários - Clientela Urbana Acima do Piso</w:t>
      </w:r>
    </w:p>
    <w:p w:rsidR="00FF5C5E" w:rsidRPr="005B09F6" w:rsidRDefault="00FF5C5E" w:rsidP="00FF5C5E">
      <w:pPr>
        <w:spacing w:line="360" w:lineRule="auto"/>
        <w:jc w:val="both"/>
        <w:rPr>
          <w:rFonts w:ascii="Calibri" w:hAnsi="Calibri"/>
          <w:kern w:val="20"/>
          <w:sz w:val="24"/>
          <w:szCs w:val="24"/>
        </w:rPr>
      </w:pPr>
      <w:r w:rsidRPr="005B09F6">
        <w:rPr>
          <w:rFonts w:ascii="Calibri" w:hAnsi="Calibri"/>
          <w:sz w:val="24"/>
          <w:szCs w:val="24"/>
        </w:rPr>
        <w:t>Já para a Clientela Urbana-Acima do Piso Previdenciário, faz-se necessária a aplicação de metodologia diferenciada em relação àquela aplicada anteriormente, em virtude da diferenciação dos valores de benefícios dessa clientela.</w:t>
      </w:r>
      <w:r w:rsidRPr="005B09F6">
        <w:rPr>
          <w:rStyle w:val="Refdenotaderodap"/>
          <w:rFonts w:ascii="Calibri" w:hAnsi="Calibri"/>
          <w:sz w:val="24"/>
          <w:szCs w:val="24"/>
        </w:rPr>
        <w:footnoteReference w:id="24"/>
      </w:r>
      <w:r w:rsidRPr="005B09F6">
        <w:rPr>
          <w:rFonts w:ascii="Calibri" w:hAnsi="Calibri"/>
          <w:sz w:val="24"/>
          <w:szCs w:val="24"/>
        </w:rPr>
        <w:t xml:space="preserve"> Assim, as projeções dos valores de despesa com benefícios permanentes (aposentadorias e pensões) dão-se por meio da aplicação direta do método de fluxo às despesas, conforme a equação </w:t>
      </w:r>
      <w:r w:rsidRPr="005B09F6">
        <w:rPr>
          <w:rFonts w:ascii="Calibri" w:hAnsi="Calibri"/>
          <w:sz w:val="24"/>
          <w:szCs w:val="24"/>
        </w:rPr>
        <w:fldChar w:fldCharType="begin"/>
      </w:r>
      <w:r w:rsidRPr="005B09F6">
        <w:rPr>
          <w:rFonts w:ascii="Calibri" w:hAnsi="Calibri"/>
          <w:sz w:val="24"/>
          <w:szCs w:val="24"/>
        </w:rPr>
        <w:instrText xml:space="preserve"> REF _Ref468451926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45</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Basicamente, o valor da despesa com benefícios em determinado ano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é dado pela despesa do ano anterior (decrescida pela taxa de mortalidade (</w:t>
      </w:r>
      <m:oMath>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acrescida por eventual reajustamento real dos valores de benefício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α,P</m:t>
            </m:r>
          </m:sup>
          <m:e>
            <m:sSub>
              <m:sSubPr>
                <m:ctrlPr>
                  <w:rPr>
                    <w:rFonts w:ascii="Cambria Math" w:eastAsiaTheme="minorEastAsia" w:hAnsi="Cambria Math"/>
                    <w:i/>
                    <w:sz w:val="24"/>
                    <w:szCs w:val="24"/>
                  </w:rPr>
                </m:ctrlPr>
              </m:sSubPr>
              <m:e>
                <m:r>
                  <w:rPr>
                    <w:rFonts w:ascii="Cambria Math" w:hAnsi="Cambria Math"/>
                    <w:sz w:val="24"/>
                    <w:szCs w:val="24"/>
                  </w:rPr>
                  <m:t>β</m:t>
                </m:r>
              </m:e>
              <m:sub>
                <m:r>
                  <w:rPr>
                    <w:rFonts w:ascii="Cambria Math" w:eastAsiaTheme="minorEastAsia" w:hAnsi="Cambria Math"/>
                    <w:sz w:val="24"/>
                    <w:szCs w:val="24"/>
                  </w:rPr>
                  <m:t>t</m:t>
                </m:r>
              </m:sub>
            </m:sSub>
          </m:e>
        </m:sPre>
      </m:oMath>
      <w:r w:rsidRPr="005B09F6">
        <w:rPr>
          <w:rFonts w:ascii="Calibri" w:hAnsi="Calibri"/>
          <w:sz w:val="24"/>
          <w:szCs w:val="24"/>
        </w:rPr>
        <w:t>)) somada ao valor anual das novas concessões, calculada pela multiplicação entre a quantidade estimada de concessões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o valor médio mensal das novas concessões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quantidade média de parcelas recebidas no ano (</w:t>
      </w:r>
      <m:oMath>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co</m:t>
                    </m:r>
                  </m:sub>
                </m:sSub>
              </m:e>
            </m:sPre>
          </m:num>
          <m:den>
            <m:r>
              <w:rPr>
                <w:rFonts w:ascii="Cambria Math" w:hAnsi="Cambria Math"/>
                <w:sz w:val="24"/>
                <w:szCs w:val="24"/>
              </w:rPr>
              <m:t>2</m:t>
            </m:r>
          </m:den>
        </m:f>
      </m:oMath>
      <w:r w:rsidRPr="005B09F6">
        <w:rPr>
          <w:rFonts w:ascii="Calibri" w:hAnsi="Calibri"/>
          <w:sz w:val="24"/>
          <w:szCs w:val="24"/>
        </w:rPr>
        <w:t>).</w:t>
      </w:r>
      <w:r w:rsidRPr="005B09F6">
        <w:rPr>
          <w:rStyle w:val="Refdenotaderodap"/>
          <w:rFonts w:ascii="Calibri" w:hAnsi="Calibri"/>
          <w:sz w:val="24"/>
          <w:szCs w:val="24"/>
        </w:rPr>
        <w:footnoteReference w:id="25"/>
      </w:r>
      <w:r w:rsidRPr="005B09F6">
        <w:rPr>
          <w:rFonts w:ascii="Calibri" w:hAnsi="Calibri"/>
          <w:sz w:val="24"/>
          <w:szCs w:val="24"/>
        </w:rPr>
        <w:t xml:space="preserve"> Já para os benefícios temporários (auxílios) é empregado o método do estoque a evolução da despesa, de acordo com a equação </w:t>
      </w:r>
      <w:r w:rsidRPr="005B09F6">
        <w:rPr>
          <w:rFonts w:ascii="Calibri" w:hAnsi="Calibri"/>
          <w:sz w:val="24"/>
          <w:szCs w:val="24"/>
        </w:rPr>
        <w:fldChar w:fldCharType="begin"/>
      </w:r>
      <w:r w:rsidRPr="005B09F6">
        <w:rPr>
          <w:rFonts w:ascii="Calibri" w:hAnsi="Calibri"/>
          <w:sz w:val="24"/>
          <w:szCs w:val="24"/>
        </w:rPr>
        <w:instrText xml:space="preserve"> REF _Ref468451937 \h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46</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em que os totais de despesa com benefícios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é dada pela quantidade de benefícios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multiplicada pelo valor médio de concessão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pela quantidade média de parcelas pagas aos beneficiários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r>
              <w:rPr>
                <w:rFonts w:ascii="Cambria Math" w:hAnsi="Cambria Math"/>
                <w:sz w:val="24"/>
                <w:szCs w:val="24"/>
              </w:rPr>
              <m:t>n</m:t>
            </m:r>
          </m:e>
        </m:sPre>
      </m:oMath>
      <w:r w:rsidRPr="005B09F6">
        <w:rPr>
          <w:rFonts w:ascii="Calibri" w:hAnsi="Calibri"/>
          <w:sz w:val="24"/>
          <w:szCs w:val="24"/>
        </w:rPr>
        <w:t>). É importante a compreensão de que a variável-chave nos dois casos apresentados é o valor médio mensal dos novos benefícios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xml:space="preserve">), o qual é estimado pela equação </w:t>
      </w:r>
      <w:r w:rsidRPr="005B09F6">
        <w:rPr>
          <w:rFonts w:ascii="Calibri" w:hAnsi="Calibri"/>
          <w:sz w:val="24"/>
          <w:szCs w:val="24"/>
        </w:rPr>
        <w:fldChar w:fldCharType="begin"/>
      </w:r>
      <w:r w:rsidRPr="005B09F6">
        <w:rPr>
          <w:rFonts w:ascii="Calibri" w:hAnsi="Calibri"/>
          <w:sz w:val="24"/>
          <w:szCs w:val="24"/>
        </w:rPr>
        <w:instrText xml:space="preserve"> REF _Ref468714549 \h </w:instrText>
      </w:r>
      <w:r w:rsidR="00BA259F" w:rsidRPr="005B09F6">
        <w:rPr>
          <w:rFonts w:ascii="Calibri" w:hAnsi="Calibri"/>
          <w:sz w:val="24"/>
          <w:szCs w:val="24"/>
        </w:rPr>
        <w:instrText xml:space="preserve"> \* MERGEFORMAT </w:instrText>
      </w:r>
      <w:r w:rsidRPr="005B09F6">
        <w:rPr>
          <w:rFonts w:ascii="Calibri" w:hAnsi="Calibri"/>
          <w:sz w:val="24"/>
          <w:szCs w:val="24"/>
        </w:rPr>
      </w:r>
      <w:r w:rsidRPr="005B09F6">
        <w:rPr>
          <w:rFonts w:ascii="Calibri" w:hAnsi="Calibri"/>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47</w:t>
      </w:r>
      <w:r w:rsidR="008D1275" w:rsidRPr="005B09F6">
        <w:rPr>
          <w:rFonts w:ascii="Calibri" w:eastAsiaTheme="minorEastAsia" w:hAnsi="Calibri"/>
          <w:sz w:val="24"/>
          <w:szCs w:val="24"/>
        </w:rPr>
        <w:t>)</w:t>
      </w:r>
      <w:r w:rsidRPr="005B09F6">
        <w:rPr>
          <w:rFonts w:ascii="Calibri" w:hAnsi="Calibri"/>
          <w:sz w:val="24"/>
          <w:szCs w:val="24"/>
        </w:rPr>
        <w:fldChar w:fldCharType="end"/>
      </w:r>
      <w:r w:rsidRPr="005B09F6">
        <w:rPr>
          <w:rFonts w:ascii="Calibri" w:hAnsi="Calibri"/>
          <w:sz w:val="24"/>
          <w:szCs w:val="24"/>
        </w:rPr>
        <w:t>, ou seja, pelo produto entre a taxa de reposição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α,P,δ</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e o rendimento médio dos segurados que recebem acima de 1 SM de cada coorte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F</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sz w:val="24"/>
          <w:szCs w:val="24"/>
        </w:rPr>
        <w:t>). No caso da</w:t>
      </w:r>
      <w:r w:rsidRPr="005B09F6">
        <w:rPr>
          <w:rFonts w:ascii="Calibri" w:hAnsi="Calibri"/>
          <w:kern w:val="20"/>
          <w:sz w:val="24"/>
          <w:szCs w:val="24"/>
        </w:rPr>
        <w:t xml:space="preserve"> taxa de reposição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  δ</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kern w:val="20"/>
          <w:sz w:val="24"/>
          <w:szCs w:val="24"/>
        </w:rPr>
        <w:t xml:space="preserve">), essa é estimada de acordo com a equação </w:t>
      </w:r>
      <w:r w:rsidRPr="005B09F6">
        <w:rPr>
          <w:rFonts w:ascii="Calibri" w:hAnsi="Calibri"/>
          <w:kern w:val="20"/>
          <w:sz w:val="24"/>
          <w:szCs w:val="24"/>
        </w:rPr>
        <w:fldChar w:fldCharType="begin"/>
      </w:r>
      <w:r w:rsidRPr="005B09F6">
        <w:rPr>
          <w:rFonts w:ascii="Calibri" w:hAnsi="Calibri"/>
          <w:kern w:val="20"/>
          <w:sz w:val="24"/>
          <w:szCs w:val="24"/>
        </w:rPr>
        <w:instrText xml:space="preserve"> REF _Ref468711555 \h </w:instrText>
      </w:r>
      <w:r w:rsidR="00BA259F" w:rsidRPr="005B09F6">
        <w:rPr>
          <w:rFonts w:ascii="Calibri" w:hAnsi="Calibri"/>
          <w:kern w:val="20"/>
          <w:sz w:val="24"/>
          <w:szCs w:val="24"/>
        </w:rPr>
        <w:instrText xml:space="preserve"> \* MERGEFORMAT </w:instrText>
      </w:r>
      <w:r w:rsidRPr="005B09F6">
        <w:rPr>
          <w:rFonts w:ascii="Calibri" w:hAnsi="Calibri"/>
          <w:kern w:val="20"/>
          <w:sz w:val="24"/>
          <w:szCs w:val="24"/>
        </w:rPr>
      </w:r>
      <w:r w:rsidRPr="005B09F6">
        <w:rPr>
          <w:rFonts w:ascii="Calibri" w:hAnsi="Calibri"/>
          <w:kern w:val="20"/>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48</w:t>
      </w:r>
      <w:r w:rsidR="008D1275" w:rsidRPr="005B09F6">
        <w:rPr>
          <w:rFonts w:ascii="Calibri" w:eastAsiaTheme="minorEastAsia" w:hAnsi="Calibri"/>
          <w:sz w:val="24"/>
          <w:szCs w:val="24"/>
        </w:rPr>
        <w:t>)</w:t>
      </w:r>
      <w:r w:rsidRPr="005B09F6">
        <w:rPr>
          <w:rFonts w:ascii="Calibri" w:hAnsi="Calibri"/>
          <w:kern w:val="20"/>
          <w:sz w:val="24"/>
          <w:szCs w:val="24"/>
        </w:rPr>
        <w:fldChar w:fldCharType="end"/>
      </w:r>
      <w:r w:rsidRPr="005B09F6">
        <w:rPr>
          <w:rFonts w:ascii="Calibri" w:hAnsi="Calibri"/>
          <w:kern w:val="20"/>
          <w:sz w:val="24"/>
          <w:szCs w:val="24"/>
        </w:rPr>
        <w:t>, ou seja, pela representa uma razão entre o valor médio de benefício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α,P,  δ</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i,t</m:t>
                </m:r>
              </m:sub>
            </m:sSub>
          </m:e>
        </m:sPre>
      </m:oMath>
      <w:r w:rsidRPr="005B09F6">
        <w:rPr>
          <w:rFonts w:ascii="Calibri" w:hAnsi="Calibri"/>
          <w:kern w:val="20"/>
          <w:sz w:val="24"/>
          <w:szCs w:val="24"/>
        </w:rPr>
        <w:t>) e o rendimento médio dos segurados (</w:t>
      </w:r>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F</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oMath>
      <w:r w:rsidRPr="005B09F6">
        <w:rPr>
          <w:rFonts w:ascii="Calibri" w:hAnsi="Calibri"/>
          <w:kern w:val="20"/>
          <w:sz w:val="24"/>
          <w:szCs w:val="24"/>
        </w:rPr>
        <w:t xml:space="preserve">). No caso das aposentadorias por tempo de contribuição (Atc), </w:t>
      </w:r>
      <w:r w:rsidR="00B37896" w:rsidRPr="005B09F6">
        <w:rPr>
          <w:rFonts w:ascii="Calibri" w:hAnsi="Calibri"/>
          <w:kern w:val="20"/>
          <w:sz w:val="24"/>
          <w:szCs w:val="24"/>
        </w:rPr>
        <w:t xml:space="preserve">às </w:t>
      </w:r>
      <w:r w:rsidRPr="005B09F6">
        <w:rPr>
          <w:rFonts w:ascii="Calibri" w:hAnsi="Calibri"/>
          <w:kern w:val="20"/>
          <w:sz w:val="24"/>
          <w:szCs w:val="24"/>
        </w:rPr>
        <w:t xml:space="preserve">quais </w:t>
      </w:r>
      <w:r w:rsidR="00B37896" w:rsidRPr="005B09F6">
        <w:rPr>
          <w:rFonts w:ascii="Calibri" w:hAnsi="Calibri"/>
          <w:kern w:val="20"/>
          <w:sz w:val="24"/>
          <w:szCs w:val="24"/>
        </w:rPr>
        <w:t>estão sujeitas à</w:t>
      </w:r>
      <w:r w:rsidRPr="005B09F6">
        <w:rPr>
          <w:rFonts w:ascii="Calibri" w:hAnsi="Calibri"/>
          <w:kern w:val="20"/>
          <w:sz w:val="24"/>
          <w:szCs w:val="24"/>
        </w:rPr>
        <w:t xml:space="preserve"> aplicação do fator previdenciário como regra de cálculo dos valores na concessão do benefício, aplica-se a equação </w:t>
      </w:r>
      <w:r w:rsidRPr="005B09F6">
        <w:rPr>
          <w:rFonts w:ascii="Calibri" w:hAnsi="Calibri"/>
          <w:kern w:val="20"/>
          <w:sz w:val="24"/>
          <w:szCs w:val="24"/>
        </w:rPr>
        <w:fldChar w:fldCharType="begin"/>
      </w:r>
      <w:r w:rsidRPr="005B09F6">
        <w:rPr>
          <w:rFonts w:ascii="Calibri" w:hAnsi="Calibri"/>
          <w:kern w:val="20"/>
          <w:sz w:val="24"/>
          <w:szCs w:val="24"/>
        </w:rPr>
        <w:instrText xml:space="preserve"> REF _Ref468715529 \h </w:instrText>
      </w:r>
      <w:r w:rsidR="00BA259F" w:rsidRPr="005B09F6">
        <w:rPr>
          <w:rFonts w:ascii="Calibri" w:hAnsi="Calibri"/>
          <w:kern w:val="20"/>
          <w:sz w:val="24"/>
          <w:szCs w:val="24"/>
        </w:rPr>
        <w:instrText xml:space="preserve"> \* MERGEFORMAT </w:instrText>
      </w:r>
      <w:r w:rsidRPr="005B09F6">
        <w:rPr>
          <w:rFonts w:ascii="Calibri" w:hAnsi="Calibri"/>
          <w:kern w:val="20"/>
          <w:sz w:val="24"/>
          <w:szCs w:val="24"/>
        </w:rPr>
      </w:r>
      <w:r w:rsidRPr="005B09F6">
        <w:rPr>
          <w:rFonts w:ascii="Calibri" w:hAnsi="Calibri"/>
          <w:kern w:val="20"/>
          <w:sz w:val="24"/>
          <w:szCs w:val="24"/>
        </w:rPr>
        <w:fldChar w:fldCharType="separate"/>
      </w:r>
      <w:r w:rsidR="008D1275" w:rsidRPr="005B09F6">
        <w:rPr>
          <w:rFonts w:ascii="Calibri" w:eastAsiaTheme="minorEastAsia" w:hAnsi="Calibri"/>
          <w:sz w:val="24"/>
          <w:szCs w:val="24"/>
        </w:rPr>
        <w:t>(</w:t>
      </w:r>
      <w:r w:rsidR="008D1275" w:rsidRPr="005B09F6">
        <w:rPr>
          <w:rFonts w:ascii="Calibri" w:eastAsiaTheme="minorEastAsia" w:hAnsi="Calibri"/>
          <w:noProof/>
          <w:sz w:val="24"/>
          <w:szCs w:val="24"/>
        </w:rPr>
        <w:t>49</w:t>
      </w:r>
      <w:r w:rsidR="008D1275" w:rsidRPr="005B09F6">
        <w:rPr>
          <w:rFonts w:ascii="Calibri" w:eastAsiaTheme="minorEastAsia" w:hAnsi="Calibri"/>
          <w:sz w:val="24"/>
          <w:szCs w:val="24"/>
        </w:rPr>
        <w:t>)</w:t>
      </w:r>
      <w:r w:rsidRPr="005B09F6">
        <w:rPr>
          <w:rFonts w:ascii="Calibri" w:hAnsi="Calibri"/>
          <w:kern w:val="20"/>
          <w:sz w:val="24"/>
          <w:szCs w:val="24"/>
        </w:rPr>
        <w:fldChar w:fldCharType="end"/>
      </w:r>
      <w:r w:rsidRPr="005B09F6">
        <w:rPr>
          <w:rFonts w:ascii="Calibri" w:hAnsi="Calibri"/>
          <w:kern w:val="20"/>
          <w:sz w:val="24"/>
          <w:szCs w:val="24"/>
        </w:rPr>
        <w:t>, a qual visa incorporar a dinâmica de evolução do fator previdenciário (</w:t>
      </w:r>
      <m:oMath>
        <m:sSubSup>
          <m:sSubSupPr>
            <m:ctrlPr>
              <w:rPr>
                <w:rFonts w:ascii="Cambria Math" w:hAnsi="Cambria Math"/>
                <w:i/>
                <w:sz w:val="24"/>
                <w:szCs w:val="24"/>
              </w:rPr>
            </m:ctrlPr>
          </m:sSubSupPr>
          <m:e>
            <m:r>
              <w:rPr>
                <w:rFonts w:ascii="Cambria Math" w:eastAsiaTheme="minorEastAsia" w:hAnsi="Cambria Math"/>
                <w:sz w:val="24"/>
                <w:szCs w:val="24"/>
              </w:rPr>
              <m:t>fm</m:t>
            </m:r>
          </m:e>
          <m:sub>
            <m:r>
              <w:rPr>
                <w:rFonts w:ascii="Cambria Math" w:hAnsi="Cambria Math"/>
                <w:sz w:val="24"/>
                <w:szCs w:val="24"/>
              </w:rPr>
              <m:t xml:space="preserve">i,t </m:t>
            </m:r>
          </m:sub>
          <m:sup>
            <m:r>
              <w:rPr>
                <w:rFonts w:ascii="Cambria Math" w:hAnsi="Cambria Math"/>
                <w:sz w:val="24"/>
                <w:szCs w:val="24"/>
              </w:rPr>
              <m:t>tc</m:t>
            </m:r>
          </m:sup>
        </m:sSubSup>
      </m:oMath>
      <w:r w:rsidRPr="005B09F6">
        <w:rPr>
          <w:rFonts w:ascii="Calibri" w:hAnsi="Calibri"/>
          <w:kern w:val="20"/>
          <w:sz w:val="24"/>
          <w:szCs w:val="24"/>
        </w:rPr>
        <w:t>). Por fim, emprega-se um termo de ajuste que visa adequar a histórico de rendimentos não-observados (</w:t>
      </w:r>
      <m:oMath>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hist</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ω</m:t>
                </m:r>
              </m:e>
              <m:sub>
                <m:r>
                  <w:rPr>
                    <w:rFonts w:ascii="Cambria Math" w:eastAsiaTheme="minorEastAsia" w:hAnsi="Cambria Math"/>
                    <w:sz w:val="24"/>
                    <w:szCs w:val="24"/>
                  </w:rPr>
                  <m:t>i,t</m:t>
                </m:r>
              </m:sub>
            </m:sSub>
          </m:e>
        </m:sPre>
      </m:oMath>
      <w:r w:rsidRPr="005B09F6">
        <w:rPr>
          <w:rFonts w:ascii="Calibri" w:hAnsi="Calibri"/>
          <w:kern w:val="20"/>
          <w:sz w:val="24"/>
          <w:szCs w:val="24"/>
        </w:rPr>
        <w:t xml:space="preserve">) utilizado efetivamente no cômputo dos valores de concessão à estimativa de rendimento médio dos segurados utilizadas para estimar os valores de concessão de benefício. </w:t>
      </w:r>
    </w:p>
    <w:p w:rsidR="00735D74" w:rsidRPr="005B09F6" w:rsidRDefault="00735D74" w:rsidP="00FF5C5E">
      <w:pPr>
        <w:spacing w:line="360" w:lineRule="auto"/>
        <w:jc w:val="both"/>
        <w:rPr>
          <w:rFonts w:ascii="Calibri" w:hAnsi="Calibri"/>
          <w:sz w:val="24"/>
          <w:szCs w:val="24"/>
        </w:rPr>
      </w:pPr>
    </w:p>
    <w:tbl>
      <w:tblPr>
        <w:tblStyle w:val="Tabelacomgrade"/>
        <w:tblW w:w="9781" w:type="dxa"/>
        <w:tblBorders>
          <w:top w:val="single" w:sz="4" w:space="0" w:color="2683C6" w:themeColor="accent2"/>
          <w:left w:val="single" w:sz="4" w:space="0" w:color="2683C6" w:themeColor="accent2"/>
          <w:bottom w:val="single" w:sz="4" w:space="0" w:color="2683C6" w:themeColor="accent2"/>
          <w:right w:val="single" w:sz="4" w:space="0" w:color="2683C6" w:themeColor="accent2"/>
          <w:insideH w:val="none" w:sz="0" w:space="0" w:color="auto"/>
          <w:insideV w:val="none" w:sz="0" w:space="0" w:color="auto"/>
        </w:tblBorders>
        <w:shd w:val="clear" w:color="auto" w:fill="FFFFFF" w:themeFill="background1"/>
        <w:tblLayout w:type="fixed"/>
        <w:tblLook w:val="04A0" w:firstRow="1" w:lastRow="0" w:firstColumn="1" w:lastColumn="0" w:noHBand="0" w:noVBand="1"/>
      </w:tblPr>
      <w:tblGrid>
        <w:gridCol w:w="8926"/>
        <w:gridCol w:w="283"/>
        <w:gridCol w:w="572"/>
      </w:tblGrid>
      <w:tr w:rsidR="00FF5C5E" w:rsidRPr="005B09F6" w:rsidTr="00637C42">
        <w:trPr>
          <w:trHeight w:val="907"/>
        </w:trPr>
        <w:tc>
          <w:tcPr>
            <w:tcW w:w="9209" w:type="dxa"/>
            <w:gridSpan w:val="2"/>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d>
                  <m:dPr>
                    <m:begChr m:val="["/>
                    <m:endChr m:val="]"/>
                    <m:ctrlPr>
                      <w:rPr>
                        <w:rFonts w:ascii="Cambria Math" w:hAnsi="Cambria Math"/>
                        <w:i/>
                        <w:sz w:val="24"/>
                        <w:szCs w:val="24"/>
                      </w:rPr>
                    </m:ctrlPr>
                  </m:dPr>
                  <m:e>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Ocup</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i-1,t-1 </m:t>
                            </m:r>
                          </m:sub>
                          <m:sup>
                            <m:r>
                              <w:rPr>
                                <w:rFonts w:ascii="Cambria Math" w:hAnsi="Cambria Math"/>
                                <w:sz w:val="24"/>
                                <w:szCs w:val="24"/>
                              </w:rPr>
                              <m:t>s</m:t>
                            </m:r>
                          </m:sup>
                        </m:sSubSup>
                      </m:e>
                    </m:sPre>
                    <m:r>
                      <w:rPr>
                        <w:rFonts w:ascii="Cambria Math" w:hAnsi="Cambria Math"/>
                        <w:sz w:val="24"/>
                        <w:szCs w:val="24"/>
                      </w:rPr>
                      <m:t>. (</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co</m:t>
                                </m:r>
                              </m:sub>
                            </m:sSub>
                          </m:e>
                        </m:sPre>
                      </m:num>
                      <m:den>
                        <m:r>
                          <w:rPr>
                            <w:rFonts w:ascii="Cambria Math" w:hAnsi="Cambria Math"/>
                            <w:sz w:val="24"/>
                            <w:szCs w:val="24"/>
                          </w:rPr>
                          <m:t>2</m:t>
                        </m:r>
                      </m:den>
                    </m:f>
                    <m:r>
                      <w:rPr>
                        <w:rFonts w:ascii="Cambria Math" w:hAnsi="Cambria Math"/>
                        <w:sz w:val="24"/>
                        <w:szCs w:val="24"/>
                      </w:rPr>
                      <m:t>)</m:t>
                    </m:r>
                  </m:e>
                </m:d>
              </m:oMath>
            </m:oMathPara>
          </w:p>
          <w:p w:rsidR="00FF5C5E" w:rsidRPr="005B09F6" w:rsidRDefault="00FF5C5E" w:rsidP="00637C42">
            <w:pPr>
              <w:spacing w:line="360" w:lineRule="auto"/>
              <w:rPr>
                <w:rFonts w:ascii="Calibri" w:eastAsiaTheme="minorEastAsia" w:hAnsi="Calibri"/>
                <w:b/>
                <w:color w:val="2E653E" w:themeColor="accent5" w:themeShade="BF"/>
                <w:sz w:val="24"/>
                <w:szCs w:val="24"/>
              </w:rPr>
            </w:pPr>
            <m:oMathPara>
              <m:oMath>
                <m:r>
                  <w:rPr>
                    <w:rFonts w:ascii="Cambria Math" w:hAnsi="Cambria Math"/>
                    <w:sz w:val="24"/>
                    <w:szCs w:val="24"/>
                  </w:rPr>
                  <m:t>.</m:t>
                </m:r>
                <m:d>
                  <m:dPr>
                    <m:ctrlPr>
                      <w:rPr>
                        <w:rFonts w:ascii="Cambria Math" w:hAnsi="Cambria Math"/>
                        <w:i/>
                        <w:sz w:val="24"/>
                        <w:szCs w:val="24"/>
                      </w:rPr>
                    </m:ctrlPr>
                  </m:dPr>
                  <m:e>
                    <m:r>
                      <w:rPr>
                        <w:rFonts w:ascii="Cambria Math" w:hAnsi="Cambria Math"/>
                        <w:sz w:val="24"/>
                        <w:szCs w:val="24"/>
                      </w:rPr>
                      <m:t>1-</m:t>
                    </m:r>
                    <m:sSubSup>
                      <m:sSubSupPr>
                        <m:ctrlPr>
                          <w:rPr>
                            <w:rFonts w:ascii="Cambria Math" w:hAnsi="Cambria Math"/>
                            <w:i/>
                            <w:sz w:val="24"/>
                            <w:szCs w:val="24"/>
                          </w:rPr>
                        </m:ctrlPr>
                      </m:sSubSupPr>
                      <m:e>
                        <m:r>
                          <m:rPr>
                            <m:sty m:val="b"/>
                          </m:rPr>
                          <w:rPr>
                            <w:rFonts w:ascii="Cambria Math" w:eastAsiaTheme="minorEastAsia" w:hAnsi="Cambria Math"/>
                            <w:sz w:val="24"/>
                            <w:szCs w:val="24"/>
                          </w:rPr>
                          <m:t>λ</m:t>
                        </m:r>
                      </m:e>
                      <m:sub>
                        <m:r>
                          <w:rPr>
                            <w:rFonts w:ascii="Cambria Math" w:hAnsi="Cambria Math"/>
                            <w:sz w:val="24"/>
                            <w:szCs w:val="24"/>
                          </w:rPr>
                          <m:t xml:space="preserve">i,t </m:t>
                        </m:r>
                      </m:sub>
                      <m:sup>
                        <m:r>
                          <w:rPr>
                            <w:rFonts w:ascii="Cambria Math" w:hAnsi="Cambria Math"/>
                            <w:sz w:val="24"/>
                            <w:szCs w:val="24"/>
                          </w:rPr>
                          <m:t>s</m:t>
                        </m:r>
                      </m:sup>
                    </m:sSubSup>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ε</m:t>
                            </m:r>
                          </m:e>
                          <m:sub>
                            <m:r>
                              <w:rPr>
                                <w:rFonts w:ascii="Cambria Math" w:hAnsi="Cambria Math"/>
                                <w:sz w:val="24"/>
                                <w:szCs w:val="24"/>
                              </w:rPr>
                              <m:t xml:space="preserve">i,t </m:t>
                            </m:r>
                          </m:sub>
                          <m:sup>
                            <m:r>
                              <w:rPr>
                                <w:rFonts w:ascii="Cambria Math" w:hAnsi="Cambria Math"/>
                                <w:sz w:val="24"/>
                                <w:szCs w:val="24"/>
                              </w:rPr>
                              <m:t>s</m:t>
                            </m:r>
                          </m:sup>
                        </m:sSubSup>
                      </m:e>
                    </m:sPre>
                  </m:e>
                </m:d>
                <m:r>
                  <w:rPr>
                    <w:rFonts w:ascii="Cambria Math" w:hAnsi="Cambria Math"/>
                    <w:sz w:val="24"/>
                    <w:szCs w:val="24"/>
                  </w:rPr>
                  <m:t>.(1+</m:t>
                </m:r>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α,P</m:t>
                    </m:r>
                  </m:sup>
                  <m:e>
                    <m:sSub>
                      <m:sSubPr>
                        <m:ctrlPr>
                          <w:rPr>
                            <w:rFonts w:ascii="Cambria Math" w:eastAsiaTheme="minorEastAsia" w:hAnsi="Cambria Math"/>
                            <w:i/>
                            <w:sz w:val="24"/>
                            <w:szCs w:val="24"/>
                          </w:rPr>
                        </m:ctrlPr>
                      </m:sSubPr>
                      <m:e>
                        <m:r>
                          <w:rPr>
                            <w:rFonts w:ascii="Cambria Math" w:hAnsi="Cambria Math"/>
                            <w:sz w:val="24"/>
                            <w:szCs w:val="24"/>
                          </w:rPr>
                          <m:t>β</m:t>
                        </m:r>
                      </m:e>
                      <m:sub>
                        <m:r>
                          <w:rPr>
                            <w:rFonts w:ascii="Cambria Math" w:eastAsiaTheme="minorEastAsia" w:hAnsi="Cambria Math"/>
                            <w:sz w:val="24"/>
                            <w:szCs w:val="24"/>
                          </w:rPr>
                          <m:t>t</m:t>
                        </m:r>
                      </m:sub>
                    </m:sSub>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Co</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m:t>
                        </m:r>
                      </m:sup>
                      <m:e>
                        <m:sSub>
                          <m:sSubPr>
                            <m:ctrlPr>
                              <w:rPr>
                                <w:rFonts w:ascii="Cambria Math" w:hAnsi="Cambria Math"/>
                                <w:i/>
                                <w:sz w:val="24"/>
                                <w:szCs w:val="24"/>
                              </w:rPr>
                            </m:ctrlPr>
                          </m:sSubPr>
                          <m:e>
                            <m:r>
                              <w:rPr>
                                <w:rFonts w:ascii="Cambria Math" w:hAnsi="Cambria Math"/>
                                <w:sz w:val="24"/>
                                <w:szCs w:val="24"/>
                              </w:rPr>
                              <m:t>n</m:t>
                            </m:r>
                          </m:e>
                          <m:sub>
                            <m:r>
                              <w:rPr>
                                <w:rFonts w:ascii="Cambria Math" w:hAnsi="Cambria Math"/>
                                <w:sz w:val="24"/>
                                <w:szCs w:val="24"/>
                              </w:rPr>
                              <m:t>co</m:t>
                            </m:r>
                          </m:sub>
                        </m:sSub>
                      </m:e>
                    </m:sPre>
                  </m:num>
                  <m:den>
                    <m:r>
                      <w:rPr>
                        <w:rFonts w:ascii="Cambria Math" w:hAnsi="Cambria Math"/>
                        <w:sz w:val="24"/>
                        <w:szCs w:val="24"/>
                      </w:rPr>
                      <m:t>2</m:t>
                    </m:r>
                  </m:den>
                </m:f>
                <m:r>
                  <w:rPr>
                    <w:rFonts w:ascii="Cambria Math" w:hAnsi="Cambria Math"/>
                    <w:sz w:val="24"/>
                    <w:szCs w:val="24"/>
                  </w:rPr>
                  <m:t>)]</m:t>
                </m:r>
              </m:oMath>
            </m:oMathPara>
          </w:p>
        </w:tc>
        <w:tc>
          <w:tcPr>
            <w:tcW w:w="572" w:type="dxa"/>
            <w:shd w:val="clear" w:color="auto" w:fill="FFFFFF" w:themeFill="background1"/>
            <w:vAlign w:val="center"/>
          </w:tcPr>
          <w:p w:rsidR="00FF5C5E" w:rsidRPr="005B09F6" w:rsidRDefault="00FF5C5E" w:rsidP="00637C42">
            <w:pPr>
              <w:spacing w:line="360" w:lineRule="auto"/>
              <w:rPr>
                <w:rFonts w:ascii="Calibri" w:eastAsiaTheme="minorEastAsia" w:hAnsi="Calibri"/>
                <w:color w:val="2E653E" w:themeColor="accent5" w:themeShade="BF"/>
                <w:sz w:val="24"/>
                <w:szCs w:val="24"/>
              </w:rPr>
            </w:pPr>
            <w:bookmarkStart w:id="164" w:name="_Ref468451926"/>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45</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4"/>
          </w:p>
        </w:tc>
      </w:tr>
      <w:tr w:rsidR="00FF5C5E" w:rsidRPr="005B09F6" w:rsidTr="00637C42">
        <w:trPr>
          <w:trHeight w:hRule="exact" w:val="567"/>
        </w:trPr>
        <w:tc>
          <w:tcPr>
            <w:tcW w:w="8926" w:type="dxa"/>
            <w:shd w:val="clear" w:color="auto" w:fill="FFFFFF" w:themeFill="background1"/>
          </w:tcPr>
          <w:p w:rsidR="00FF5C5E" w:rsidRPr="005B09F6" w:rsidRDefault="00CB65A3" w:rsidP="00637C42">
            <w:pPr>
              <w:spacing w:line="360" w:lineRule="auto"/>
              <w:rPr>
                <w:rFonts w:ascii="Calibri" w:eastAsiaTheme="minorEastAsia" w:hAnsi="Calibri"/>
                <w:b/>
                <w:color w:val="2E653E" w:themeColor="accent5" w:themeShade="BF"/>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Q</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δ</m:t>
                    </m:r>
                  </m:sup>
                  <m:e>
                    <m:r>
                      <w:rPr>
                        <w:rFonts w:ascii="Cambria Math" w:hAnsi="Cambria Math"/>
                        <w:sz w:val="24"/>
                        <w:szCs w:val="24"/>
                      </w:rPr>
                      <m:t>n</m:t>
                    </m:r>
                  </m:e>
                </m:sPre>
              </m:oMath>
            </m:oMathPara>
          </w:p>
        </w:tc>
        <w:tc>
          <w:tcPr>
            <w:tcW w:w="855" w:type="dxa"/>
            <w:gridSpan w:val="2"/>
            <w:shd w:val="clear" w:color="auto" w:fill="FFFFFF" w:themeFill="background1"/>
            <w:vAlign w:val="center"/>
          </w:tcPr>
          <w:p w:rsidR="00FF5C5E" w:rsidRPr="005B09F6" w:rsidRDefault="00FF5C5E" w:rsidP="00637C42">
            <w:pPr>
              <w:spacing w:line="360" w:lineRule="auto"/>
              <w:ind w:left="-103"/>
              <w:jc w:val="right"/>
              <w:rPr>
                <w:rFonts w:ascii="Calibri" w:eastAsiaTheme="minorEastAsia" w:hAnsi="Calibri"/>
                <w:color w:val="2E653E" w:themeColor="accent5" w:themeShade="BF"/>
                <w:sz w:val="24"/>
                <w:szCs w:val="24"/>
              </w:rPr>
            </w:pPr>
            <w:bookmarkStart w:id="165" w:name="_Ref468451937"/>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46</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5"/>
          </w:p>
        </w:tc>
      </w:tr>
      <w:tr w:rsidR="00FF5C5E" w:rsidRPr="005B09F6" w:rsidTr="00637C42">
        <w:trPr>
          <w:trHeight w:hRule="exact" w:val="567"/>
        </w:trPr>
        <w:tc>
          <w:tcPr>
            <w:tcW w:w="9209" w:type="dxa"/>
            <w:gridSpan w:val="2"/>
            <w:shd w:val="clear" w:color="auto" w:fill="FFFFFF" w:themeFill="background1"/>
          </w:tcPr>
          <w:p w:rsidR="00FF5C5E" w:rsidRPr="005B09F6" w:rsidRDefault="00CB65A3" w:rsidP="00637C42">
            <w:pPr>
              <w:spacing w:line="360" w:lineRule="auto"/>
              <w:rPr>
                <w:rFonts w:ascii="Calibri" w:eastAsia="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α,P,δ</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eastAsiaTheme="minorEastAsia"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α,P,δ</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F</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oMath>
            </m:oMathPara>
          </w:p>
        </w:tc>
        <w:tc>
          <w:tcPr>
            <w:tcW w:w="572" w:type="dxa"/>
            <w:shd w:val="clear" w:color="auto" w:fill="FFFFFF" w:themeFill="background1"/>
            <w:vAlign w:val="center"/>
          </w:tcPr>
          <w:p w:rsidR="00FF5C5E" w:rsidRPr="005B09F6" w:rsidRDefault="00FF5C5E" w:rsidP="00637C42">
            <w:pPr>
              <w:spacing w:line="360" w:lineRule="auto"/>
              <w:rPr>
                <w:rFonts w:ascii="Calibri" w:eastAsiaTheme="minorEastAsia" w:hAnsi="Calibri"/>
                <w:sz w:val="24"/>
                <w:szCs w:val="24"/>
              </w:rPr>
            </w:pPr>
            <w:bookmarkStart w:id="166" w:name="_Ref46871454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47</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6"/>
          </w:p>
        </w:tc>
      </w:tr>
      <w:tr w:rsidR="00FF5C5E" w:rsidRPr="005B09F6" w:rsidTr="00637C42">
        <w:trPr>
          <w:trHeight w:hRule="exact" w:val="567"/>
        </w:trPr>
        <w:tc>
          <w:tcPr>
            <w:tcW w:w="8926" w:type="dxa"/>
            <w:shd w:val="clear" w:color="auto" w:fill="FFFFFF" w:themeFill="background1"/>
          </w:tcPr>
          <w:p w:rsidR="00FF5C5E" w:rsidRPr="005B09F6" w:rsidRDefault="00CB65A3" w:rsidP="00637C42">
            <w:pPr>
              <w:spacing w:line="360" w:lineRule="auto"/>
              <w:rPr>
                <w:rFonts w:ascii="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α,P,  δ</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f>
                  <m:fPr>
                    <m:type m:val="lin"/>
                    <m:ctrlPr>
                      <w:rPr>
                        <w:rFonts w:ascii="Cambria Math" w:hAnsi="Cambria Math"/>
                        <w:i/>
                        <w:sz w:val="24"/>
                        <w:szCs w:val="24"/>
                      </w:rPr>
                    </m:ctrlPr>
                  </m:fPr>
                  <m:num>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α,P,  δ</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φ</m:t>
                            </m:r>
                          </m:e>
                          <m:sub>
                            <m:r>
                              <w:rPr>
                                <w:rFonts w:ascii="Cambria Math" w:eastAsiaTheme="minorEastAsia" w:hAnsi="Cambria Math"/>
                                <w:sz w:val="24"/>
                                <w:szCs w:val="24"/>
                              </w:rPr>
                              <m:t>i,t</m:t>
                            </m:r>
                          </m:sub>
                        </m:sSub>
                      </m:e>
                    </m:sPre>
                  </m:num>
                  <m:den>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F</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den>
                </m:f>
              </m:oMath>
            </m:oMathPara>
          </w:p>
        </w:tc>
        <w:tc>
          <w:tcPr>
            <w:tcW w:w="855"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color w:val="2E653E" w:themeColor="accent5" w:themeShade="BF"/>
                <w:sz w:val="24"/>
                <w:szCs w:val="24"/>
              </w:rPr>
            </w:pPr>
            <w:bookmarkStart w:id="167" w:name="_Ref468711555"/>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48</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7"/>
          </w:p>
        </w:tc>
      </w:tr>
      <w:tr w:rsidR="00FF5C5E" w:rsidRPr="005B09F6" w:rsidTr="00637C42">
        <w:trPr>
          <w:trHeight w:hRule="exact" w:val="567"/>
        </w:trPr>
        <w:tc>
          <w:tcPr>
            <w:tcW w:w="8926" w:type="dxa"/>
            <w:shd w:val="clear" w:color="auto" w:fill="FFFFFF" w:themeFill="background1"/>
          </w:tcPr>
          <w:p w:rsidR="00FF5C5E" w:rsidRPr="005B09F6" w:rsidRDefault="00CB65A3" w:rsidP="00637C42">
            <w:pPr>
              <w:spacing w:line="360" w:lineRule="auto"/>
              <w:rPr>
                <w:rFonts w:ascii="Calibri" w:eastAsia="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Atc, Atce, Atcp</m:t>
                    </m:r>
                  </m:sup>
                  <m:e>
                    <m:sSubSup>
                      <m:sSubSupPr>
                        <m:ctrlPr>
                          <w:rPr>
                            <w:rFonts w:ascii="Cambria Math" w:hAnsi="Cambria Math"/>
                            <w:i/>
                            <w:sz w:val="24"/>
                            <w:szCs w:val="24"/>
                          </w:rPr>
                        </m:ctrlPr>
                      </m:sSubSupPr>
                      <m:e>
                        <m:r>
                          <w:rPr>
                            <w:rFonts w:ascii="Cambria Math" w:hAnsi="Cambria Math"/>
                            <w:sz w:val="24"/>
                            <w:szCs w:val="24"/>
                          </w:rPr>
                          <m:t>v</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Atc, Atce, Atcp</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F</m:t>
                    </m:r>
                  </m:sup>
                  <m:e>
                    <m:sSubSup>
                      <m:sSubSupPr>
                        <m:ctrlPr>
                          <w:rPr>
                            <w:rFonts w:ascii="Cambria Math" w:hAnsi="Cambria Math"/>
                            <w:i/>
                            <w:sz w:val="24"/>
                            <w:szCs w:val="24"/>
                          </w:rPr>
                        </m:ctrlPr>
                      </m:sSubSupPr>
                      <m:e>
                        <m:r>
                          <w:rPr>
                            <w:rFonts w:ascii="Cambria Math" w:eastAsiaTheme="minorEastAsia" w:hAnsi="Cambria Math"/>
                            <w:sz w:val="24"/>
                            <w:szCs w:val="24"/>
                          </w:rPr>
                          <m:t>ω</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eastAsiaTheme="minorEastAsia" w:hAnsi="Cambria Math"/>
                        <w:sz w:val="24"/>
                        <w:szCs w:val="24"/>
                      </w:rPr>
                      <m:t>fm</m:t>
                    </m:r>
                  </m:e>
                  <m:sub>
                    <m:r>
                      <w:rPr>
                        <w:rFonts w:ascii="Cambria Math" w:hAnsi="Cambria Math"/>
                        <w:sz w:val="24"/>
                        <w:szCs w:val="24"/>
                      </w:rPr>
                      <m:t xml:space="preserve">i,t </m:t>
                    </m:r>
                  </m:sub>
                  <m:sup>
                    <m:r>
                      <w:rPr>
                        <w:rFonts w:ascii="Cambria Math" w:hAnsi="Cambria Math"/>
                        <w:sz w:val="24"/>
                        <w:szCs w:val="24"/>
                      </w:rPr>
                      <m:t>tc</m:t>
                    </m:r>
                  </m:sup>
                </m:sSubSup>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Ajuste</m:t>
                    </m:r>
                  </m:e>
                  <m:sub>
                    <m:r>
                      <w:rPr>
                        <w:rFonts w:ascii="Cambria Math" w:eastAsiaTheme="minorEastAsia" w:hAnsi="Cambria Math"/>
                        <w:sz w:val="24"/>
                        <w:szCs w:val="24"/>
                      </w:rPr>
                      <m:t>i,t</m:t>
                    </m:r>
                  </m:sub>
                </m:sSub>
                <m:r>
                  <w:rPr>
                    <w:rFonts w:ascii="Cambria Math" w:eastAsiaTheme="minorEastAsia" w:hAnsi="Cambria Math"/>
                    <w:sz w:val="24"/>
                    <w:szCs w:val="24"/>
                  </w:rPr>
                  <m:t>.</m:t>
                </m:r>
                <m:sPre>
                  <m:sPrePr>
                    <m:ctrlPr>
                      <w:rPr>
                        <w:rFonts w:ascii="Cambria Math" w:eastAsiaTheme="minorEastAsia" w:hAnsi="Cambria Math"/>
                        <w:i/>
                        <w:sz w:val="24"/>
                        <w:szCs w:val="24"/>
                      </w:rPr>
                    </m:ctrlPr>
                  </m:sPrePr>
                  <m:sub>
                    <m:r>
                      <w:rPr>
                        <w:rFonts w:ascii="Cambria Math" w:eastAsiaTheme="minorEastAsia" w:hAnsi="Cambria Math"/>
                        <w:sz w:val="24"/>
                        <w:szCs w:val="24"/>
                      </w:rPr>
                      <m:t>Ua</m:t>
                    </m:r>
                  </m:sub>
                  <m:sup>
                    <m:r>
                      <w:rPr>
                        <w:rFonts w:ascii="Cambria Math" w:hAnsi="Cambria Math"/>
                        <w:sz w:val="24"/>
                        <w:szCs w:val="24"/>
                      </w:rPr>
                      <m:t>hist</m:t>
                    </m:r>
                  </m:sup>
                  <m:e>
                    <m:sSub>
                      <m:sSubPr>
                        <m:ctrlPr>
                          <w:rPr>
                            <w:rFonts w:ascii="Cambria Math" w:eastAsiaTheme="minorEastAsia" w:hAnsi="Cambria Math"/>
                            <w:i/>
                            <w:sz w:val="24"/>
                            <w:szCs w:val="24"/>
                          </w:rPr>
                        </m:ctrlPr>
                      </m:sSubPr>
                      <m:e>
                        <m:r>
                          <w:rPr>
                            <w:rFonts w:ascii="Cambria Math" w:eastAsiaTheme="minorEastAsia" w:hAnsi="Cambria Math"/>
                            <w:sz w:val="24"/>
                            <w:szCs w:val="24"/>
                          </w:rPr>
                          <m:t>ω</m:t>
                        </m:r>
                      </m:e>
                      <m:sub>
                        <m:r>
                          <w:rPr>
                            <w:rFonts w:ascii="Cambria Math" w:eastAsiaTheme="minorEastAsia" w:hAnsi="Cambria Math"/>
                            <w:sz w:val="24"/>
                            <w:szCs w:val="24"/>
                          </w:rPr>
                          <m:t>i,t</m:t>
                        </m:r>
                      </m:sub>
                    </m:sSub>
                  </m:e>
                </m:sPre>
              </m:oMath>
            </m:oMathPara>
          </w:p>
        </w:tc>
        <w:tc>
          <w:tcPr>
            <w:tcW w:w="855"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bookmarkStart w:id="168" w:name="_Ref468715529"/>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49</w:t>
            </w:r>
            <w:r w:rsidRPr="005B09F6">
              <w:rPr>
                <w:rFonts w:ascii="Calibri" w:eastAsiaTheme="minorEastAsia" w:hAnsi="Calibri"/>
                <w:sz w:val="24"/>
                <w:szCs w:val="24"/>
              </w:rPr>
              <w:fldChar w:fldCharType="end"/>
            </w:r>
            <w:r w:rsidRPr="005B09F6">
              <w:rPr>
                <w:rFonts w:ascii="Calibri" w:eastAsiaTheme="minorEastAsia" w:hAnsi="Calibri"/>
                <w:sz w:val="24"/>
                <w:szCs w:val="24"/>
              </w:rPr>
              <w:t>)</w:t>
            </w:r>
            <w:bookmarkEnd w:id="168"/>
          </w:p>
        </w:tc>
      </w:tr>
      <w:tr w:rsidR="00FF5C5E" w:rsidRPr="005B09F6" w:rsidTr="00637C42">
        <w:trPr>
          <w:trHeight w:hRule="exact" w:val="567"/>
        </w:trPr>
        <w:tc>
          <w:tcPr>
            <w:tcW w:w="8926" w:type="dxa"/>
            <w:shd w:val="clear" w:color="auto" w:fill="FFFFFF" w:themeFill="background1"/>
          </w:tcPr>
          <w:p w:rsidR="00FF5C5E" w:rsidRPr="005B09F6" w:rsidRDefault="00CB65A3" w:rsidP="00637C42">
            <w:pPr>
              <w:spacing w:line="360" w:lineRule="auto"/>
              <w:rPr>
                <w:rFonts w:ascii="Calibri" w:eastAsia="Calibri" w:hAnsi="Calibri"/>
                <w:sz w:val="24"/>
                <w:szCs w:val="24"/>
              </w:rPr>
            </w:pPr>
            <m:oMathPara>
              <m:oMath>
                <m:sPre>
                  <m:sPrePr>
                    <m:ctrlPr>
                      <w:rPr>
                        <w:rFonts w:ascii="Cambria Math" w:hAnsi="Cambria Math"/>
                        <w:i/>
                        <w:sz w:val="24"/>
                        <w:szCs w:val="24"/>
                      </w:rPr>
                    </m:ctrlPr>
                  </m:sPrePr>
                  <m:sub>
                    <m:r>
                      <w:rPr>
                        <w:rFonts w:ascii="Cambria Math" w:hAnsi="Cambria Math"/>
                        <w:sz w:val="24"/>
                        <w:szCs w:val="24"/>
                      </w:rPr>
                      <m:t>Ua</m:t>
                    </m:r>
                  </m:sub>
                  <m:sup>
                    <m:r>
                      <w:rPr>
                        <w:rFonts w:ascii="Cambria Math" w:hAnsi="Cambria Math"/>
                        <w:sz w:val="24"/>
                        <w:szCs w:val="24"/>
                      </w:rPr>
                      <m:t>Atc, Atce, Atcp</m:t>
                    </m:r>
                  </m:sup>
                  <m:e>
                    <m:sSubSup>
                      <m:sSubSupPr>
                        <m:ctrlPr>
                          <w:rPr>
                            <w:rFonts w:ascii="Cambria Math" w:hAnsi="Cambria Math"/>
                            <w:i/>
                            <w:sz w:val="24"/>
                            <w:szCs w:val="24"/>
                          </w:rPr>
                        </m:ctrlPr>
                      </m:sSubSupPr>
                      <m:e>
                        <m:r>
                          <w:rPr>
                            <w:rFonts w:ascii="Cambria Math" w:hAnsi="Cambria Math"/>
                            <w:sz w:val="24"/>
                            <w:szCs w:val="24"/>
                          </w:rPr>
                          <m:t>θ</m:t>
                        </m:r>
                      </m:e>
                      <m:sub>
                        <m:r>
                          <w:rPr>
                            <w:rFonts w:ascii="Cambria Math" w:hAnsi="Cambria Math"/>
                            <w:sz w:val="24"/>
                            <w:szCs w:val="24"/>
                          </w:rPr>
                          <m:t xml:space="preserve">i,t </m:t>
                        </m:r>
                      </m:sub>
                      <m:sup>
                        <m:r>
                          <w:rPr>
                            <w:rFonts w:ascii="Cambria Math" w:hAnsi="Cambria Math"/>
                            <w:sz w:val="24"/>
                            <w:szCs w:val="24"/>
                          </w:rPr>
                          <m:t>s</m:t>
                        </m:r>
                      </m:sup>
                    </m:sSubSup>
                  </m:e>
                </m:sPre>
                <m:r>
                  <w:rPr>
                    <w:rFonts w:ascii="Cambria Math" w:hAnsi="Cambria Math"/>
                    <w:sz w:val="24"/>
                    <w:szCs w:val="24"/>
                  </w:rPr>
                  <m:t>=</m:t>
                </m:r>
                <m:sSubSup>
                  <m:sSubSupPr>
                    <m:ctrlPr>
                      <w:rPr>
                        <w:rFonts w:ascii="Cambria Math" w:hAnsi="Cambria Math"/>
                        <w:i/>
                        <w:sz w:val="24"/>
                        <w:szCs w:val="24"/>
                      </w:rPr>
                    </m:ctrlPr>
                  </m:sSubSupPr>
                  <m:e>
                    <m:r>
                      <w:rPr>
                        <w:rFonts w:ascii="Cambria Math" w:eastAsiaTheme="minorEastAsia" w:hAnsi="Cambria Math"/>
                        <w:sz w:val="24"/>
                        <w:szCs w:val="24"/>
                      </w:rPr>
                      <m:t>fm</m:t>
                    </m:r>
                  </m:e>
                  <m:sub>
                    <m:r>
                      <w:rPr>
                        <w:rFonts w:ascii="Cambria Math" w:hAnsi="Cambria Math"/>
                        <w:sz w:val="24"/>
                        <w:szCs w:val="24"/>
                      </w:rPr>
                      <m:t xml:space="preserve">i,t </m:t>
                    </m:r>
                  </m:sub>
                  <m:sup>
                    <m:r>
                      <w:rPr>
                        <w:rFonts w:ascii="Cambria Math" w:hAnsi="Cambria Math"/>
                        <w:sz w:val="24"/>
                        <w:szCs w:val="24"/>
                      </w:rPr>
                      <m:t>tc</m:t>
                    </m:r>
                  </m:sup>
                </m:sSubSup>
                <m:r>
                  <w:rPr>
                    <w:rFonts w:ascii="Cambria Math" w:eastAsiaTheme="minorEastAsia" w:hAnsi="Cambria Math"/>
                    <w:sz w:val="24"/>
                    <w:szCs w:val="24"/>
                  </w:rPr>
                  <m:t>.</m:t>
                </m:r>
                <m:sSub>
                  <m:sSubPr>
                    <m:ctrlPr>
                      <w:rPr>
                        <w:rFonts w:ascii="Cambria Math" w:eastAsiaTheme="minorEastAsia" w:hAnsi="Cambria Math"/>
                        <w:i/>
                        <w:sz w:val="24"/>
                        <w:szCs w:val="24"/>
                      </w:rPr>
                    </m:ctrlPr>
                  </m:sSubPr>
                  <m:e>
                    <m:r>
                      <w:rPr>
                        <w:rFonts w:ascii="Cambria Math" w:eastAsiaTheme="minorEastAsia" w:hAnsi="Cambria Math"/>
                        <w:sz w:val="24"/>
                        <w:szCs w:val="24"/>
                      </w:rPr>
                      <m:t>Ajuste</m:t>
                    </m:r>
                  </m:e>
                  <m:sub>
                    <m:r>
                      <w:rPr>
                        <w:rFonts w:ascii="Cambria Math" w:eastAsiaTheme="minorEastAsia" w:hAnsi="Cambria Math"/>
                        <w:sz w:val="24"/>
                        <w:szCs w:val="24"/>
                      </w:rPr>
                      <m:t>i,t</m:t>
                    </m:r>
                  </m:sub>
                </m:sSub>
              </m:oMath>
            </m:oMathPara>
          </w:p>
        </w:tc>
        <w:tc>
          <w:tcPr>
            <w:tcW w:w="855" w:type="dxa"/>
            <w:gridSpan w:val="2"/>
            <w:shd w:val="clear" w:color="auto" w:fill="FFFFFF" w:themeFill="background1"/>
            <w:vAlign w:val="center"/>
          </w:tcPr>
          <w:p w:rsidR="00FF5C5E" w:rsidRPr="005B09F6" w:rsidRDefault="00FF5C5E" w:rsidP="00637C42">
            <w:pPr>
              <w:spacing w:line="360" w:lineRule="auto"/>
              <w:jc w:val="right"/>
              <w:rPr>
                <w:rFonts w:ascii="Calibri" w:eastAsiaTheme="minorEastAsia" w:hAnsi="Calibri"/>
                <w:sz w:val="24"/>
                <w:szCs w:val="24"/>
              </w:rPr>
            </w:pPr>
            <w:r w:rsidRPr="005B09F6">
              <w:rPr>
                <w:rFonts w:ascii="Calibri" w:eastAsiaTheme="minorEastAsia" w:hAnsi="Calibri"/>
                <w:sz w:val="24"/>
                <w:szCs w:val="24"/>
              </w:rPr>
              <w:t>(</w:t>
            </w:r>
            <w:r w:rsidRPr="005B09F6">
              <w:rPr>
                <w:rFonts w:ascii="Calibri" w:eastAsiaTheme="minorEastAsia" w:hAnsi="Calibri"/>
                <w:sz w:val="24"/>
                <w:szCs w:val="24"/>
              </w:rPr>
              <w:fldChar w:fldCharType="begin"/>
            </w:r>
            <w:r w:rsidRPr="005B09F6">
              <w:rPr>
                <w:rFonts w:ascii="Calibri" w:eastAsiaTheme="minorEastAsia" w:hAnsi="Calibri"/>
                <w:sz w:val="24"/>
                <w:szCs w:val="24"/>
              </w:rPr>
              <w:instrText xml:space="preserve"> SEQ Equação \* ARABIC </w:instrText>
            </w:r>
            <w:r w:rsidRPr="005B09F6">
              <w:rPr>
                <w:rFonts w:ascii="Calibri" w:eastAsiaTheme="minorEastAsia" w:hAnsi="Calibri"/>
                <w:sz w:val="24"/>
                <w:szCs w:val="24"/>
              </w:rPr>
              <w:fldChar w:fldCharType="separate"/>
            </w:r>
            <w:r w:rsidR="008D1275" w:rsidRPr="005B09F6">
              <w:rPr>
                <w:rFonts w:ascii="Calibri" w:eastAsiaTheme="minorEastAsia" w:hAnsi="Calibri"/>
                <w:noProof/>
                <w:sz w:val="24"/>
                <w:szCs w:val="24"/>
              </w:rPr>
              <w:t>50</w:t>
            </w:r>
            <w:r w:rsidRPr="005B09F6">
              <w:rPr>
                <w:rFonts w:ascii="Calibri" w:eastAsiaTheme="minorEastAsia" w:hAnsi="Calibri"/>
                <w:sz w:val="24"/>
                <w:szCs w:val="24"/>
              </w:rPr>
              <w:fldChar w:fldCharType="end"/>
            </w:r>
            <w:r w:rsidRPr="005B09F6">
              <w:rPr>
                <w:rFonts w:ascii="Calibri" w:eastAsiaTheme="minorEastAsia" w:hAnsi="Calibri"/>
                <w:sz w:val="24"/>
                <w:szCs w:val="24"/>
              </w:rPr>
              <w:t>)</w:t>
            </w:r>
          </w:p>
        </w:tc>
      </w:tr>
    </w:tbl>
    <w:p w:rsidR="00FF5C5E" w:rsidRPr="005B09F6" w:rsidRDefault="00FF5C5E" w:rsidP="00FF5C5E">
      <w:pPr>
        <w:spacing w:line="360" w:lineRule="auto"/>
        <w:rPr>
          <w:rFonts w:ascii="Calibri" w:hAnsi="Calibri"/>
          <w:b/>
          <w:color w:val="264356" w:themeColor="text2" w:themeShade="BF"/>
          <w:sz w:val="24"/>
          <w:szCs w:val="24"/>
        </w:rPr>
      </w:pPr>
    </w:p>
    <w:p w:rsidR="00FF5C5E" w:rsidRPr="005B09F6" w:rsidRDefault="00FF5C5E" w:rsidP="00FF5C5E">
      <w:pPr>
        <w:rPr>
          <w:rFonts w:ascii="Calibri" w:hAnsi="Calibri"/>
          <w:b/>
          <w:color w:val="1F4429" w:themeColor="accent5" w:themeShade="80"/>
          <w:sz w:val="24"/>
          <w:szCs w:val="24"/>
        </w:rPr>
      </w:pPr>
    </w:p>
    <w:p w:rsidR="00FF5C5E" w:rsidRPr="005B09F6" w:rsidRDefault="00FF5C5E" w:rsidP="00FF5C5E">
      <w:pPr>
        <w:pStyle w:val="TtuloPrincipal"/>
        <w:spacing w:after="0" w:line="360" w:lineRule="auto"/>
        <w:rPr>
          <w:rFonts w:ascii="Calibri" w:hAnsi="Calibri"/>
          <w:color w:val="1C6194" w:themeColor="accent2" w:themeShade="BF"/>
          <w:sz w:val="24"/>
          <w:szCs w:val="24"/>
        </w:rPr>
      </w:pPr>
      <w:r w:rsidRPr="005B09F6">
        <w:rPr>
          <w:rFonts w:ascii="Calibri" w:hAnsi="Calibri"/>
          <w:color w:val="1C6194" w:themeColor="accent2" w:themeShade="BF"/>
          <w:sz w:val="24"/>
          <w:szCs w:val="24"/>
        </w:rPr>
        <w:t>Calibragem e Atualização das Projeções</w:t>
      </w:r>
    </w:p>
    <w:p w:rsidR="00FF5C5E" w:rsidRPr="005B09F6" w:rsidRDefault="00FF5C5E" w:rsidP="00FF5C5E">
      <w:pPr>
        <w:rPr>
          <w:rFonts w:ascii="Calibri" w:eastAsiaTheme="minorEastAsia" w:hAnsi="Calibri"/>
          <w:sz w:val="24"/>
          <w:szCs w:val="24"/>
        </w:rPr>
      </w:pPr>
    </w:p>
    <w:p w:rsidR="00FF5C5E" w:rsidRPr="005B09F6" w:rsidRDefault="00FF5C5E" w:rsidP="00FF5C5E">
      <w:pPr>
        <w:spacing w:line="360" w:lineRule="auto"/>
        <w:jc w:val="both"/>
        <w:rPr>
          <w:rFonts w:ascii="Calibri" w:hAnsi="Calibri"/>
          <w:kern w:val="20"/>
          <w:sz w:val="24"/>
          <w:szCs w:val="24"/>
        </w:rPr>
      </w:pPr>
      <w:r w:rsidRPr="005B09F6">
        <w:rPr>
          <w:rFonts w:ascii="Calibri" w:hAnsi="Calibri"/>
          <w:kern w:val="20"/>
          <w:sz w:val="24"/>
          <w:szCs w:val="24"/>
        </w:rPr>
        <w:t xml:space="preserve">O procedimento metodológico usualmente implementado na atualização do modelo é a calibragem, por meio da qual são realizados testes comparativos entre as projeções do modelo e os dados realizados de benefícios, e, a partir disso, são realizados ajustes finos em alguns parâmetros do modelo com o intuito de reduzir os erros de previsão. Ademais, as projeções são atualizadas à medida em que são disponibilizadas novas informações mais recentes sobre benefícios, novas projeções de parâmetros macroeconômicos e alterações da legislação previdenciária em vigor. </w:t>
      </w:r>
    </w:p>
    <w:p w:rsidR="00861CCF" w:rsidRPr="005B09F6" w:rsidRDefault="00861CCF">
      <w:pPr>
        <w:rPr>
          <w:rFonts w:ascii="Calibri" w:eastAsiaTheme="minorEastAsia" w:hAnsi="Calibri"/>
          <w:sz w:val="24"/>
          <w:szCs w:val="24"/>
        </w:rPr>
      </w:pPr>
      <w:r w:rsidRPr="005B09F6">
        <w:rPr>
          <w:rFonts w:ascii="Calibri" w:eastAsiaTheme="minorEastAsia" w:hAnsi="Calibri"/>
          <w:sz w:val="24"/>
          <w:szCs w:val="24"/>
        </w:rPr>
        <w:br w:type="page"/>
      </w:r>
    </w:p>
    <w:p w:rsidR="00FF5C5E" w:rsidRPr="005B09F6" w:rsidRDefault="00084FE1" w:rsidP="0079121C">
      <w:pPr>
        <w:pStyle w:val="Ttulo2"/>
        <w:rPr>
          <w:rFonts w:ascii="Calibri" w:hAnsi="Calibri"/>
          <w:sz w:val="24"/>
          <w:szCs w:val="24"/>
        </w:rPr>
      </w:pPr>
      <w:bookmarkStart w:id="169" w:name="_Toc479081352"/>
      <w:r w:rsidRPr="005B09F6">
        <w:rPr>
          <w:rFonts w:ascii="Calibri" w:hAnsi="Calibri"/>
          <w:sz w:val="24"/>
          <w:szCs w:val="24"/>
        </w:rPr>
        <w:t>4</w:t>
      </w:r>
      <w:r w:rsidR="00725C0D" w:rsidRPr="005B09F6">
        <w:rPr>
          <w:rFonts w:ascii="Calibri" w:hAnsi="Calibri"/>
          <w:sz w:val="24"/>
          <w:szCs w:val="24"/>
        </w:rPr>
        <w:t>.6</w:t>
      </w:r>
      <w:r w:rsidR="008D7859" w:rsidRPr="005B09F6">
        <w:rPr>
          <w:rFonts w:ascii="Calibri" w:hAnsi="Calibri"/>
          <w:sz w:val="24"/>
          <w:szCs w:val="24"/>
        </w:rPr>
        <w:tab/>
      </w:r>
      <w:r w:rsidR="00CA0F20" w:rsidRPr="005B09F6">
        <w:rPr>
          <w:rFonts w:ascii="Calibri" w:hAnsi="Calibri"/>
          <w:sz w:val="24"/>
          <w:szCs w:val="24"/>
        </w:rPr>
        <w:t>Dados Primários e Hipóteses de Projeção para o Cenário Base</w:t>
      </w:r>
      <w:bookmarkEnd w:id="169"/>
    </w:p>
    <w:tbl>
      <w:tblPr>
        <w:tblStyle w:val="TabeladeGrade4-nfase2"/>
        <w:tblW w:w="9776" w:type="dxa"/>
        <w:shd w:val="clear" w:color="auto" w:fill="FFFFFF" w:themeFill="background1"/>
        <w:tblLook w:val="04A0" w:firstRow="1" w:lastRow="0" w:firstColumn="1" w:lastColumn="0" w:noHBand="0" w:noVBand="1"/>
      </w:tblPr>
      <w:tblGrid>
        <w:gridCol w:w="2122"/>
        <w:gridCol w:w="7654"/>
      </w:tblGrid>
      <w:tr w:rsidR="00FF5C5E" w:rsidRPr="005B09F6" w:rsidTr="00637C42">
        <w:trPr>
          <w:cnfStyle w:val="100000000000" w:firstRow="1" w:lastRow="0" w:firstColumn="0" w:lastColumn="0" w:oddVBand="0" w:evenVBand="0" w:oddHBand="0" w:evenHBand="0" w:firstRowFirstColumn="0" w:firstRowLastColumn="0" w:lastRowFirstColumn="0" w:lastRowLastColumn="0"/>
          <w:trHeight w:hRule="exact" w:val="1027"/>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FF5C5E" w:rsidP="00637C42">
            <w:pPr>
              <w:jc w:val="center"/>
              <w:rPr>
                <w:rFonts w:ascii="Calibri" w:hAnsi="Calibri"/>
                <w:i/>
                <w:color w:val="auto"/>
                <w:kern w:val="20"/>
                <w:sz w:val="24"/>
                <w:szCs w:val="24"/>
              </w:rPr>
            </w:pPr>
            <w:proofErr w:type="spellStart"/>
            <w:r w:rsidRPr="005B09F6">
              <w:rPr>
                <w:rFonts w:ascii="Calibri" w:hAnsi="Calibri"/>
                <w:i/>
                <w:color w:val="auto"/>
                <w:kern w:val="20"/>
                <w:sz w:val="24"/>
                <w:szCs w:val="24"/>
              </w:rPr>
              <w:t>Parâmetros</w:t>
            </w:r>
            <w:proofErr w:type="spellEnd"/>
          </w:p>
        </w:tc>
        <w:tc>
          <w:tcPr>
            <w:tcW w:w="7654" w:type="dxa"/>
            <w:shd w:val="clear" w:color="auto" w:fill="FFFFFF" w:themeFill="background1"/>
            <w:vAlign w:val="center"/>
          </w:tcPr>
          <w:p w:rsidR="00FF5C5E" w:rsidRPr="005B09F6" w:rsidRDefault="00FF5C5E" w:rsidP="00637C42">
            <w:pPr>
              <w:jc w:val="center"/>
              <w:cnfStyle w:val="100000000000" w:firstRow="1" w:lastRow="0" w:firstColumn="0" w:lastColumn="0" w:oddVBand="0" w:evenVBand="0" w:oddHBand="0" w:evenHBand="0" w:firstRowFirstColumn="0" w:firstRowLastColumn="0" w:lastRowFirstColumn="0" w:lastRowLastColumn="0"/>
              <w:rPr>
                <w:rFonts w:ascii="Calibri" w:hAnsi="Calibri"/>
                <w:color w:val="auto"/>
                <w:kern w:val="20"/>
                <w:sz w:val="24"/>
                <w:szCs w:val="24"/>
                <w:lang w:val="pt-BR"/>
              </w:rPr>
            </w:pPr>
            <w:r w:rsidRPr="005B09F6">
              <w:rPr>
                <w:rFonts w:ascii="Calibri" w:hAnsi="Calibri"/>
                <w:i/>
                <w:color w:val="auto"/>
                <w:kern w:val="20"/>
                <w:sz w:val="24"/>
                <w:szCs w:val="24"/>
                <w:lang w:val="pt-BR"/>
              </w:rPr>
              <w:t>Dados Primários/ Fonte de Informação</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136"/>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Sup>
                  <m:sSubSupPr>
                    <m:ctrlPr>
                      <w:rPr>
                        <w:rFonts w:ascii="Cambria Math" w:hAnsi="Cambria Math"/>
                        <w:b w:val="0"/>
                        <w:i/>
                        <w:sz w:val="24"/>
                        <w:szCs w:val="24"/>
                      </w:rPr>
                    </m:ctrlPr>
                  </m:sSubSupPr>
                  <m:e>
                    <m:r>
                      <m:rPr>
                        <m:sty m:val="bi"/>
                      </m:rPr>
                      <w:rPr>
                        <w:rFonts w:ascii="Cambria Math" w:hAnsi="Cambria Math"/>
                        <w:sz w:val="24"/>
                        <w:szCs w:val="24"/>
                      </w:rPr>
                      <m:t>P</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oMath>
            </m:oMathPara>
          </w:p>
        </w:tc>
        <w:tc>
          <w:tcPr>
            <w:tcW w:w="7654"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Informações demográficas extraídas das projeções de matrizes populacionais do IBGE para o período de 2000 a 2060.</w:t>
            </w:r>
            <w:r w:rsidRPr="005B09F6">
              <w:rPr>
                <w:rStyle w:val="Refdenotaderodap"/>
                <w:rFonts w:ascii="Calibri" w:eastAsiaTheme="minorEastAsia" w:hAnsi="Calibri"/>
                <w:sz w:val="24"/>
                <w:szCs w:val="24"/>
              </w:rPr>
              <w:footnoteReference w:id="26"/>
            </w:r>
          </w:p>
        </w:tc>
      </w:tr>
      <w:tr w:rsidR="00FF5C5E" w:rsidRPr="005B09F6" w:rsidTr="00637C42">
        <w:trPr>
          <w:trHeight w:hRule="exact" w:val="1741"/>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m:t>
                    </m:r>
                  </m:sub>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-2014: extraídas a partir da decomposição da população entre Urbana e Rural conforme metodologia adotada em Nota Técnica conjunta entre IPEA e MTPS (considera–se a população rural não pelo local de moradia, mas por critérios de ocupação em atividades agrícolas. Por inferência, todos que não estão nas ocupações agrícolas são considerados parte da população urbana)</w:t>
            </w:r>
          </w:p>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233"/>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Part</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 xml:space="preserve">-2014: taxas de participação no mercado de trabalho calculadas pela relação da população economicamente ativa (PEA) sobre a população; </w:t>
            </w:r>
          </w:p>
        </w:tc>
      </w:tr>
      <w:tr w:rsidR="00FF5C5E" w:rsidRPr="005B09F6" w:rsidTr="00637C42">
        <w:trPr>
          <w:trHeight w:hRule="exact" w:val="1123"/>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 xml:space="preserve">-2014: taxas de ocupação dos trabalhadores calculadas pela relação da população ocupada sobre a PEA;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139"/>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m:t>
                    </m:r>
                  </m:sub>
                  <m:sup>
                    <m:r>
                      <m:rPr>
                        <m:sty m:val="bi"/>
                      </m:rPr>
                      <w:rPr>
                        <w:rFonts w:ascii="Cambria Math" w:hAnsi="Cambria Math"/>
                        <w:sz w:val="24"/>
                        <w:szCs w:val="24"/>
                      </w:rPr>
                      <m:t>Csm, Ca</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 xml:space="preserve">-2014: taxas de cobertura contributiva por SM e acima do SM calculadas pela relação da população de contribuintes para o sistema previdenciário sobre a população ocupada; </w:t>
            </w:r>
          </w:p>
        </w:tc>
      </w:tr>
      <w:tr w:rsidR="00FF5C5E" w:rsidRPr="005B09F6" w:rsidTr="00637C42">
        <w:trPr>
          <w:trHeight w:hRule="exact" w:val="1141"/>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R</m:t>
                    </m:r>
                  </m:sub>
                  <m:sup>
                    <m:r>
                      <m:rPr>
                        <m:sty m:val="bi"/>
                      </m:rPr>
                      <w:rPr>
                        <w:rFonts w:ascii="Cambria Math" w:hAnsi="Cambria Math"/>
                        <w:sz w:val="24"/>
                        <w:szCs w:val="24"/>
                      </w:rPr>
                      <m:t>C, Se,Sp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 xml:space="preserve">-2014: calculadas pela relação entre os subconjuntos da população rural sobre a PEA rural;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988"/>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 xml:space="preserve">Ocup </m:t>
                    </m:r>
                  </m:sup>
                  <m:e>
                    <m:sSubSup>
                      <m:sSubSupPr>
                        <m:ctrlPr>
                          <w:rPr>
                            <w:rFonts w:ascii="Cambria Math" w:hAnsi="Cambria Math"/>
                            <w:b w:val="0"/>
                            <w:i/>
                            <w:sz w:val="24"/>
                            <w:szCs w:val="24"/>
                          </w:rPr>
                        </m:ctrlPr>
                      </m:sSubSupPr>
                      <m:e>
                        <m:r>
                          <m:rPr>
                            <m:sty m:val="bi"/>
                          </m:rPr>
                          <w:rPr>
                            <w:rFonts w:ascii="Cambria Math" w:hAnsi="Cambria Math"/>
                            <w:sz w:val="24"/>
                            <w:szCs w:val="24"/>
                          </w:rPr>
                          <m:t>ω</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 xml:space="preserve">-2014: rendimentos médios da população ocupada urbana e rural; </w:t>
            </w:r>
          </w:p>
        </w:tc>
      </w:tr>
      <w:tr w:rsidR="00FF5C5E" w:rsidRPr="005B09F6" w:rsidTr="00637C42">
        <w:trPr>
          <w:trHeight w:hRule="exact" w:val="870"/>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
                  <m:sSubPr>
                    <m:ctrlPr>
                      <w:rPr>
                        <w:rFonts w:ascii="Cambria Math" w:hAnsi="Cambria Math"/>
                        <w:b w:val="0"/>
                        <w:i/>
                        <w:sz w:val="24"/>
                        <w:szCs w:val="24"/>
                      </w:rPr>
                    </m:ctrlPr>
                  </m:sSubPr>
                  <m:e>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e>
                  <m:sub>
                    <m:r>
                      <m:rPr>
                        <m:sty m:val="bi"/>
                      </m:rPr>
                      <w:rPr>
                        <w:rFonts w:ascii="Cambria Math" w:hAnsi="Cambria Math"/>
                        <w:sz w:val="24"/>
                        <w:szCs w:val="24"/>
                      </w:rPr>
                      <m:t>t</m:t>
                    </m:r>
                  </m:sub>
                </m:sSub>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t=2010, …, 2014</m:t>
                </m:r>
              </m:oMath>
            </m:oMathPara>
          </w:p>
        </w:tc>
        <w:tc>
          <w:tcPr>
            <w:tcW w:w="7654"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i/>
                <w:sz w:val="24"/>
                <w:szCs w:val="24"/>
                <w:lang w:val="pt-BR"/>
              </w:rPr>
              <w:t xml:space="preserve">SM </w:t>
            </w:r>
            <w:r w:rsidRPr="005B09F6">
              <w:rPr>
                <w:rFonts w:ascii="Calibri" w:eastAsiaTheme="minorEastAsia" w:hAnsi="Calibri"/>
                <w:sz w:val="24"/>
                <w:szCs w:val="24"/>
                <w:lang w:val="pt-BR"/>
              </w:rPr>
              <w:t>válido em cada ano;</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254"/>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Ua</m:t>
                    </m:r>
                  </m:sub>
                  <m:sup>
                    <m:r>
                      <m:rPr>
                        <m:sty m:val="bi"/>
                      </m:rPr>
                      <w:rPr>
                        <w:rFonts w:ascii="Cambria Math" w:hAnsi="Cambria Math"/>
                        <w:sz w:val="24"/>
                        <w:szCs w:val="24"/>
                      </w:rPr>
                      <m:t xml:space="preserve"> </m:t>
                    </m:r>
                  </m:sup>
                  <m:e>
                    <m:sSubSup>
                      <m:sSubSupPr>
                        <m:ctrlPr>
                          <w:rPr>
                            <w:rFonts w:ascii="Cambria Math" w:hAnsi="Cambria Math"/>
                            <w:b w:val="0"/>
                            <w:i/>
                            <w:sz w:val="24"/>
                            <w:szCs w:val="24"/>
                          </w:rPr>
                        </m:ctrlPr>
                      </m:sSubSupPr>
                      <m:e>
                        <m:r>
                          <m:rPr>
                            <m:sty m:val="bi"/>
                          </m:rPr>
                          <w:rPr>
                            <w:rFonts w:ascii="Cambria Math" w:hAnsi="Cambria Math"/>
                            <w:sz w:val="24"/>
                            <w:szCs w:val="24"/>
                          </w:rPr>
                          <m:t>ω</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C75A66">
            <w:pPr>
              <w:jc w:val="both"/>
              <w:rPr>
                <w:rFonts w:ascii="Calibri" w:eastAsiaTheme="minorEastAsia" w:hAnsi="Calibri"/>
                <w:b w:val="0"/>
                <w:sz w:val="24"/>
                <w:szCs w:val="24"/>
              </w:rPr>
            </w:pPr>
            <m:oMathPara>
              <m:oMath>
                <m:r>
                  <m:rPr>
                    <m:sty m:val="bi"/>
                  </m:rPr>
                  <w:rPr>
                    <w:rFonts w:ascii="Cambria Math" w:hAnsi="Cambria Math"/>
                    <w:sz w:val="24"/>
                    <w:szCs w:val="24"/>
                  </w:rPr>
                  <m:t>t=2011, …, 2014</m:t>
                </m:r>
              </m:oMath>
            </m:oMathPara>
          </w:p>
        </w:tc>
        <w:tc>
          <w:tcPr>
            <w:tcW w:w="7654" w:type="dxa"/>
            <w:shd w:val="clear" w:color="auto" w:fill="FFFFFF" w:themeFill="background1"/>
            <w:vAlign w:val="center"/>
          </w:tcPr>
          <w:p w:rsidR="00FF5C5E" w:rsidRPr="005B09F6" w:rsidRDefault="00FF5C5E" w:rsidP="00C75A66">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Pnad/</w:t>
            </w:r>
            <w:r w:rsidR="005871D8" w:rsidRPr="005B09F6">
              <w:rPr>
                <w:rFonts w:ascii="Calibri" w:eastAsiaTheme="minorEastAsia" w:hAnsi="Calibri"/>
                <w:sz w:val="24"/>
                <w:szCs w:val="24"/>
                <w:lang w:val="pt-BR"/>
              </w:rPr>
              <w:t>IBGE</w:t>
            </w:r>
            <w:r w:rsidRPr="005B09F6">
              <w:rPr>
                <w:rFonts w:ascii="Calibri" w:eastAsiaTheme="minorEastAsia" w:hAnsi="Calibri"/>
                <w:sz w:val="24"/>
                <w:szCs w:val="24"/>
                <w:lang w:val="pt-BR"/>
              </w:rPr>
              <w:t xml:space="preserve"> 201</w:t>
            </w:r>
            <w:r w:rsidR="00C75A66" w:rsidRPr="005B09F6">
              <w:rPr>
                <w:rFonts w:ascii="Calibri" w:eastAsiaTheme="minorEastAsia" w:hAnsi="Calibri"/>
                <w:sz w:val="24"/>
                <w:szCs w:val="24"/>
                <w:lang w:val="pt-BR"/>
              </w:rPr>
              <w:t>1</w:t>
            </w:r>
            <w:r w:rsidRPr="005B09F6">
              <w:rPr>
                <w:rFonts w:ascii="Calibri" w:eastAsiaTheme="minorEastAsia" w:hAnsi="Calibri"/>
                <w:sz w:val="24"/>
                <w:szCs w:val="24"/>
                <w:lang w:val="pt-BR"/>
              </w:rPr>
              <w:t>-2014: rendimentos médios dos contribuintes que recebem acima do salário mínimo</w:t>
            </w:r>
          </w:p>
        </w:tc>
      </w:tr>
      <w:tr w:rsidR="00FF5C5E" w:rsidRPr="005B09F6" w:rsidTr="00637C42">
        <w:trPr>
          <w:trHeight w:hRule="exact" w:val="1154"/>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c</m:t>
                    </m:r>
                  </m:sub>
                  <m:sup>
                    <m:r>
                      <m:rPr>
                        <m:sty m:val="bi"/>
                      </m:rPr>
                      <w:rPr>
                        <w:rFonts w:ascii="Cambria Math" w:hAnsi="Cambria Math"/>
                        <w:sz w:val="24"/>
                        <w:szCs w:val="24"/>
                      </w:rPr>
                      <m:t>α, δ,Pe,L</m:t>
                    </m:r>
                  </m:sup>
                  <m:e>
                    <m:sSubSup>
                      <m:sSubSupPr>
                        <m:ctrlPr>
                          <w:rPr>
                            <w:rFonts w:ascii="Cambria Math" w:hAnsi="Cambria Math"/>
                            <w:b w:val="0"/>
                            <w:i/>
                            <w:sz w:val="24"/>
                            <w:szCs w:val="24"/>
                          </w:rPr>
                        </m:ctrlPr>
                      </m:sSubSupPr>
                      <m:e>
                        <m:r>
                          <m:rPr>
                            <m:sty m:val="bi"/>
                          </m:rPr>
                          <w:rPr>
                            <w:rFonts w:ascii="Cambria Math" w:hAnsi="Cambria Math"/>
                            <w:sz w:val="24"/>
                            <w:szCs w:val="24"/>
                          </w:rPr>
                          <m:t>Q</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t=2010, …, 2014</m:t>
                </m:r>
              </m:oMath>
            </m:oMathPara>
          </w:p>
        </w:tc>
        <w:tc>
          <w:tcPr>
            <w:tcW w:w="7654"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 xml:space="preserve">Dados de registros administrativos 2010-2014: corresponde ao </w:t>
            </w:r>
            <w:r w:rsidRPr="005B09F6">
              <w:rPr>
                <w:rFonts w:ascii="Calibri" w:eastAsiaTheme="minorEastAsia" w:hAnsi="Calibri"/>
                <w:i/>
                <w:sz w:val="24"/>
                <w:szCs w:val="24"/>
                <w:lang w:val="pt-BR"/>
              </w:rPr>
              <w:t>estoque</w:t>
            </w:r>
            <w:r w:rsidRPr="005B09F6">
              <w:rPr>
                <w:rFonts w:ascii="Calibri" w:eastAsiaTheme="minorEastAsia" w:hAnsi="Calibri"/>
                <w:sz w:val="24"/>
                <w:szCs w:val="24"/>
                <w:lang w:val="pt-BR"/>
              </w:rPr>
              <w:t xml:space="preserve"> de benefícios ativos em 31/12 de cada ano;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256"/>
        </w:trPr>
        <w:tc>
          <w:tcPr>
            <w:cnfStyle w:val="001000000000" w:firstRow="0" w:lastRow="0" w:firstColumn="1" w:lastColumn="0" w:oddVBand="0" w:evenVBand="0" w:oddHBand="0" w:evenHBand="0" w:firstRowFirstColumn="0" w:firstRowLastColumn="0" w:lastRowFirstColumn="0" w:lastRowLastColumn="0"/>
            <w:tcW w:w="2122" w:type="dxa"/>
            <w:tcBorders>
              <w:right w:val="single" w:sz="4" w:space="0" w:color="2683C6" w:themeColor="accent2"/>
            </w:tcBorders>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c</m:t>
                    </m:r>
                  </m:sub>
                  <m:sup>
                    <m:r>
                      <m:rPr>
                        <m:sty m:val="bi"/>
                      </m:rPr>
                      <w:rPr>
                        <w:rFonts w:ascii="Cambria Math" w:hAnsi="Cambria Math"/>
                        <w:sz w:val="24"/>
                        <w:szCs w:val="24"/>
                      </w:rPr>
                      <m:t>α, δ,Pe,L</m:t>
                    </m:r>
                  </m:sup>
                  <m:e>
                    <m:sSubSup>
                      <m:sSubSupPr>
                        <m:ctrlPr>
                          <w:rPr>
                            <w:rFonts w:ascii="Cambria Math" w:hAnsi="Cambria Math"/>
                            <w:b w:val="0"/>
                            <w:i/>
                            <w:sz w:val="24"/>
                            <w:szCs w:val="24"/>
                          </w:rPr>
                        </m:ctrlPr>
                      </m:sSubSupPr>
                      <m:e>
                        <m:r>
                          <m:rPr>
                            <m:sty m:val="bi"/>
                          </m:rPr>
                          <w:rPr>
                            <w:rFonts w:ascii="Cambria Math" w:hAnsi="Cambria Math"/>
                            <w:sz w:val="24"/>
                            <w:szCs w:val="24"/>
                          </w:rPr>
                          <m:t>Ce</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t=2010, …, 2014</m:t>
                </m:r>
              </m:oMath>
            </m:oMathPara>
          </w:p>
        </w:tc>
        <w:tc>
          <w:tcPr>
            <w:tcW w:w="7654" w:type="dxa"/>
            <w:tcBorders>
              <w:left w:val="single" w:sz="4" w:space="0" w:color="2683C6" w:themeColor="accent2"/>
            </w:tcBorders>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 xml:space="preserve">Dados de registros administrativos 2010-2014: corresponde à quantidade de </w:t>
            </w:r>
            <w:r w:rsidRPr="005B09F6">
              <w:rPr>
                <w:rFonts w:ascii="Calibri" w:eastAsiaTheme="minorEastAsia" w:hAnsi="Calibri"/>
                <w:i/>
                <w:sz w:val="24"/>
                <w:szCs w:val="24"/>
                <w:lang w:val="pt-BR"/>
              </w:rPr>
              <w:t>cessações</w:t>
            </w:r>
            <w:r w:rsidRPr="005B09F6">
              <w:rPr>
                <w:rFonts w:ascii="Calibri" w:eastAsiaTheme="minorEastAsia" w:hAnsi="Calibri"/>
                <w:sz w:val="24"/>
                <w:szCs w:val="24"/>
                <w:lang w:val="pt-BR"/>
              </w:rPr>
              <w:t xml:space="preserve"> de benefícios ao longo de cada ano;</w:t>
            </w:r>
          </w:p>
        </w:tc>
      </w:tr>
      <w:tr w:rsidR="00FF5C5E" w:rsidRPr="005B09F6" w:rsidTr="00637C42">
        <w:trPr>
          <w:trHeight w:hRule="exact" w:val="1287"/>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c</m:t>
                    </m:r>
                  </m:sub>
                  <m:sup>
                    <m:r>
                      <m:rPr>
                        <m:sty m:val="bi"/>
                      </m:rPr>
                      <w:rPr>
                        <w:rFonts w:ascii="Cambria Math" w:hAnsi="Cambria Math"/>
                        <w:sz w:val="24"/>
                        <w:szCs w:val="24"/>
                      </w:rPr>
                      <m:t>α, δ,Pe,L</m:t>
                    </m:r>
                  </m:sup>
                  <m:e>
                    <m:sSubSup>
                      <m:sSubSupPr>
                        <m:ctrlPr>
                          <w:rPr>
                            <w:rFonts w:ascii="Cambria Math" w:hAnsi="Cambria Math"/>
                            <w:b w:val="0"/>
                            <w:i/>
                            <w:sz w:val="24"/>
                            <w:szCs w:val="24"/>
                          </w:rPr>
                        </m:ctrlPr>
                      </m:sSubSupPr>
                      <m:e>
                        <m:r>
                          <m:rPr>
                            <m:sty m:val="bi"/>
                          </m:rPr>
                          <w:rPr>
                            <w:rFonts w:ascii="Cambria Math" w:hAnsi="Cambria Math"/>
                            <w:sz w:val="24"/>
                            <w:szCs w:val="24"/>
                          </w:rPr>
                          <m:t>Co</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t=2010, …, 2014</m:t>
                </m:r>
              </m:oMath>
            </m:oMathPara>
          </w:p>
        </w:tc>
        <w:tc>
          <w:tcPr>
            <w:tcW w:w="7654"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 xml:space="preserve">Dados de registros administrativos 2010-2014: corresponde à quantidade de </w:t>
            </w:r>
            <w:r w:rsidRPr="005B09F6">
              <w:rPr>
                <w:rFonts w:ascii="Calibri" w:eastAsiaTheme="minorEastAsia" w:hAnsi="Calibri"/>
                <w:i/>
                <w:sz w:val="24"/>
                <w:szCs w:val="24"/>
                <w:lang w:val="pt-BR"/>
              </w:rPr>
              <w:t>concessões</w:t>
            </w:r>
            <w:r w:rsidRPr="005B09F6">
              <w:rPr>
                <w:rFonts w:ascii="Calibri" w:eastAsiaTheme="minorEastAsia" w:hAnsi="Calibri"/>
                <w:sz w:val="24"/>
                <w:szCs w:val="24"/>
                <w:lang w:val="pt-BR"/>
              </w:rPr>
              <w:t xml:space="preserve"> de benefícios ao longo de cada ano;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098"/>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eastAsiaTheme="minorEastAsia" w:hAnsi="Cambria Math"/>
                        <w:b w:val="0"/>
                        <w:i/>
                        <w:sz w:val="24"/>
                        <w:szCs w:val="24"/>
                      </w:rPr>
                    </m:ctrlPr>
                  </m:sPrePr>
                  <m:sub>
                    <m:r>
                      <m:rPr>
                        <m:sty m:val="bi"/>
                      </m:rPr>
                      <w:rPr>
                        <w:rFonts w:ascii="Cambria Math" w:eastAsiaTheme="minorEastAsia" w:hAnsi="Cambria Math"/>
                        <w:sz w:val="24"/>
                        <w:szCs w:val="24"/>
                      </w:rPr>
                      <m:t>c</m:t>
                    </m:r>
                  </m:sub>
                  <m:sup>
                    <m:r>
                      <m:rPr>
                        <m:sty m:val="bi"/>
                      </m:rPr>
                      <w:rPr>
                        <w:rFonts w:ascii="Cambria Math" w:eastAsiaTheme="minorEastAsia" w:hAnsi="Cambria Math"/>
                        <w:sz w:val="24"/>
                        <w:szCs w:val="24"/>
                      </w:rPr>
                      <m:t>α,</m:t>
                    </m:r>
                    <m:r>
                      <m:rPr>
                        <m:sty m:val="bi"/>
                      </m:rPr>
                      <w:rPr>
                        <w:rFonts w:ascii="Cambria Math" w:hAnsi="Cambria Math"/>
                        <w:sz w:val="24"/>
                        <w:szCs w:val="24"/>
                      </w:rPr>
                      <m:t>δ, P, L</m:t>
                    </m:r>
                  </m:sup>
                  <m:e>
                    <m:sSub>
                      <m:sSubPr>
                        <m:ctrlPr>
                          <w:rPr>
                            <w:rFonts w:ascii="Cambria Math" w:eastAsiaTheme="minorEastAsia" w:hAnsi="Cambria Math"/>
                            <w:b w:val="0"/>
                            <w:i/>
                            <w:sz w:val="24"/>
                            <w:szCs w:val="24"/>
                          </w:rPr>
                        </m:ctrlPr>
                      </m:sSubPr>
                      <m:e>
                        <m:r>
                          <m:rPr>
                            <m:sty m:val="bi"/>
                          </m:rPr>
                          <w:rPr>
                            <w:rFonts w:ascii="Cambria Math" w:eastAsiaTheme="minorEastAsia" w:hAnsi="Cambria Math"/>
                            <w:sz w:val="24"/>
                            <w:szCs w:val="24"/>
                          </w:rPr>
                          <m:t>φ</m:t>
                        </m:r>
                      </m:e>
                      <m:sub>
                        <m:r>
                          <m:rPr>
                            <m:sty m:val="bi"/>
                          </m:rPr>
                          <w:rPr>
                            <w:rFonts w:ascii="Cambria Math" w:eastAsiaTheme="minorEastAsia" w:hAnsi="Cambria Math"/>
                            <w:sz w:val="24"/>
                            <w:szCs w:val="24"/>
                          </w:rPr>
                          <m:t>t</m:t>
                        </m:r>
                      </m:sub>
                    </m:sSub>
                  </m:e>
                </m:sPre>
                <m:r>
                  <m:rPr>
                    <m:sty m:val="bi"/>
                  </m:rPr>
                  <w:rPr>
                    <w:rFonts w:ascii="Cambria Math" w:eastAsiaTheme="minorEastAsia" w:hAnsi="Cambria Math"/>
                    <w:sz w:val="24"/>
                    <w:szCs w:val="24"/>
                  </w:rPr>
                  <m:t>=</m:t>
                </m:r>
                <m:sSub>
                  <m:sSubPr>
                    <m:ctrlPr>
                      <w:rPr>
                        <w:rFonts w:ascii="Cambria Math" w:hAnsi="Cambria Math"/>
                        <w:b w:val="0"/>
                        <w:i/>
                        <w:sz w:val="24"/>
                        <w:szCs w:val="24"/>
                      </w:rPr>
                    </m:ctrlPr>
                  </m:sSubPr>
                  <m:e>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e>
                  <m:sub>
                    <m:r>
                      <m:rPr>
                        <m:sty m:val="bi"/>
                      </m:rPr>
                      <w:rPr>
                        <w:rFonts w:ascii="Cambria Math" w:hAnsi="Cambria Math"/>
                        <w:sz w:val="24"/>
                        <w:szCs w:val="24"/>
                      </w:rPr>
                      <m:t>t</m:t>
                    </m:r>
                  </m:sub>
                </m:sSub>
              </m:oMath>
            </m:oMathPara>
          </w:p>
          <w:p w:rsidR="00FF5C5E" w:rsidRPr="005B09F6" w:rsidRDefault="00FF5C5E" w:rsidP="00637C42">
            <w:pPr>
              <w:jc w:val="both"/>
              <w:rPr>
                <w:rFonts w:ascii="Calibri" w:hAnsi="Calibri"/>
                <w:b w:val="0"/>
                <w:kern w:val="20"/>
                <w:sz w:val="24"/>
                <w:szCs w:val="24"/>
              </w:rPr>
            </w:pPr>
            <m:oMathPara>
              <m:oMath>
                <m:r>
                  <m:rPr>
                    <m:sty m:val="bi"/>
                  </m:rPr>
                  <w:rPr>
                    <w:rFonts w:ascii="Cambria Math" w:hAnsi="Cambria Math"/>
                    <w:sz w:val="24"/>
                    <w:szCs w:val="24"/>
                  </w:rPr>
                  <m:t>t=2010, …, 2014</m:t>
                </m:r>
              </m:oMath>
            </m:oMathPara>
          </w:p>
        </w:tc>
        <w:tc>
          <w:tcPr>
            <w:tcW w:w="7654"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Valores de benefícios assistenciais e previdenciários no piso previdenciário iguais ao SM</w:t>
            </w:r>
          </w:p>
        </w:tc>
      </w:tr>
      <w:tr w:rsidR="00FF5C5E" w:rsidRPr="005B09F6" w:rsidTr="00637C42">
        <w:trPr>
          <w:trHeight w:hRule="exact" w:val="1889"/>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Calibri" w:hAnsi="Calibri" w:cs="Times New Roman"/>
                <w:b w:val="0"/>
                <w:sz w:val="24"/>
                <w:szCs w:val="24"/>
              </w:rPr>
            </w:pPr>
            <m:oMathPara>
              <m:oMath>
                <m:sPre>
                  <m:sPrePr>
                    <m:ctrlPr>
                      <w:rPr>
                        <w:rFonts w:ascii="Cambria Math" w:eastAsiaTheme="minorEastAsia" w:hAnsi="Cambria Math"/>
                        <w:b w:val="0"/>
                        <w:i/>
                        <w:sz w:val="24"/>
                        <w:szCs w:val="24"/>
                      </w:rPr>
                    </m:ctrlPr>
                  </m:sPrePr>
                  <m:sub>
                    <m:r>
                      <m:rPr>
                        <m:sty m:val="bi"/>
                      </m:rPr>
                      <w:rPr>
                        <w:rFonts w:ascii="Cambria Math" w:eastAsiaTheme="minorEastAsia" w:hAnsi="Cambria Math"/>
                        <w:sz w:val="24"/>
                        <w:szCs w:val="24"/>
                      </w:rPr>
                      <m:t>R, Up</m:t>
                    </m:r>
                  </m:sub>
                  <m:sup>
                    <m:r>
                      <m:rPr>
                        <m:sty m:val="bi"/>
                      </m:rPr>
                      <w:rPr>
                        <w:rFonts w:ascii="Cambria Math" w:eastAsiaTheme="minorEastAsia" w:hAnsi="Cambria Math"/>
                        <w:sz w:val="24"/>
                        <w:szCs w:val="24"/>
                      </w:rPr>
                      <m:t>α,</m:t>
                    </m:r>
                    <m:r>
                      <m:rPr>
                        <m:sty m:val="bi"/>
                      </m:rPr>
                      <w:rPr>
                        <w:rFonts w:ascii="Cambria Math" w:hAnsi="Cambria Math"/>
                        <w:sz w:val="24"/>
                        <w:szCs w:val="24"/>
                      </w:rPr>
                      <m:t>δ, P, L</m:t>
                    </m:r>
                  </m:sup>
                  <m:e>
                    <m:sSub>
                      <m:sSubPr>
                        <m:ctrlPr>
                          <w:rPr>
                            <w:rFonts w:ascii="Cambria Math" w:eastAsiaTheme="minorEastAsia" w:hAnsi="Cambria Math"/>
                            <w:b w:val="0"/>
                            <w:i/>
                            <w:sz w:val="24"/>
                            <w:szCs w:val="24"/>
                          </w:rPr>
                        </m:ctrlPr>
                      </m:sSubPr>
                      <m:e>
                        <m:r>
                          <m:rPr>
                            <m:sty m:val="bi"/>
                          </m:rPr>
                          <w:rPr>
                            <w:rFonts w:ascii="Cambria Math" w:eastAsiaTheme="minorEastAsia" w:hAnsi="Cambria Math"/>
                            <w:sz w:val="24"/>
                            <w:szCs w:val="24"/>
                          </w:rPr>
                          <m:t>n</m:t>
                        </m:r>
                      </m:e>
                      <m:sub>
                        <m:r>
                          <m:rPr>
                            <m:sty m:val="bi"/>
                          </m:rPr>
                          <w:rPr>
                            <w:rFonts w:ascii="Cambria Math" w:eastAsiaTheme="minorEastAsia" w:hAnsi="Cambria Math"/>
                            <w:sz w:val="24"/>
                            <w:szCs w:val="24"/>
                          </w:rPr>
                          <m:t>2015</m:t>
                        </m:r>
                      </m:sub>
                    </m:sSub>
                  </m:e>
                </m:sPre>
              </m:oMath>
            </m:oMathPara>
          </w:p>
        </w:tc>
        <w:tc>
          <w:tcPr>
            <w:tcW w:w="7654"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Calculado pela divisão entre a despesa realizada (dado administrativo) pelo total de benefícios em 2015, chegando-se ao valor médio anual, e posterior divisão pelo SM (valor mensal). Assim, calcula-se efetivamente o número médio de pagamentos mensais de cada benefício em 2015. Como esperado, os valores para aposentadorias são </w:t>
            </w:r>
            <w:r w:rsidR="00C75A66" w:rsidRPr="005B09F6">
              <w:rPr>
                <w:rFonts w:ascii="Calibri" w:hAnsi="Calibri"/>
                <w:kern w:val="20"/>
                <w:sz w:val="24"/>
                <w:szCs w:val="24"/>
                <w:lang w:val="pt-BR"/>
              </w:rPr>
              <w:t>próximos a 13 (benefício com 13ª</w:t>
            </w:r>
            <w:r w:rsidRPr="005B09F6">
              <w:rPr>
                <w:rFonts w:ascii="Calibri" w:hAnsi="Calibri"/>
                <w:kern w:val="20"/>
                <w:sz w:val="24"/>
                <w:szCs w:val="24"/>
                <w:lang w:val="pt-BR"/>
              </w:rPr>
              <w:t xml:space="preserve"> parcela), enquanto que nos assistenciais o valor é próximo a 12 (benefício não dá direito à 13ª pagamento anual);</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036"/>
        </w:trPr>
        <w:tc>
          <w:tcPr>
            <w:cnfStyle w:val="001000000000" w:firstRow="0" w:lastRow="0" w:firstColumn="1" w:lastColumn="0" w:oddVBand="0" w:evenVBand="0" w:oddHBand="0" w:evenHBand="0" w:firstRowFirstColumn="0" w:firstRowLastColumn="0" w:lastRowFirstColumn="0" w:lastRowLastColumn="0"/>
            <w:tcW w:w="2122" w:type="dxa"/>
            <w:shd w:val="clear" w:color="auto" w:fill="FFFFFF" w:themeFill="background1"/>
            <w:vAlign w:val="center"/>
          </w:tcPr>
          <w:p w:rsidR="00FF5C5E" w:rsidRPr="005B09F6" w:rsidRDefault="00CB65A3" w:rsidP="00637C42">
            <w:pPr>
              <w:jc w:val="both"/>
              <w:rPr>
                <w:rFonts w:ascii="Calibri" w:eastAsiaTheme="minorEastAsia" w:hAnsi="Calibri"/>
                <w:sz w:val="24"/>
                <w:szCs w:val="24"/>
              </w:rPr>
            </w:pPr>
            <m:oMathPara>
              <m:oMath>
                <m:sSub>
                  <m:sSubPr>
                    <m:ctrlPr>
                      <w:rPr>
                        <w:rFonts w:ascii="Cambria Math" w:hAnsi="Cambria Math"/>
                        <w:i/>
                        <w:sz w:val="24"/>
                        <w:szCs w:val="24"/>
                      </w:rPr>
                    </m:ctrlPr>
                  </m:sSubPr>
                  <m:e>
                    <m:r>
                      <m:rPr>
                        <m:sty m:val="bi"/>
                      </m:rPr>
                      <w:rPr>
                        <w:rFonts w:ascii="Cambria Math" w:hAnsi="Cambria Math"/>
                        <w:sz w:val="24"/>
                        <w:szCs w:val="24"/>
                      </w:rPr>
                      <m:t>Rec</m:t>
                    </m:r>
                  </m:e>
                  <m:sub>
                    <m:r>
                      <m:rPr>
                        <m:sty m:val="bi"/>
                      </m:rPr>
                      <w:rPr>
                        <w:rFonts w:ascii="Cambria Math" w:hAnsi="Cambria Math"/>
                        <w:sz w:val="24"/>
                        <w:szCs w:val="24"/>
                      </w:rPr>
                      <m:t>t</m:t>
                    </m:r>
                  </m:sub>
                </m:sSub>
              </m:oMath>
            </m:oMathPara>
          </w:p>
          <w:p w:rsidR="00FF5C5E" w:rsidRPr="005B09F6" w:rsidRDefault="00FF5C5E" w:rsidP="00637C42">
            <w:pPr>
              <w:jc w:val="both"/>
              <w:rPr>
                <w:rFonts w:ascii="Calibri" w:eastAsia="Tw Cen MT" w:hAnsi="Calibri" w:cs="Times New Roman"/>
                <w:i/>
                <w:sz w:val="24"/>
                <w:szCs w:val="24"/>
              </w:rPr>
            </w:pPr>
            <m:oMathPara>
              <m:oMath>
                <m:r>
                  <m:rPr>
                    <m:sty m:val="bi"/>
                  </m:rPr>
                  <w:rPr>
                    <w:rFonts w:ascii="Cambria Math" w:hAnsi="Cambria Math"/>
                    <w:sz w:val="24"/>
                    <w:szCs w:val="24"/>
                  </w:rPr>
                  <m:t>t=2010, …, 2016</m:t>
                </m:r>
              </m:oMath>
            </m:oMathPara>
          </w:p>
        </w:tc>
        <w:tc>
          <w:tcPr>
            <w:tcW w:w="7654"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Arrecadação Líquida do RGPS, obtida a partir do Fluxo de Caixa do INSS; </w:t>
            </w:r>
          </w:p>
        </w:tc>
      </w:tr>
    </w:tbl>
    <w:p w:rsidR="00FF5C5E" w:rsidRPr="005B09F6" w:rsidRDefault="00FF5C5E" w:rsidP="00FF5C5E">
      <w:pPr>
        <w:spacing w:line="360" w:lineRule="auto"/>
        <w:jc w:val="both"/>
        <w:rPr>
          <w:rFonts w:ascii="Calibri" w:hAnsi="Calibri"/>
          <w:kern w:val="20"/>
          <w:sz w:val="24"/>
          <w:szCs w:val="24"/>
        </w:rPr>
      </w:pPr>
    </w:p>
    <w:p w:rsidR="00FF5C5E" w:rsidRPr="005B09F6" w:rsidRDefault="00FF5C5E" w:rsidP="00FF5C5E">
      <w:pPr>
        <w:rPr>
          <w:rFonts w:ascii="Calibri" w:hAnsi="Calibri"/>
          <w:kern w:val="20"/>
          <w:sz w:val="24"/>
          <w:szCs w:val="24"/>
        </w:rPr>
      </w:pPr>
      <w:r w:rsidRPr="005B09F6">
        <w:rPr>
          <w:rFonts w:ascii="Calibri" w:hAnsi="Calibri"/>
          <w:kern w:val="20"/>
          <w:sz w:val="24"/>
          <w:szCs w:val="24"/>
        </w:rPr>
        <w:br w:type="page"/>
      </w:r>
    </w:p>
    <w:tbl>
      <w:tblPr>
        <w:tblStyle w:val="TabeladeGrade4-nfase2"/>
        <w:tblW w:w="9776" w:type="dxa"/>
        <w:shd w:val="clear" w:color="auto" w:fill="FFFFFF" w:themeFill="background1"/>
        <w:tblLook w:val="04A0" w:firstRow="1" w:lastRow="0" w:firstColumn="1" w:lastColumn="0" w:noHBand="0" w:noVBand="1"/>
      </w:tblPr>
      <w:tblGrid>
        <w:gridCol w:w="3823"/>
        <w:gridCol w:w="5953"/>
      </w:tblGrid>
      <w:tr w:rsidR="00FF5C5E" w:rsidRPr="005B09F6" w:rsidTr="00637C42">
        <w:trPr>
          <w:cnfStyle w:val="100000000000" w:firstRow="1" w:lastRow="0" w:firstColumn="0" w:lastColumn="0" w:oddVBand="0" w:evenVBand="0" w:oddHBand="0" w:evenHBand="0" w:firstRowFirstColumn="0" w:firstRowLastColumn="0" w:lastRowFirstColumn="0" w:lastRowLastColumn="0"/>
          <w:trHeight w:hRule="exact" w:val="1013"/>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FF5C5E" w:rsidP="00637C42">
            <w:pPr>
              <w:jc w:val="center"/>
              <w:rPr>
                <w:rFonts w:ascii="Calibri" w:hAnsi="Calibri"/>
                <w:i/>
                <w:color w:val="auto"/>
                <w:kern w:val="20"/>
                <w:sz w:val="24"/>
                <w:szCs w:val="24"/>
              </w:rPr>
            </w:pPr>
            <w:proofErr w:type="spellStart"/>
            <w:r w:rsidRPr="005B09F6">
              <w:rPr>
                <w:rFonts w:ascii="Calibri" w:hAnsi="Calibri"/>
                <w:i/>
                <w:color w:val="auto"/>
                <w:kern w:val="20"/>
                <w:sz w:val="24"/>
                <w:szCs w:val="24"/>
              </w:rPr>
              <w:t>Hipóteses</w:t>
            </w:r>
            <w:proofErr w:type="spellEnd"/>
            <w:r w:rsidRPr="005B09F6">
              <w:rPr>
                <w:rFonts w:ascii="Calibri" w:hAnsi="Calibri"/>
                <w:i/>
                <w:color w:val="auto"/>
                <w:kern w:val="20"/>
                <w:sz w:val="24"/>
                <w:szCs w:val="24"/>
              </w:rPr>
              <w:t xml:space="preserve"> de </w:t>
            </w:r>
            <w:proofErr w:type="spellStart"/>
            <w:r w:rsidRPr="005B09F6">
              <w:rPr>
                <w:rFonts w:ascii="Calibri" w:hAnsi="Calibri"/>
                <w:i/>
                <w:color w:val="auto"/>
                <w:kern w:val="20"/>
                <w:sz w:val="24"/>
                <w:szCs w:val="24"/>
              </w:rPr>
              <w:t>Projeção</w:t>
            </w:r>
            <w:proofErr w:type="spellEnd"/>
          </w:p>
        </w:tc>
        <w:tc>
          <w:tcPr>
            <w:tcW w:w="5953" w:type="dxa"/>
            <w:shd w:val="clear" w:color="auto" w:fill="FFFFFF" w:themeFill="background1"/>
            <w:vAlign w:val="center"/>
          </w:tcPr>
          <w:p w:rsidR="00FF5C5E" w:rsidRPr="005B09F6" w:rsidRDefault="00FF5C5E" w:rsidP="00637C42">
            <w:pPr>
              <w:jc w:val="center"/>
              <w:cnfStyle w:val="100000000000" w:firstRow="1" w:lastRow="0" w:firstColumn="0" w:lastColumn="0" w:oddVBand="0" w:evenVBand="0" w:oddHBand="0" w:evenHBand="0" w:firstRowFirstColumn="0" w:firstRowLastColumn="0" w:lastRowFirstColumn="0" w:lastRowLastColumn="0"/>
              <w:rPr>
                <w:rFonts w:ascii="Calibri" w:hAnsi="Calibri"/>
                <w:color w:val="auto"/>
                <w:kern w:val="20"/>
                <w:sz w:val="24"/>
                <w:szCs w:val="24"/>
              </w:rPr>
            </w:pPr>
            <w:proofErr w:type="spellStart"/>
            <w:r w:rsidRPr="005B09F6">
              <w:rPr>
                <w:rFonts w:ascii="Calibri" w:hAnsi="Calibri"/>
                <w:i/>
                <w:color w:val="auto"/>
                <w:kern w:val="20"/>
                <w:sz w:val="24"/>
                <w:szCs w:val="24"/>
              </w:rPr>
              <w:t>Descrição</w:t>
            </w:r>
            <w:proofErr w:type="spellEnd"/>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434"/>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m:t>
                    </m:r>
                  </m:sub>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b w:val="0"/>
                        <w:i/>
                        <w:sz w:val="24"/>
                        <w:szCs w:val="24"/>
                      </w:rPr>
                    </m:ctrlPr>
                  </m:sPrePr>
                  <m:sub>
                    <m:r>
                      <m:rPr>
                        <m:sty m:val="bi"/>
                      </m:rPr>
                      <w:rPr>
                        <w:rFonts w:ascii="Cambria Math" w:hAnsi="Cambria Math"/>
                        <w:sz w:val="24"/>
                        <w:szCs w:val="24"/>
                      </w:rPr>
                      <m:t>U</m:t>
                    </m:r>
                  </m:sub>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i,2014 </m:t>
                        </m:r>
                      </m:sub>
                      <m:sup>
                        <m:r>
                          <m:rPr>
                            <m:sty m:val="bi"/>
                          </m:rPr>
                          <w:rPr>
                            <w:rFonts w:ascii="Cambria Math" w:hAnsi="Cambria Math"/>
                            <w:sz w:val="24"/>
                            <w:szCs w:val="24"/>
                          </w:rPr>
                          <m:t>s</m:t>
                        </m:r>
                      </m:sup>
                    </m:sSubSup>
                  </m:e>
                </m:sPre>
              </m:oMath>
            </m:oMathPara>
          </w:p>
        </w:tc>
        <w:tc>
          <w:tcPr>
            <w:tcW w:w="5953" w:type="dxa"/>
            <w:shd w:val="clear" w:color="auto" w:fill="FFFFFF" w:themeFill="background1"/>
            <w:vAlign w:val="center"/>
          </w:tcPr>
          <w:p w:rsidR="00FF5C5E" w:rsidRPr="005B09F6" w:rsidRDefault="00FF5C5E" w:rsidP="00B37896">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Taxa de urbanização de 2015 estimada como igual àquela observada em 2014;</w:t>
            </w:r>
            <w:r w:rsidRPr="005B09F6">
              <w:rPr>
                <w:rFonts w:ascii="Calibri" w:hAnsi="Calibri"/>
                <w:sz w:val="24"/>
                <w:szCs w:val="24"/>
                <w:lang w:val="pt-BR"/>
              </w:rPr>
              <w:t xml:space="preserve"> </w:t>
            </w:r>
            <w:proofErr w:type="spellStart"/>
            <w:r w:rsidRPr="005B09F6">
              <w:rPr>
                <w:rFonts w:ascii="Calibri" w:hAnsi="Calibri"/>
                <w:sz w:val="24"/>
                <w:szCs w:val="24"/>
                <w:lang w:val="pt-BR"/>
              </w:rPr>
              <w:t>Obs</w:t>
            </w:r>
            <w:proofErr w:type="spellEnd"/>
            <w:r w:rsidRPr="005B09F6">
              <w:rPr>
                <w:rFonts w:ascii="Calibri" w:hAnsi="Calibri"/>
                <w:sz w:val="24"/>
                <w:szCs w:val="24"/>
                <w:lang w:val="pt-BR"/>
              </w:rPr>
              <w:t>: a partir das equações (1) e (2), observa-se que as taxas de urbanização encontradas nos dados da Pnad/</w:t>
            </w:r>
            <w:r w:rsidR="00B37896" w:rsidRPr="005B09F6">
              <w:rPr>
                <w:rFonts w:ascii="Calibri" w:hAnsi="Calibri"/>
                <w:sz w:val="24"/>
                <w:szCs w:val="24"/>
                <w:lang w:val="pt-BR"/>
              </w:rPr>
              <w:t xml:space="preserve">IBGE </w:t>
            </w:r>
            <w:r w:rsidRPr="005B09F6">
              <w:rPr>
                <w:rFonts w:ascii="Calibri" w:hAnsi="Calibri"/>
                <w:sz w:val="24"/>
                <w:szCs w:val="24"/>
                <w:lang w:val="pt-BR"/>
              </w:rPr>
              <w:t>são aplicadas sobre a população projetada pelo IBGE para o período de 2015 a 2060;</w:t>
            </w:r>
          </w:p>
        </w:tc>
      </w:tr>
      <w:tr w:rsidR="00FF5C5E" w:rsidRPr="005B09F6" w:rsidTr="00637C42">
        <w:trPr>
          <w:trHeight w:hRule="exact" w:val="1128"/>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hAnsi="Calibri"/>
                <w:b w:val="0"/>
                <w:kern w:val="2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Pre>
                      <m:sPrePr>
                        <m:ctrlPr>
                          <w:rPr>
                            <w:rFonts w:ascii="Cambria Math" w:hAnsi="Cambria Math"/>
                            <w:b w:val="0"/>
                            <w:i/>
                            <w:sz w:val="24"/>
                            <w:szCs w:val="24"/>
                          </w:rPr>
                        </m:ctrlPr>
                      </m:sPrePr>
                      <m:sub>
                        <m:r>
                          <m:rPr>
                            <m:sty m:val="bi"/>
                          </m:rPr>
                          <w:rPr>
                            <w:rFonts w:ascii="Cambria Math" w:hAnsi="Cambria Math"/>
                            <w:sz w:val="24"/>
                            <w:szCs w:val="24"/>
                          </w:rPr>
                          <m:t>U</m:t>
                        </m:r>
                      </m:sub>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sub>
                </m:sSub>
                <m:r>
                  <m:rPr>
                    <m:sty m:val="bi"/>
                  </m:rPr>
                  <w:rPr>
                    <w:rFonts w:ascii="Cambria Math" w:hAnsi="Cambria Math"/>
                    <w:sz w:val="24"/>
                    <w:szCs w:val="24"/>
                  </w:rPr>
                  <m:t>=0</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 xml:space="preserve">Hipótese de que a taxa de urbanização é mantida constante ao longo do tempo. Assim, a evolução da população urbana e rural acompanha diretamente a evolução dos totais da população como um todo;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00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Part</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Part</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i,2014 </m:t>
                        </m:r>
                      </m:sub>
                      <m:sup>
                        <m:r>
                          <m:rPr>
                            <m:sty m:val="bi"/>
                          </m:rPr>
                          <w:rPr>
                            <w:rFonts w:ascii="Cambria Math" w:hAnsi="Cambria Math"/>
                            <w:sz w:val="24"/>
                            <w:szCs w:val="24"/>
                          </w:rPr>
                          <m:t>s</m:t>
                        </m:r>
                      </m:sup>
                    </m:sSubSup>
                  </m:e>
                </m:sPre>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Taxa de participação de 2015 estimada como igual àquela observada em 2014;</w:t>
            </w:r>
          </w:p>
        </w:tc>
      </w:tr>
      <w:tr w:rsidR="00FF5C5E" w:rsidRPr="005B09F6" w:rsidTr="00637C42">
        <w:trPr>
          <w:trHeight w:hRule="exact" w:val="1118"/>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Calibri" w:hAnsi="Calibri" w:cs="Times New Roman"/>
                <w:b w:val="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Part</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sub>
                </m:sSub>
                <m:r>
                  <m:rPr>
                    <m:sty m:val="bi"/>
                  </m:rPr>
                  <w:rPr>
                    <w:rFonts w:ascii="Cambria Math" w:hAnsi="Cambria Math"/>
                    <w:sz w:val="24"/>
                    <w:szCs w:val="24"/>
                  </w:rPr>
                  <m:t>=0</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 xml:space="preserve">Hipótese de que a taxa de participação mantida constante ao longo do tempo. Assim, a evolução da população economicamente ativa urbana e rural acompanha diretamente a evolução dos totais da população como um todo;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09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hAnsi="Calibri"/>
                <w:b w:val="0"/>
                <w:kern w:val="2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i,2014 </m:t>
                        </m:r>
                      </m:sub>
                      <m:sup>
                        <m:r>
                          <m:rPr>
                            <m:sty m:val="bi"/>
                          </m:rPr>
                          <w:rPr>
                            <w:rFonts w:ascii="Cambria Math" w:hAnsi="Cambria Math"/>
                            <w:sz w:val="24"/>
                            <w:szCs w:val="24"/>
                          </w:rPr>
                          <m:t>s</m:t>
                        </m:r>
                      </m:sup>
                    </m:sSubSup>
                  </m:e>
                </m:sPre>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Taxa de ocupação de 2015 estimada como igual àquela observada em 2014</w:t>
            </w:r>
            <w:r w:rsidRPr="005B09F6">
              <w:rPr>
                <w:rFonts w:ascii="Calibri" w:hAnsi="Calibri"/>
                <w:sz w:val="24"/>
                <w:szCs w:val="24"/>
                <w:lang w:val="pt-BR"/>
              </w:rPr>
              <w:t>;</w:t>
            </w:r>
          </w:p>
        </w:tc>
      </w:tr>
      <w:tr w:rsidR="00FF5C5E" w:rsidRPr="005B09F6" w:rsidTr="00637C42">
        <w:trPr>
          <w:trHeight w:hRule="exact" w:val="109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b w:val="0"/>
                        <w:i/>
                        <w:sz w:val="24"/>
                        <w:szCs w:val="24"/>
                      </w:rPr>
                    </m:ctrlPr>
                  </m:sPrePr>
                  <m:sub>
                    <m:r>
                      <m:rPr>
                        <m:sty m:val="bi"/>
                      </m:rPr>
                      <w:rPr>
                        <w:rFonts w:ascii="Cambria Math" w:hAnsi="Cambria Math"/>
                        <w:sz w:val="24"/>
                        <w:szCs w:val="24"/>
                      </w:rPr>
                      <m:t>U, R</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w Cen MT" w:hAnsi="Calibri" w:cs="Times New Roman"/>
                <w:b w:val="0"/>
                <w:sz w:val="24"/>
                <w:szCs w:val="24"/>
              </w:rPr>
            </w:pPr>
            <m:oMathPara>
              <m:oMath>
                <m:r>
                  <m:rPr>
                    <m:sty m:val="bi"/>
                  </m:rPr>
                  <w:rPr>
                    <w:rFonts w:ascii="Cambria Math" w:hAnsi="Cambria Math"/>
                    <w:sz w:val="24"/>
                    <w:szCs w:val="24"/>
                  </w:rPr>
                  <m:t>t&gt;2015</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Hipótese de que a taxa de ocupação permanece constante ao longo do tempo;</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09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Pre>
                  <m:sPrePr>
                    <m:ctrlPr>
                      <w:rPr>
                        <w:rFonts w:ascii="Cambria Math" w:hAnsi="Cambria Math"/>
                        <w:i/>
                        <w:sz w:val="24"/>
                        <w:szCs w:val="24"/>
                      </w:rPr>
                    </m:ctrlPr>
                  </m:sPrePr>
                  <m:sub>
                    <m:r>
                      <m:rPr>
                        <m:sty m:val="bi"/>
                      </m:rPr>
                      <w:rPr>
                        <w:rFonts w:ascii="Cambria Math" w:hAnsi="Cambria Math"/>
                        <w:sz w:val="24"/>
                        <w:szCs w:val="24"/>
                      </w:rPr>
                      <m:t>U</m:t>
                    </m:r>
                  </m:sub>
                  <m:sup>
                    <m:r>
                      <m:rPr>
                        <m:sty m:val="bi"/>
                      </m:rPr>
                      <w:rPr>
                        <w:rFonts w:ascii="Cambria Math" w:hAnsi="Cambria Math"/>
                        <w:sz w:val="24"/>
                        <w:szCs w:val="24"/>
                      </w:rPr>
                      <m:t>Csm, Ca</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i/>
                        <w:sz w:val="24"/>
                        <w:szCs w:val="24"/>
                      </w:rPr>
                    </m:ctrlPr>
                  </m:sPrePr>
                  <m:sub>
                    <m:r>
                      <m:rPr>
                        <m:sty m:val="bi"/>
                      </m:rPr>
                      <w:rPr>
                        <w:rFonts w:ascii="Cambria Math" w:hAnsi="Cambria Math"/>
                        <w:sz w:val="24"/>
                        <w:szCs w:val="24"/>
                      </w:rPr>
                      <m:t>U</m:t>
                    </m:r>
                  </m:sub>
                  <m:sup>
                    <m:r>
                      <m:rPr>
                        <m:sty m:val="bi"/>
                      </m:rPr>
                      <w:rPr>
                        <w:rFonts w:ascii="Cambria Math" w:hAnsi="Cambria Math"/>
                        <w:sz w:val="24"/>
                        <w:szCs w:val="24"/>
                      </w:rPr>
                      <m:t>Csm, Ca</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i,2014 </m:t>
                        </m:r>
                      </m:sub>
                      <m:sup>
                        <m:r>
                          <m:rPr>
                            <m:sty m:val="bi"/>
                          </m:rPr>
                          <w:rPr>
                            <w:rFonts w:ascii="Cambria Math" w:hAnsi="Cambria Math"/>
                            <w:sz w:val="24"/>
                            <w:szCs w:val="24"/>
                          </w:rPr>
                          <m:t>s</m:t>
                        </m:r>
                      </m:sup>
                    </m:sSubSup>
                  </m:e>
                </m:sPre>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Taxa de cobertura contributiva em 2015 estimada como igual àquela observada em 2014</w:t>
            </w:r>
            <w:r w:rsidRPr="005B09F6">
              <w:rPr>
                <w:rFonts w:ascii="Calibri" w:hAnsi="Calibri"/>
                <w:sz w:val="24"/>
                <w:szCs w:val="24"/>
                <w:lang w:val="pt-BR"/>
              </w:rPr>
              <w:t>;</w:t>
            </w:r>
          </w:p>
        </w:tc>
      </w:tr>
      <w:tr w:rsidR="00FF5C5E" w:rsidRPr="005B09F6" w:rsidTr="00637C42">
        <w:trPr>
          <w:trHeight w:hRule="exact" w:val="109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sz w:val="24"/>
                <w:szCs w:val="24"/>
              </w:rPr>
            </w:pPr>
            <m:oMathPara>
              <m:oMath>
                <m:sPre>
                  <m:sPrePr>
                    <m:ctrlPr>
                      <w:rPr>
                        <w:rFonts w:ascii="Cambria Math" w:hAnsi="Cambria Math"/>
                        <w:i/>
                        <w:sz w:val="24"/>
                        <w:szCs w:val="24"/>
                      </w:rPr>
                    </m:ctrlPr>
                  </m:sPrePr>
                  <m:sub>
                    <m:r>
                      <m:rPr>
                        <m:sty m:val="bi"/>
                      </m:rPr>
                      <w:rPr>
                        <w:rFonts w:ascii="Cambria Math" w:hAnsi="Cambria Math"/>
                        <w:sz w:val="24"/>
                        <w:szCs w:val="24"/>
                      </w:rPr>
                      <m:t>U</m:t>
                    </m:r>
                  </m:sub>
                  <m:sup>
                    <m:r>
                      <m:rPr>
                        <m:sty m:val="bi"/>
                      </m:rPr>
                      <w:rPr>
                        <w:rFonts w:ascii="Cambria Math" w:hAnsi="Cambria Math"/>
                        <w:sz w:val="24"/>
                        <w:szCs w:val="24"/>
                      </w:rPr>
                      <m:t>Csm, Ca</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r>
                  <m:rPr>
                    <m:sty m:val="bi"/>
                  </m:rPr>
                  <w:rPr>
                    <w:rFonts w:ascii="Cambria Math" w:eastAsiaTheme="minorEastAsia" w:hAnsi="Cambria Math"/>
                    <w:sz w:val="24"/>
                    <w:szCs w:val="24"/>
                  </w:rPr>
                  <m:t>=</m:t>
                </m:r>
                <m:sPre>
                  <m:sPrePr>
                    <m:ctrlPr>
                      <w:rPr>
                        <w:rFonts w:ascii="Cambria Math" w:hAnsi="Cambria Math"/>
                        <w:i/>
                        <w:sz w:val="24"/>
                        <w:szCs w:val="24"/>
                      </w:rPr>
                    </m:ctrlPr>
                  </m:sPrePr>
                  <m:sub>
                    <m:r>
                      <m:rPr>
                        <m:sty m:val="bi"/>
                      </m:rPr>
                      <w:rPr>
                        <w:rFonts w:ascii="Cambria Math" w:hAnsi="Cambria Math"/>
                        <w:sz w:val="24"/>
                        <w:szCs w:val="24"/>
                      </w:rPr>
                      <m:t>U</m:t>
                    </m:r>
                  </m:sub>
                  <m:sup>
                    <m:r>
                      <m:rPr>
                        <m:sty m:val="bi"/>
                      </m:rPr>
                      <w:rPr>
                        <w:rFonts w:ascii="Cambria Math" w:hAnsi="Cambria Math"/>
                        <w:sz w:val="24"/>
                        <w:szCs w:val="24"/>
                      </w:rPr>
                      <m:t>Csm, Ca</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w Cen MT" w:hAnsi="Calibri" w:cs="Times New Roman"/>
                <w:sz w:val="24"/>
                <w:szCs w:val="24"/>
              </w:rPr>
            </w:pPr>
            <m:oMathPara>
              <m:oMath>
                <m:r>
                  <m:rPr>
                    <m:sty m:val="bi"/>
                  </m:rPr>
                  <w:rPr>
                    <w:rFonts w:ascii="Cambria Math" w:hAnsi="Cambria Math"/>
                    <w:sz w:val="24"/>
                    <w:szCs w:val="24"/>
                  </w:rPr>
                  <m:t>t&gt;2015</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Hipótese de que as taxas de cobertura contributiva permanecem constante ao longo do tempo;</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176"/>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Pre>
                  <m:sPrePr>
                    <m:ctrlPr>
                      <w:rPr>
                        <w:rFonts w:ascii="Cambria Math" w:hAnsi="Cambria Math"/>
                        <w:i/>
                        <w:sz w:val="24"/>
                        <w:szCs w:val="24"/>
                      </w:rPr>
                    </m:ctrlPr>
                  </m:sPrePr>
                  <m:sub>
                    <m:r>
                      <m:rPr>
                        <m:sty m:val="bi"/>
                      </m:rPr>
                      <w:rPr>
                        <w:rFonts w:ascii="Cambria Math" w:hAnsi="Cambria Math"/>
                        <w:sz w:val="24"/>
                        <w:szCs w:val="24"/>
                      </w:rPr>
                      <m:t>R</m:t>
                    </m:r>
                  </m:sub>
                  <m:sup>
                    <m:r>
                      <m:rPr>
                        <m:sty m:val="bi"/>
                      </m:rPr>
                      <w:rPr>
                        <w:rFonts w:ascii="Cambria Math" w:hAnsi="Cambria Math"/>
                        <w:sz w:val="24"/>
                        <w:szCs w:val="24"/>
                      </w:rPr>
                      <m:t>Contr, Se,Sp</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i/>
                        <w:sz w:val="24"/>
                        <w:szCs w:val="24"/>
                      </w:rPr>
                    </m:ctrlPr>
                  </m:sPrePr>
                  <m:sub>
                    <m:r>
                      <m:rPr>
                        <m:sty m:val="bi"/>
                      </m:rPr>
                      <w:rPr>
                        <w:rFonts w:ascii="Cambria Math" w:hAnsi="Cambria Math"/>
                        <w:sz w:val="24"/>
                        <w:szCs w:val="24"/>
                      </w:rPr>
                      <m:t>R</m:t>
                    </m:r>
                  </m:sub>
                  <m:sup>
                    <m:r>
                      <m:rPr>
                        <m:sty m:val="bi"/>
                      </m:rPr>
                      <w:rPr>
                        <w:rFonts w:ascii="Cambria Math" w:hAnsi="Cambria Math"/>
                        <w:sz w:val="24"/>
                        <w:szCs w:val="24"/>
                      </w:rPr>
                      <m:t>Contr, Se,Sp</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i,2014 </m:t>
                        </m:r>
                      </m:sub>
                      <m:sup>
                        <m:r>
                          <m:rPr>
                            <m:sty m:val="bi"/>
                          </m:rPr>
                          <w:rPr>
                            <w:rFonts w:ascii="Cambria Math" w:hAnsi="Cambria Math"/>
                            <w:sz w:val="24"/>
                            <w:szCs w:val="24"/>
                          </w:rPr>
                          <m:t>s</m:t>
                        </m:r>
                      </m:sup>
                    </m:sSubSup>
                  </m:e>
                </m:sPre>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Taxas de participação de subconjuntos da população rural em 2015 estimadas como iguais àquelas observadas em 2014</w:t>
            </w:r>
            <w:r w:rsidRPr="005B09F6">
              <w:rPr>
                <w:rFonts w:ascii="Calibri" w:hAnsi="Calibri"/>
                <w:sz w:val="24"/>
                <w:szCs w:val="24"/>
                <w:lang w:val="pt-BR"/>
              </w:rPr>
              <w:t>;</w:t>
            </w:r>
          </w:p>
        </w:tc>
      </w:tr>
      <w:tr w:rsidR="00FF5C5E" w:rsidRPr="005B09F6" w:rsidTr="00637C42">
        <w:trPr>
          <w:trHeight w:hRule="exact" w:val="109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sz w:val="24"/>
                <w:szCs w:val="24"/>
              </w:rPr>
            </w:pPr>
            <m:oMathPara>
              <m:oMath>
                <m:sPre>
                  <m:sPrePr>
                    <m:ctrlPr>
                      <w:rPr>
                        <w:rFonts w:ascii="Cambria Math" w:hAnsi="Cambria Math"/>
                        <w:i/>
                        <w:sz w:val="24"/>
                        <w:szCs w:val="24"/>
                      </w:rPr>
                    </m:ctrlPr>
                  </m:sPrePr>
                  <m:sub>
                    <m:r>
                      <m:rPr>
                        <m:sty m:val="bi"/>
                      </m:rPr>
                      <w:rPr>
                        <w:rFonts w:ascii="Cambria Math" w:hAnsi="Cambria Math"/>
                        <w:sz w:val="24"/>
                        <w:szCs w:val="24"/>
                      </w:rPr>
                      <m:t>R</m:t>
                    </m:r>
                  </m:sub>
                  <m:sup>
                    <m:r>
                      <m:rPr>
                        <m:sty m:val="bi"/>
                      </m:rPr>
                      <w:rPr>
                        <w:rFonts w:ascii="Cambria Math" w:hAnsi="Cambria Math"/>
                        <w:sz w:val="24"/>
                        <w:szCs w:val="24"/>
                      </w:rPr>
                      <m:t>Contr, Se,Sp</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i/>
                        <w:sz w:val="24"/>
                        <w:szCs w:val="24"/>
                      </w:rPr>
                    </m:ctrlPr>
                  </m:sPrePr>
                  <m:sub>
                    <m:r>
                      <m:rPr>
                        <m:sty m:val="bi"/>
                      </m:rPr>
                      <w:rPr>
                        <w:rFonts w:ascii="Cambria Math" w:hAnsi="Cambria Math"/>
                        <w:sz w:val="24"/>
                        <w:szCs w:val="24"/>
                      </w:rPr>
                      <m:t>R</m:t>
                    </m:r>
                  </m:sub>
                  <m:sup>
                    <m:r>
                      <m:rPr>
                        <m:sty m:val="bi"/>
                      </m:rPr>
                      <w:rPr>
                        <w:rFonts w:ascii="Cambria Math" w:hAnsi="Cambria Math"/>
                        <w:sz w:val="24"/>
                        <w:szCs w:val="24"/>
                      </w:rPr>
                      <m:t>Contr, Se,Sp</m:t>
                    </m:r>
                  </m:sup>
                  <m:e>
                    <m:sSubSup>
                      <m:sSubSupPr>
                        <m:ctrlPr>
                          <w:rPr>
                            <w:rFonts w:ascii="Cambria Math" w:hAnsi="Cambria Math"/>
                            <w:i/>
                            <w:sz w:val="24"/>
                            <w:szCs w:val="24"/>
                          </w:rPr>
                        </m:ctrlPr>
                      </m:sSubSupPr>
                      <m:e>
                        <m:r>
                          <m:rPr>
                            <m:sty m:val="bi"/>
                          </m:rPr>
                          <w:rPr>
                            <w:rFonts w:ascii="Cambria Math" w:hAnsi="Cambria Math"/>
                            <w:sz w:val="24"/>
                            <w:szCs w:val="24"/>
                          </w:rPr>
                          <m:t>μ</m:t>
                        </m:r>
                      </m:e>
                      <m:sub>
                        <m:r>
                          <m:rPr>
                            <m:sty m:val="bi"/>
                          </m:rPr>
                          <w:rPr>
                            <w:rFonts w:ascii="Cambria Math" w:hAnsi="Cambria Math"/>
                            <w:sz w:val="24"/>
                            <w:szCs w:val="24"/>
                          </w:rPr>
                          <m:t xml:space="preserve">i,2015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w Cen MT" w:hAnsi="Calibri" w:cs="Times New Roman"/>
                <w:sz w:val="24"/>
                <w:szCs w:val="24"/>
              </w:rPr>
            </w:pPr>
            <m:oMathPara>
              <m:oMath>
                <m:r>
                  <m:rPr>
                    <m:sty m:val="bi"/>
                  </m:rPr>
                  <w:rPr>
                    <w:rFonts w:ascii="Cambria Math" w:hAnsi="Cambria Math"/>
                    <w:sz w:val="24"/>
                    <w:szCs w:val="24"/>
                  </w:rPr>
                  <m:t>t&gt;2015</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Hipótese de que as taxas de participação de subconjuntos da população rural permanecem constante ao longo do tempo;</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886"/>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Calibri" w:hAnsi="Calibri" w:cs="Times New Roman"/>
                <w:b w:val="0"/>
                <w:sz w:val="24"/>
                <w:szCs w:val="24"/>
              </w:rPr>
            </w:pPr>
            <m:oMathPara>
              <m:oMath>
                <m:sPre>
                  <m:sPrePr>
                    <m:ctrlPr>
                      <w:rPr>
                        <w:rFonts w:ascii="Cambria Math" w:hAnsi="Cambria Math"/>
                        <w:b w:val="0"/>
                        <w:i/>
                        <w:sz w:val="24"/>
                        <w:szCs w:val="24"/>
                      </w:rPr>
                    </m:ctrlPr>
                  </m:sPrePr>
                  <m:sub>
                    <m:r>
                      <m:rPr>
                        <m:sty m:val="bi"/>
                      </m:rPr>
                      <w:rPr>
                        <w:rFonts w:ascii="Cambria Math" w:hAnsi="Cambria Math"/>
                        <w:sz w:val="24"/>
                        <w:szCs w:val="24"/>
                      </w:rPr>
                      <m:t>Up,Ua</m:t>
                    </m:r>
                  </m:sub>
                  <m:sup/>
                  <m:e>
                    <m:sSubSup>
                      <m:sSubSupPr>
                        <m:ctrlPr>
                          <w:rPr>
                            <w:rFonts w:ascii="Cambria Math" w:hAnsi="Cambria Math"/>
                            <w:b w:val="0"/>
                            <w:i/>
                            <w:sz w:val="24"/>
                            <w:szCs w:val="24"/>
                          </w:rPr>
                        </m:ctrlPr>
                      </m:sSubSupPr>
                      <m:e>
                        <m:r>
                          <m:rPr>
                            <m:sty m:val="bi"/>
                          </m:rPr>
                          <w:rPr>
                            <w:rFonts w:ascii="Cambria Math" w:hAnsi="Cambria Math"/>
                            <w:sz w:val="24"/>
                            <w:szCs w:val="24"/>
                          </w:rPr>
                          <m:t>F</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r>
                  <m:rPr>
                    <m:sty m:val="bi"/>
                  </m:rPr>
                  <w:rPr>
                    <w:rFonts w:ascii="Cambria Math" w:hAnsi="Cambria Math"/>
                    <w:sz w:val="24"/>
                    <w:szCs w:val="24"/>
                  </w:rPr>
                  <m:t>=</m:t>
                </m:r>
                <m:sPre>
                  <m:sPrePr>
                    <m:ctrlPr>
                      <w:rPr>
                        <w:rFonts w:ascii="Cambria Math" w:hAnsi="Cambria Math"/>
                        <w:b w:val="0"/>
                        <w:i/>
                        <w:sz w:val="24"/>
                        <w:szCs w:val="24"/>
                      </w:rPr>
                    </m:ctrlPr>
                  </m:sPrePr>
                  <m:sub>
                    <m:r>
                      <m:rPr>
                        <m:sty m:val="bi"/>
                      </m:rPr>
                      <w:rPr>
                        <w:rFonts w:ascii="Cambria Math" w:hAnsi="Cambria Math"/>
                        <w:sz w:val="24"/>
                        <w:szCs w:val="24"/>
                      </w:rPr>
                      <m:t>Up,Ua</m:t>
                    </m:r>
                  </m:sub>
                  <m:sup>
                    <m:r>
                      <m:rPr>
                        <m:sty m:val="bi"/>
                      </m:rPr>
                      <w:rPr>
                        <w:rFonts w:ascii="Cambria Math" w:hAnsi="Cambria Math"/>
                        <w:sz w:val="24"/>
                        <w:szCs w:val="24"/>
                      </w:rPr>
                      <m:t>Ocup</m:t>
                    </m:r>
                  </m:sup>
                  <m:e>
                    <m:sSubSup>
                      <m:sSubSupPr>
                        <m:ctrlPr>
                          <w:rPr>
                            <w:rFonts w:ascii="Cambria Math" w:hAnsi="Cambria Math"/>
                            <w:b w:val="0"/>
                            <w:i/>
                            <w:sz w:val="24"/>
                            <w:szCs w:val="24"/>
                          </w:rPr>
                        </m:ctrlPr>
                      </m:sSubSupPr>
                      <m:e>
                        <m:r>
                          <m:rPr>
                            <m:sty m:val="bi"/>
                          </m:rPr>
                          <w:rPr>
                            <w:rFonts w:ascii="Cambria Math" w:hAnsi="Cambria Math"/>
                            <w:sz w:val="24"/>
                            <w:szCs w:val="24"/>
                          </w:rPr>
                          <m:t>P</m:t>
                        </m:r>
                      </m:e>
                      <m:sub>
                        <m:r>
                          <m:rPr>
                            <m:sty m:val="bi"/>
                          </m:rPr>
                          <w:rPr>
                            <w:rFonts w:ascii="Cambria Math" w:hAnsi="Cambria Math"/>
                            <w:sz w:val="24"/>
                            <w:szCs w:val="24"/>
                          </w:rPr>
                          <m:t xml:space="preserve">i,t </m:t>
                        </m:r>
                      </m:sub>
                      <m:sup>
                        <m:r>
                          <m:rPr>
                            <m:sty m:val="bi"/>
                          </m:rPr>
                          <w:rPr>
                            <w:rFonts w:ascii="Cambria Math" w:hAnsi="Cambria Math"/>
                            <w:sz w:val="24"/>
                            <w:szCs w:val="24"/>
                          </w:rPr>
                          <m:t>s</m:t>
                        </m:r>
                      </m:sup>
                    </m:sSubSup>
                  </m:e>
                </m:sPre>
              </m:oMath>
            </m:oMathPara>
          </w:p>
          <w:p w:rsidR="00FF5C5E" w:rsidRPr="005B09F6" w:rsidRDefault="00FF5C5E" w:rsidP="00637C42">
            <w:pPr>
              <w:jc w:val="both"/>
              <w:rPr>
                <w:rFonts w:ascii="Calibri" w:eastAsia="Tw Cen MT" w:hAnsi="Calibri" w:cs="Times New Roman"/>
                <w:b w:val="0"/>
                <w:sz w:val="24"/>
                <w:szCs w:val="24"/>
              </w:rPr>
            </w:pPr>
            <m:oMathPara>
              <m:oMath>
                <m:r>
                  <m:rPr>
                    <m:sty m:val="bi"/>
                  </m:rPr>
                  <w:rPr>
                    <w:rFonts w:ascii="Cambria Math" w:hAnsi="Cambria Math"/>
                    <w:sz w:val="24"/>
                    <w:szCs w:val="24"/>
                  </w:rPr>
                  <m:t>t&gt;2015</m:t>
                </m:r>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Utiliza-se como conjunto de segurados (base de incidência de probabilidades de concessão de benefícios) a população ocupada urbana por faixa de valor; </w:t>
            </w:r>
          </w:p>
        </w:tc>
      </w:tr>
      <w:tr w:rsidR="00FF5C5E" w:rsidRPr="005B09F6" w:rsidTr="00637C42">
        <w:trPr>
          <w:trHeight w:hRule="exact" w:val="886"/>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SubSup>
                  <m:sSubSupPr>
                    <m:ctrlPr>
                      <w:rPr>
                        <w:rFonts w:ascii="Cambria Math" w:hAnsi="Cambria Math"/>
                        <w:i/>
                        <w:sz w:val="24"/>
                        <w:szCs w:val="24"/>
                      </w:rPr>
                    </m:ctrlPr>
                  </m:sSubSupPr>
                  <m:e>
                    <m:r>
                      <m:rPr>
                        <m:sty m:val="bi"/>
                      </m:rPr>
                      <w:rPr>
                        <w:rFonts w:ascii="Cambria Math" w:hAnsi="Cambria Math"/>
                        <w:sz w:val="24"/>
                        <w:szCs w:val="24"/>
                      </w:rPr>
                      <m:t>ν</m:t>
                    </m:r>
                  </m:e>
                  <m:sub>
                    <m:r>
                      <m:rPr>
                        <m:sty m:val="bi"/>
                      </m:rPr>
                      <w:rPr>
                        <w:rFonts w:ascii="Cambria Math" w:hAnsi="Cambria Math"/>
                        <w:sz w:val="24"/>
                        <w:szCs w:val="24"/>
                      </w:rPr>
                      <m:t>i±</m:t>
                    </m:r>
                    <m:sSub>
                      <m:sSubPr>
                        <m:ctrlPr>
                          <w:rPr>
                            <w:rFonts w:ascii="Cambria Math" w:hAnsi="Cambria Math"/>
                            <w:i/>
                            <w:sz w:val="24"/>
                            <w:szCs w:val="24"/>
                          </w:rPr>
                        </m:ctrlPr>
                      </m:sSubPr>
                      <m:e>
                        <m:r>
                          <m:rPr>
                            <m:sty m:val="bi"/>
                          </m:rPr>
                          <w:rPr>
                            <w:rFonts w:ascii="Cambria Math" w:hAnsi="Cambria Math"/>
                            <w:sz w:val="24"/>
                            <w:szCs w:val="24"/>
                          </w:rPr>
                          <m:t>D</m:t>
                        </m:r>
                      </m:e>
                      <m:sub>
                        <m:r>
                          <m:rPr>
                            <m:sty m:val="bi"/>
                          </m:rPr>
                          <w:rPr>
                            <w:rFonts w:ascii="Cambria Math" w:hAnsi="Cambria Math"/>
                            <w:sz w:val="24"/>
                            <w:szCs w:val="24"/>
                          </w:rPr>
                          <m:t>i, t</m:t>
                        </m:r>
                      </m:sub>
                    </m:sSub>
                    <m:r>
                      <m:rPr>
                        <m:sty m:val="bi"/>
                      </m:rPr>
                      <w:rPr>
                        <w:rFonts w:ascii="Cambria Math" w:hAnsi="Cambria Math"/>
                        <w:sz w:val="24"/>
                        <w:szCs w:val="24"/>
                      </w:rPr>
                      <m:t xml:space="preserve">,2015 </m:t>
                    </m:r>
                  </m:sub>
                  <m:sup>
                    <m:r>
                      <m:rPr>
                        <m:sty m:val="bi"/>
                      </m:rPr>
                      <w:rPr>
                        <w:rFonts w:ascii="Cambria Math" w:hAnsi="Cambria Math"/>
                        <w:sz w:val="24"/>
                        <w:szCs w:val="24"/>
                      </w:rPr>
                      <m:t>s</m:t>
                    </m:r>
                  </m:sup>
                </m:sSubSup>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Probabilidade de geração de Pensões em 2015 estimada como igual àquela observada em 2014 por meio de estimativa a partir de dados de registros administrativos</w:t>
            </w:r>
            <w:r w:rsidRPr="005B09F6">
              <w:rPr>
                <w:rFonts w:ascii="Calibri" w:hAnsi="Calibri"/>
                <w:sz w:val="24"/>
                <w:szCs w:val="24"/>
                <w:lang w:val="pt-BR"/>
              </w:rPr>
              <w:t>;</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886"/>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SubSup>
                  <m:sSubSupPr>
                    <m:ctrlPr>
                      <w:rPr>
                        <w:rFonts w:ascii="Cambria Math" w:hAnsi="Cambria Math"/>
                        <w:i/>
                        <w:sz w:val="24"/>
                        <w:szCs w:val="24"/>
                      </w:rPr>
                    </m:ctrlPr>
                  </m:sSubSupPr>
                  <m:e>
                    <m:r>
                      <m:rPr>
                        <m:sty m:val="bi"/>
                      </m:rPr>
                      <w:rPr>
                        <w:rFonts w:ascii="Cambria Math" w:hAnsi="Cambria Math"/>
                        <w:sz w:val="24"/>
                        <w:szCs w:val="24"/>
                      </w:rPr>
                      <m:t>ν</m:t>
                    </m:r>
                  </m:e>
                  <m:sub>
                    <m:r>
                      <m:rPr>
                        <m:sty m:val="bi"/>
                      </m:rPr>
                      <w:rPr>
                        <w:rFonts w:ascii="Cambria Math" w:hAnsi="Cambria Math"/>
                        <w:sz w:val="24"/>
                        <w:szCs w:val="24"/>
                      </w:rPr>
                      <m:t>i±</m:t>
                    </m:r>
                    <m:sSub>
                      <m:sSubPr>
                        <m:ctrlPr>
                          <w:rPr>
                            <w:rFonts w:ascii="Cambria Math" w:hAnsi="Cambria Math"/>
                            <w:i/>
                            <w:sz w:val="24"/>
                            <w:szCs w:val="24"/>
                          </w:rPr>
                        </m:ctrlPr>
                      </m:sSubPr>
                      <m:e>
                        <m:r>
                          <m:rPr>
                            <m:sty m:val="bi"/>
                          </m:rPr>
                          <w:rPr>
                            <w:rFonts w:ascii="Cambria Math" w:hAnsi="Cambria Math"/>
                            <w:sz w:val="24"/>
                            <w:szCs w:val="24"/>
                          </w:rPr>
                          <m:t>D</m:t>
                        </m:r>
                      </m:e>
                      <m:sub>
                        <m:r>
                          <m:rPr>
                            <m:sty m:val="bi"/>
                          </m:rPr>
                          <w:rPr>
                            <w:rFonts w:ascii="Cambria Math" w:hAnsi="Cambria Math"/>
                            <w:sz w:val="24"/>
                            <w:szCs w:val="24"/>
                          </w:rPr>
                          <m:t>i, t</m:t>
                        </m:r>
                      </m:sub>
                    </m:sSub>
                    <m:r>
                      <m:rPr>
                        <m:sty m:val="bi"/>
                      </m:rPr>
                      <w:rPr>
                        <w:rFonts w:ascii="Cambria Math" w:hAnsi="Cambria Math"/>
                        <w:sz w:val="24"/>
                        <w:szCs w:val="24"/>
                      </w:rPr>
                      <m:t xml:space="preserve">,t </m:t>
                    </m:r>
                  </m:sub>
                  <m:sup>
                    <m:r>
                      <m:rPr>
                        <m:sty m:val="bi"/>
                      </m:rPr>
                      <w:rPr>
                        <w:rFonts w:ascii="Cambria Math" w:hAnsi="Cambria Math"/>
                        <w:sz w:val="24"/>
                        <w:szCs w:val="24"/>
                      </w:rPr>
                      <m:t>s</m:t>
                    </m:r>
                  </m:sup>
                </m:sSubSup>
              </m:oMath>
            </m:oMathPara>
          </w:p>
          <w:p w:rsidR="00FF5C5E" w:rsidRPr="005B09F6" w:rsidRDefault="00FF5C5E" w:rsidP="00637C42">
            <w:pPr>
              <w:jc w:val="both"/>
              <w:rPr>
                <w:rFonts w:ascii="Calibri" w:eastAsia="Tw Cen MT" w:hAnsi="Calibri" w:cs="Times New Roman"/>
                <w:sz w:val="24"/>
                <w:szCs w:val="24"/>
              </w:rPr>
            </w:pPr>
            <m:oMathPara>
              <m:oMath>
                <m:r>
                  <m:rPr>
                    <m:sty m:val="bi"/>
                  </m:rPr>
                  <w:rPr>
                    <w:rFonts w:ascii="Cambria Math" w:hAnsi="Cambria Math"/>
                    <w:sz w:val="24"/>
                    <w:szCs w:val="24"/>
                  </w:rPr>
                  <m:t>t&gt;2015</m:t>
                </m:r>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Hipótese de que as probabilidades de geração de pensões permanecem constante ao longo do tempo;</w:t>
            </w:r>
          </w:p>
        </w:tc>
      </w:tr>
      <w:tr w:rsidR="00FF5C5E" w:rsidRPr="005B09F6" w:rsidTr="00637C42">
        <w:trPr>
          <w:trHeight w:hRule="exact" w:val="886"/>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Sub>
                  <m:sSubPr>
                    <m:ctrlPr>
                      <w:rPr>
                        <w:rFonts w:ascii="Cambria Math" w:hAnsi="Cambria Math"/>
                        <w:i/>
                        <w:sz w:val="24"/>
                        <w:szCs w:val="24"/>
                      </w:rPr>
                    </m:ctrlPr>
                  </m:sSubPr>
                  <m:e>
                    <m:r>
                      <m:rPr>
                        <m:sty m:val="bi"/>
                      </m:rPr>
                      <w:rPr>
                        <w:rFonts w:ascii="Cambria Math" w:hAnsi="Cambria Math"/>
                        <w:sz w:val="24"/>
                        <w:szCs w:val="24"/>
                      </w:rPr>
                      <m:t>D</m:t>
                    </m:r>
                  </m:e>
                  <m:sub>
                    <m:r>
                      <m:rPr>
                        <m:sty m:val="bi"/>
                      </m:rPr>
                      <w:rPr>
                        <w:rFonts w:ascii="Cambria Math" w:hAnsi="Cambria Math"/>
                        <w:sz w:val="24"/>
                        <w:szCs w:val="24"/>
                      </w:rPr>
                      <m:t>i, t</m:t>
                    </m:r>
                  </m:sub>
                </m:sSub>
                <m:r>
                  <m:rPr>
                    <m:sty m:val="bi"/>
                  </m:rPr>
                  <w:rPr>
                    <w:rFonts w:ascii="Cambria Math" w:eastAsia="Tw Cen MT" w:hAnsi="Cambria Math" w:cs="Times New Roman"/>
                    <w:sz w:val="24"/>
                    <w:szCs w:val="24"/>
                  </w:rPr>
                  <m:t>=4</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Hipótese de que o diferencial de idade médio entre cônjuges é de 4 anos;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644"/>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hAnsi="Calibri"/>
                <w:b w:val="0"/>
                <w:kern w:val="2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η</m:t>
                    </m:r>
                  </m:e>
                  <m:sub>
                    <m:r>
                      <m:rPr>
                        <m:sty m:val="bi"/>
                      </m:rPr>
                      <w:rPr>
                        <w:rFonts w:ascii="Cambria Math" w:hAnsi="Cambria Math"/>
                        <w:sz w:val="24"/>
                        <w:szCs w:val="24"/>
                      </w:rPr>
                      <m:t>t</m:t>
                    </m:r>
                  </m:sub>
                </m:sSub>
                <m:r>
                  <m:rPr>
                    <m:sty m:val="bi"/>
                  </m:rPr>
                  <w:rPr>
                    <w:rFonts w:ascii="Cambria Math" w:hAnsi="Cambria Math"/>
                    <w:sz w:val="24"/>
                    <w:szCs w:val="24"/>
                  </w:rPr>
                  <m:t>=1,7</m:t>
                </m:r>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Hipótese de que a produtividade média do trabalho vá crescer a uma taxa constante de 1,7% ao ano;</w:t>
            </w:r>
          </w:p>
        </w:tc>
      </w:tr>
      <w:tr w:rsidR="00FF5C5E" w:rsidRPr="005B09F6" w:rsidTr="00637C42">
        <w:trPr>
          <w:trHeight w:hRule="exact" w:val="770"/>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e>
                      <m:sub>
                        <m:r>
                          <m:rPr>
                            <m:sty m:val="bi"/>
                          </m:rPr>
                          <w:rPr>
                            <w:rFonts w:ascii="Cambria Math" w:hAnsi="Cambria Math"/>
                            <w:sz w:val="24"/>
                            <w:szCs w:val="24"/>
                          </w:rPr>
                          <m:t>t</m:t>
                        </m:r>
                      </m:sub>
                    </m:sSub>
                  </m:sub>
                </m:sSub>
                <m:r>
                  <m:rPr>
                    <m:sty m:val="bi"/>
                  </m:rPr>
                  <w:rPr>
                    <w:rFonts w:ascii="Cambria Math" w:hAnsi="Cambria Math"/>
                    <w:sz w:val="24"/>
                    <w:szCs w:val="24"/>
                  </w:rPr>
                  <m:t>=</m:t>
                </m:r>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r>
                          <m:rPr>
                            <m:sty m:val="bi"/>
                          </m:rPr>
                          <w:rPr>
                            <w:rFonts w:ascii="Cambria Math" w:hAnsi="Cambria Math"/>
                            <w:sz w:val="24"/>
                            <w:szCs w:val="24"/>
                          </w:rPr>
                          <m:t>Y</m:t>
                        </m:r>
                      </m:e>
                      <m:sub>
                        <m:r>
                          <m:rPr>
                            <m:sty m:val="bi"/>
                          </m:rPr>
                          <w:rPr>
                            <w:rFonts w:ascii="Cambria Math" w:hAnsi="Cambria Math"/>
                            <w:sz w:val="24"/>
                            <w:szCs w:val="24"/>
                          </w:rPr>
                          <m:t>t-2</m:t>
                        </m:r>
                      </m:sub>
                    </m:sSub>
                  </m:sub>
                </m:sSub>
                <m:r>
                  <m:rPr>
                    <m:sty m:val="bi"/>
                  </m:rPr>
                  <w:rPr>
                    <w:rFonts w:ascii="Cambria Math" w:hAnsi="Cambria Math"/>
                    <w:sz w:val="24"/>
                    <w:szCs w:val="24"/>
                  </w:rPr>
                  <m:t>,</m:t>
                </m:r>
              </m:oMath>
            </m:oMathPara>
          </w:p>
          <w:p w:rsidR="00FF5C5E" w:rsidRPr="005B09F6" w:rsidRDefault="00FF5C5E" w:rsidP="00637C42">
            <w:pPr>
              <w:jc w:val="both"/>
              <w:rPr>
                <w:rFonts w:ascii="Calibri" w:eastAsiaTheme="minorEastAsia" w:hAnsi="Calibri"/>
                <w:b w:val="0"/>
                <w:sz w:val="24"/>
                <w:szCs w:val="24"/>
              </w:rPr>
            </w:pPr>
            <m:oMathPara>
              <m:oMath>
                <m:r>
                  <m:rPr>
                    <m:sty m:val="bi"/>
                  </m:rPr>
                  <w:rPr>
                    <w:rFonts w:ascii="Cambria Math" w:hAnsi="Cambria Math"/>
                    <w:sz w:val="24"/>
                    <w:szCs w:val="24"/>
                  </w:rPr>
                  <m:t xml:space="preserve">t=2017, …, 2019 </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Manutenção da regra atual de valorização real do SM até 2019 (</w:t>
            </w:r>
            <w:r w:rsidRPr="005B09F6">
              <w:rPr>
                <w:rFonts w:ascii="Calibri" w:hAnsi="Calibri" w:cs="Times New Roman"/>
                <w:sz w:val="24"/>
                <w:szCs w:val="24"/>
                <w:lang w:val="pt-BR"/>
              </w:rPr>
              <w:t xml:space="preserve">Lei nº 13.152/2015);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770"/>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e>
                      <m:sub>
                        <m:r>
                          <m:rPr>
                            <m:sty m:val="bi"/>
                          </m:rPr>
                          <w:rPr>
                            <w:rFonts w:ascii="Cambria Math" w:hAnsi="Cambria Math"/>
                            <w:sz w:val="24"/>
                            <w:szCs w:val="24"/>
                          </w:rPr>
                          <m:t>t</m:t>
                        </m:r>
                      </m:sub>
                    </m:sSub>
                  </m:sub>
                </m:sSub>
                <m:r>
                  <m:rPr>
                    <m:sty m:val="bi"/>
                  </m:rPr>
                  <w:rPr>
                    <w:rFonts w:ascii="Cambria Math" w:hAnsi="Cambria Math"/>
                    <w:sz w:val="24"/>
                    <w:szCs w:val="24"/>
                  </w:rPr>
                  <m:t>=</m:t>
                </m:r>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r>
                          <m:rPr>
                            <m:sty m:val="bi"/>
                          </m:rPr>
                          <w:rPr>
                            <w:rFonts w:ascii="Cambria Math" w:hAnsi="Cambria Math"/>
                            <w:sz w:val="24"/>
                            <w:szCs w:val="24"/>
                          </w:rPr>
                          <m:t>Y</m:t>
                        </m:r>
                      </m:e>
                      <m:sub>
                        <m:r>
                          <m:rPr>
                            <m:sty m:val="bi"/>
                          </m:rPr>
                          <w:rPr>
                            <w:rFonts w:ascii="Cambria Math" w:hAnsi="Cambria Math"/>
                            <w:sz w:val="24"/>
                            <w:szCs w:val="24"/>
                          </w:rPr>
                          <m:t>t-2</m:t>
                        </m:r>
                      </m:sub>
                    </m:sSub>
                  </m:sub>
                </m:sSub>
                <m:r>
                  <m:rPr>
                    <m:sty m:val="bi"/>
                  </m:rPr>
                  <w:rPr>
                    <w:rFonts w:ascii="Cambria Math" w:hAnsi="Cambria Math"/>
                    <w:sz w:val="24"/>
                    <w:szCs w:val="24"/>
                  </w:rPr>
                  <m:t>,</m:t>
                </m:r>
              </m:oMath>
            </m:oMathPara>
          </w:p>
          <w:p w:rsidR="00FF5C5E" w:rsidRPr="005B09F6" w:rsidRDefault="00FF5C5E" w:rsidP="00637C42">
            <w:pPr>
              <w:jc w:val="both"/>
              <w:rPr>
                <w:rFonts w:ascii="Calibri" w:eastAsia="Tw Cen MT" w:hAnsi="Calibri" w:cs="Times New Roman"/>
                <w:sz w:val="24"/>
                <w:szCs w:val="24"/>
              </w:rPr>
            </w:pPr>
            <m:oMathPara>
              <m:oMath>
                <m:r>
                  <m:rPr>
                    <m:sty m:val="bi"/>
                  </m:rPr>
                  <w:rPr>
                    <w:rFonts w:ascii="Cambria Math" w:hAnsi="Cambria Math"/>
                    <w:sz w:val="24"/>
                    <w:szCs w:val="24"/>
                  </w:rPr>
                  <m:t>t&gt;2017</m:t>
                </m:r>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Hipótese de continuidade da regra atual de valorização real do SM; </w:t>
            </w:r>
          </w:p>
        </w:tc>
      </w:tr>
      <w:tr w:rsidR="00FF5C5E" w:rsidRPr="005B09F6" w:rsidTr="00637C42">
        <w:trPr>
          <w:trHeight w:hRule="exact" w:val="940"/>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Pre>
                      <m:sPrePr>
                        <m:ctrlPr>
                          <w:rPr>
                            <w:rFonts w:ascii="Cambria Math" w:eastAsiaTheme="minorEastAsia" w:hAnsi="Cambria Math"/>
                            <w:b w:val="0"/>
                            <w:i/>
                            <w:sz w:val="24"/>
                            <w:szCs w:val="24"/>
                          </w:rPr>
                        </m:ctrlPr>
                      </m:sPrePr>
                      <m:sub>
                        <m:r>
                          <m:rPr>
                            <m:sty m:val="bi"/>
                          </m:rPr>
                          <w:rPr>
                            <w:rFonts w:ascii="Cambria Math" w:eastAsiaTheme="minorEastAsia" w:hAnsi="Cambria Math"/>
                            <w:sz w:val="24"/>
                            <w:szCs w:val="24"/>
                          </w:rPr>
                          <m:t>R, Up</m:t>
                        </m:r>
                      </m:sub>
                      <m:sup>
                        <m:r>
                          <m:rPr>
                            <m:sty m:val="bi"/>
                          </m:rPr>
                          <w:rPr>
                            <w:rFonts w:ascii="Cambria Math" w:eastAsiaTheme="minorEastAsia" w:hAnsi="Cambria Math"/>
                            <w:sz w:val="24"/>
                            <w:szCs w:val="24"/>
                          </w:rPr>
                          <m:t>α,</m:t>
                        </m:r>
                        <m:r>
                          <m:rPr>
                            <m:sty m:val="bi"/>
                          </m:rPr>
                          <w:rPr>
                            <w:rFonts w:ascii="Cambria Math" w:hAnsi="Cambria Math"/>
                            <w:sz w:val="24"/>
                            <w:szCs w:val="24"/>
                          </w:rPr>
                          <m:t>δ, P,  L</m:t>
                        </m:r>
                      </m:sup>
                      <m:e>
                        <m:sSub>
                          <m:sSubPr>
                            <m:ctrlPr>
                              <w:rPr>
                                <w:rFonts w:ascii="Cambria Math" w:eastAsiaTheme="minorEastAsia" w:hAnsi="Cambria Math"/>
                                <w:b w:val="0"/>
                                <w:i/>
                                <w:sz w:val="24"/>
                                <w:szCs w:val="24"/>
                              </w:rPr>
                            </m:ctrlPr>
                          </m:sSubPr>
                          <m:e>
                            <m:r>
                              <m:rPr>
                                <m:sty m:val="bi"/>
                              </m:rPr>
                              <w:rPr>
                                <w:rFonts w:ascii="Cambria Math" w:hAnsi="Cambria Math"/>
                                <w:sz w:val="24"/>
                                <w:szCs w:val="24"/>
                              </w:rPr>
                              <m:t>μ</m:t>
                            </m:r>
                          </m:e>
                          <m:sub>
                            <m:r>
                              <m:rPr>
                                <m:sty m:val="bi"/>
                              </m:rPr>
                              <w:rPr>
                                <w:rFonts w:ascii="Cambria Math" w:eastAsiaTheme="minorEastAsia" w:hAnsi="Cambria Math"/>
                                <w:sz w:val="24"/>
                                <w:szCs w:val="24"/>
                              </w:rPr>
                              <m:t>t</m:t>
                            </m:r>
                          </m:sub>
                        </m:sSub>
                      </m:e>
                    </m:sPre>
                  </m:sub>
                </m:sSub>
                <m:r>
                  <m:rPr>
                    <m:sty m:val="bi"/>
                  </m:rPr>
                  <w:rPr>
                    <w:rFonts w:ascii="Cambria Math" w:hAnsi="Cambria Math"/>
                    <w:sz w:val="24"/>
                    <w:szCs w:val="24"/>
                  </w:rPr>
                  <m:t>=</m:t>
                </m:r>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e>
                      <m:sub>
                        <m:r>
                          <m:rPr>
                            <m:sty m:val="bi"/>
                          </m:rPr>
                          <w:rPr>
                            <w:rFonts w:ascii="Cambria Math" w:hAnsi="Cambria Math"/>
                            <w:sz w:val="24"/>
                            <w:szCs w:val="24"/>
                          </w:rPr>
                          <m:t>t</m:t>
                        </m:r>
                      </m:sub>
                    </m:sSub>
                  </m:sub>
                </m:sSub>
                <m:r>
                  <m:rPr>
                    <m:sty m:val="bi"/>
                  </m:rPr>
                  <w:rPr>
                    <w:rFonts w:ascii="Cambria Math" w:hAnsi="Cambria Math"/>
                    <w:sz w:val="24"/>
                    <w:szCs w:val="24"/>
                  </w:rPr>
                  <m:t>,</m:t>
                </m:r>
              </m:oMath>
            </m:oMathPara>
          </w:p>
          <w:p w:rsidR="00FF5C5E" w:rsidRPr="005B09F6" w:rsidRDefault="00FF5C5E" w:rsidP="00637C42">
            <w:pPr>
              <w:jc w:val="both"/>
              <w:rPr>
                <w:rFonts w:ascii="Calibri" w:hAnsi="Calibri"/>
                <w:b w:val="0"/>
                <w:kern w:val="20"/>
                <w:sz w:val="24"/>
                <w:szCs w:val="24"/>
              </w:rPr>
            </w:pPr>
            <m:oMathPara>
              <m:oMath>
                <m:r>
                  <m:rPr>
                    <m:sty m:val="bi"/>
                  </m:rPr>
                  <w:rPr>
                    <w:rFonts w:ascii="Cambria Math" w:hAnsi="Cambria Math"/>
                    <w:sz w:val="24"/>
                    <w:szCs w:val="24"/>
                  </w:rPr>
                  <m:t xml:space="preserve"> t&gt;2017</m:t>
                </m:r>
              </m:oMath>
            </m:oMathPara>
          </w:p>
        </w:tc>
        <w:tc>
          <w:tcPr>
            <w:tcW w:w="5953" w:type="dxa"/>
            <w:shd w:val="clear" w:color="auto" w:fill="FFFFFF" w:themeFill="background1"/>
            <w:vAlign w:val="center"/>
          </w:tcPr>
          <w:p w:rsidR="00FF5C5E" w:rsidRPr="005B09F6" w:rsidRDefault="00FF5C5E" w:rsidP="00637C42">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Hipótese de manutenção da vinculação entre os pisos previdenciário e assistencial e o SM; </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710"/>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hAnsi="Calibri"/>
                <w:b w:val="0"/>
                <w:kern w:val="20"/>
                <w:sz w:val="24"/>
                <w:szCs w:val="24"/>
              </w:rPr>
            </w:pPr>
            <m:oMathPara>
              <m:oMath>
                <m:sPre>
                  <m:sPrePr>
                    <m:ctrlPr>
                      <w:rPr>
                        <w:rFonts w:ascii="Cambria Math" w:eastAsiaTheme="minorEastAsia" w:hAnsi="Cambria Math"/>
                        <w:b w:val="0"/>
                        <w:i/>
                        <w:sz w:val="24"/>
                        <w:szCs w:val="24"/>
                      </w:rPr>
                    </m:ctrlPr>
                  </m:sPrePr>
                  <m:sub>
                    <m:r>
                      <m:rPr>
                        <m:sty m:val="bi"/>
                      </m:rPr>
                      <w:rPr>
                        <w:rFonts w:ascii="Cambria Math" w:eastAsiaTheme="minorEastAsia" w:hAnsi="Cambria Math"/>
                        <w:sz w:val="24"/>
                        <w:szCs w:val="24"/>
                      </w:rPr>
                      <m:t>R, Up</m:t>
                    </m:r>
                  </m:sub>
                  <m:sup>
                    <m:r>
                      <m:rPr>
                        <m:sty m:val="bi"/>
                      </m:rPr>
                      <w:rPr>
                        <w:rFonts w:ascii="Cambria Math" w:eastAsiaTheme="minorEastAsia" w:hAnsi="Cambria Math"/>
                        <w:sz w:val="24"/>
                        <w:szCs w:val="24"/>
                      </w:rPr>
                      <m:t>α,</m:t>
                    </m:r>
                    <m:r>
                      <m:rPr>
                        <m:sty m:val="bi"/>
                      </m:rPr>
                      <w:rPr>
                        <w:rFonts w:ascii="Cambria Math" w:hAnsi="Cambria Math"/>
                        <w:sz w:val="24"/>
                        <w:szCs w:val="24"/>
                      </w:rPr>
                      <m:t>δ, P, L</m:t>
                    </m:r>
                  </m:sup>
                  <m:e>
                    <m:sSub>
                      <m:sSubPr>
                        <m:ctrlPr>
                          <w:rPr>
                            <w:rFonts w:ascii="Cambria Math" w:eastAsiaTheme="minorEastAsia" w:hAnsi="Cambria Math"/>
                            <w:b w:val="0"/>
                            <w:i/>
                            <w:sz w:val="24"/>
                            <w:szCs w:val="24"/>
                          </w:rPr>
                        </m:ctrlPr>
                      </m:sSubPr>
                      <m:e>
                        <m:r>
                          <m:rPr>
                            <m:sty m:val="bi"/>
                          </m:rPr>
                          <w:rPr>
                            <w:rFonts w:ascii="Cambria Math" w:eastAsiaTheme="minorEastAsia" w:hAnsi="Cambria Math"/>
                            <w:sz w:val="24"/>
                            <w:szCs w:val="24"/>
                          </w:rPr>
                          <m:t>n</m:t>
                        </m:r>
                      </m:e>
                      <m:sub>
                        <m:r>
                          <m:rPr>
                            <m:sty m:val="bi"/>
                          </m:rPr>
                          <w:rPr>
                            <w:rFonts w:ascii="Cambria Math" w:eastAsiaTheme="minorEastAsia" w:hAnsi="Cambria Math"/>
                            <w:sz w:val="24"/>
                            <w:szCs w:val="24"/>
                          </w:rPr>
                          <m:t>t</m:t>
                        </m:r>
                      </m:sub>
                    </m:sSub>
                  </m:e>
                </m:sPre>
                <m:r>
                  <m:rPr>
                    <m:sty m:val="bi"/>
                  </m:rPr>
                  <w:rPr>
                    <w:rFonts w:ascii="Cambria Math" w:eastAsiaTheme="minorEastAsia" w:hAnsi="Cambria Math"/>
                    <w:sz w:val="24"/>
                    <w:szCs w:val="24"/>
                  </w:rPr>
                  <m:t>=</m:t>
                </m:r>
                <m:sPre>
                  <m:sPrePr>
                    <m:ctrlPr>
                      <w:rPr>
                        <w:rFonts w:ascii="Cambria Math" w:eastAsiaTheme="minorEastAsia" w:hAnsi="Cambria Math"/>
                        <w:b w:val="0"/>
                        <w:i/>
                        <w:sz w:val="24"/>
                        <w:szCs w:val="24"/>
                      </w:rPr>
                    </m:ctrlPr>
                  </m:sPrePr>
                  <m:sub>
                    <m:r>
                      <m:rPr>
                        <m:sty m:val="bi"/>
                      </m:rPr>
                      <w:rPr>
                        <w:rFonts w:ascii="Cambria Math" w:eastAsiaTheme="minorEastAsia" w:hAnsi="Cambria Math"/>
                        <w:sz w:val="24"/>
                        <w:szCs w:val="24"/>
                      </w:rPr>
                      <m:t>R, Up</m:t>
                    </m:r>
                  </m:sub>
                  <m:sup>
                    <m:r>
                      <m:rPr>
                        <m:sty m:val="bi"/>
                      </m:rPr>
                      <w:rPr>
                        <w:rFonts w:ascii="Cambria Math" w:eastAsiaTheme="minorEastAsia" w:hAnsi="Cambria Math"/>
                        <w:sz w:val="24"/>
                        <w:szCs w:val="24"/>
                      </w:rPr>
                      <m:t>α,</m:t>
                    </m:r>
                    <m:r>
                      <m:rPr>
                        <m:sty m:val="bi"/>
                      </m:rPr>
                      <w:rPr>
                        <w:rFonts w:ascii="Cambria Math" w:hAnsi="Cambria Math"/>
                        <w:sz w:val="24"/>
                        <w:szCs w:val="24"/>
                      </w:rPr>
                      <m:t>δ, P, L</m:t>
                    </m:r>
                  </m:sup>
                  <m:e>
                    <m:sSub>
                      <m:sSubPr>
                        <m:ctrlPr>
                          <w:rPr>
                            <w:rFonts w:ascii="Cambria Math" w:eastAsiaTheme="minorEastAsia" w:hAnsi="Cambria Math"/>
                            <w:b w:val="0"/>
                            <w:i/>
                            <w:sz w:val="24"/>
                            <w:szCs w:val="24"/>
                          </w:rPr>
                        </m:ctrlPr>
                      </m:sSubPr>
                      <m:e>
                        <m:r>
                          <m:rPr>
                            <m:sty m:val="bi"/>
                          </m:rPr>
                          <w:rPr>
                            <w:rFonts w:ascii="Cambria Math" w:eastAsiaTheme="minorEastAsia" w:hAnsi="Cambria Math"/>
                            <w:sz w:val="24"/>
                            <w:szCs w:val="24"/>
                          </w:rPr>
                          <m:t>n</m:t>
                        </m:r>
                      </m:e>
                      <m:sub>
                        <m:r>
                          <m:rPr>
                            <m:sty m:val="bi"/>
                          </m:rPr>
                          <w:rPr>
                            <w:rFonts w:ascii="Cambria Math" w:eastAsiaTheme="minorEastAsia" w:hAnsi="Cambria Math"/>
                            <w:sz w:val="24"/>
                            <w:szCs w:val="24"/>
                          </w:rPr>
                          <m:t>2015</m:t>
                        </m:r>
                      </m:sub>
                    </m:sSub>
                  </m:e>
                </m:sPre>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Hipótese de que o número médio de pagamentos mensais de cada benefício seja constante ao longo do tempo; </w:t>
            </w:r>
          </w:p>
        </w:tc>
      </w:tr>
      <w:tr w:rsidR="00FF5C5E" w:rsidRPr="005B09F6" w:rsidTr="00637C42">
        <w:trPr>
          <w:trHeight w:hRule="exact" w:val="110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heme="minorEastAsia" w:hAnsi="Calibri"/>
                <w:b w:val="0"/>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β</m:t>
                    </m:r>
                  </m:e>
                  <m:sub>
                    <m:sSub>
                      <m:sSubPr>
                        <m:ctrlPr>
                          <w:rPr>
                            <w:rFonts w:ascii="Cambria Math" w:hAnsi="Cambria Math"/>
                            <w:b w:val="0"/>
                            <w:i/>
                            <w:sz w:val="24"/>
                            <w:szCs w:val="24"/>
                          </w:rPr>
                        </m:ctrlPr>
                      </m:sSubPr>
                      <m:e>
                        <m:r>
                          <m:rPr>
                            <m:sty m:val="bi"/>
                          </m:rPr>
                          <w:rPr>
                            <w:rFonts w:ascii="Cambria Math" w:hAnsi="Cambria Math"/>
                            <w:sz w:val="24"/>
                            <w:szCs w:val="24"/>
                          </w:rPr>
                          <m:t>Y</m:t>
                        </m:r>
                      </m:e>
                      <m:sub>
                        <m:r>
                          <m:rPr>
                            <m:sty m:val="bi"/>
                          </m:rPr>
                          <w:rPr>
                            <w:rFonts w:ascii="Cambria Math" w:hAnsi="Cambria Math"/>
                            <w:sz w:val="24"/>
                            <w:szCs w:val="24"/>
                          </w:rPr>
                          <m:t>t</m:t>
                        </m:r>
                      </m:sub>
                    </m:sSub>
                  </m:sub>
                </m:sSub>
                <m:r>
                  <m:rPr>
                    <m:sty m:val="bi"/>
                  </m:rPr>
                  <w:rPr>
                    <w:rFonts w:ascii="Cambria Math" w:hAnsi="Cambria Math"/>
                    <w:sz w:val="24"/>
                    <w:szCs w:val="24"/>
                  </w:rPr>
                  <m:t xml:space="preserve">, </m:t>
                </m:r>
              </m:oMath>
            </m:oMathPara>
          </w:p>
          <w:p w:rsidR="00FF5C5E" w:rsidRPr="005B09F6" w:rsidRDefault="00FF5C5E" w:rsidP="00637C42">
            <w:pPr>
              <w:jc w:val="both"/>
              <w:rPr>
                <w:rFonts w:ascii="Calibri" w:eastAsia="Tw Cen MT" w:hAnsi="Calibri" w:cs="Times New Roman"/>
                <w:b w:val="0"/>
                <w:sz w:val="24"/>
                <w:szCs w:val="24"/>
              </w:rPr>
            </w:pPr>
            <m:oMathPara>
              <m:oMath>
                <m:r>
                  <m:rPr>
                    <m:sty m:val="bi"/>
                  </m:rPr>
                  <w:rPr>
                    <w:rFonts w:ascii="Cambria Math" w:hAnsi="Cambria Math"/>
                    <w:sz w:val="24"/>
                    <w:szCs w:val="24"/>
                  </w:rPr>
                  <m:t>t=2017, …, 2020</m:t>
                </m:r>
              </m:oMath>
            </m:oMathPara>
          </w:p>
        </w:tc>
        <w:tc>
          <w:tcPr>
            <w:tcW w:w="5953" w:type="dxa"/>
            <w:shd w:val="clear" w:color="auto" w:fill="FFFFFF" w:themeFill="background1"/>
            <w:vAlign w:val="center"/>
          </w:tcPr>
          <w:p w:rsidR="00FF5C5E" w:rsidRPr="005B09F6" w:rsidRDefault="00FF5C5E" w:rsidP="00724256">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Taxa de </w:t>
            </w:r>
            <w:r w:rsidR="00711CA6" w:rsidRPr="005B09F6">
              <w:rPr>
                <w:rFonts w:ascii="Calibri" w:hAnsi="Calibri"/>
                <w:kern w:val="20"/>
                <w:sz w:val="24"/>
                <w:szCs w:val="24"/>
                <w:lang w:val="pt-BR"/>
              </w:rPr>
              <w:t>crescimento real do PIB até 2020</w:t>
            </w:r>
            <w:r w:rsidRPr="005B09F6">
              <w:rPr>
                <w:rFonts w:ascii="Calibri" w:hAnsi="Calibri"/>
                <w:kern w:val="20"/>
                <w:sz w:val="24"/>
                <w:szCs w:val="24"/>
                <w:lang w:val="pt-BR"/>
              </w:rPr>
              <w:t xml:space="preserve"> extraída da Grade de Parâmetros Macroeconômicos produzidos pela Secretaria de Política Econômica do Ministério da Fazenda (SPE/MF) de 1</w:t>
            </w:r>
            <w:r w:rsidR="00724256" w:rsidRPr="005B09F6">
              <w:rPr>
                <w:rFonts w:ascii="Calibri" w:hAnsi="Calibri"/>
                <w:kern w:val="20"/>
                <w:sz w:val="24"/>
                <w:szCs w:val="24"/>
                <w:lang w:val="pt-BR"/>
              </w:rPr>
              <w:t>3</w:t>
            </w:r>
            <w:r w:rsidRPr="005B09F6">
              <w:rPr>
                <w:rFonts w:ascii="Calibri" w:hAnsi="Calibri"/>
                <w:kern w:val="20"/>
                <w:sz w:val="24"/>
                <w:szCs w:val="24"/>
                <w:lang w:val="pt-BR"/>
              </w:rPr>
              <w:t>/</w:t>
            </w:r>
            <w:r w:rsidR="00724256" w:rsidRPr="005B09F6">
              <w:rPr>
                <w:rFonts w:ascii="Calibri" w:hAnsi="Calibri"/>
                <w:kern w:val="20"/>
                <w:sz w:val="24"/>
                <w:szCs w:val="24"/>
                <w:lang w:val="pt-BR"/>
              </w:rPr>
              <w:t>03/2017</w:t>
            </w:r>
            <w:r w:rsidRPr="005B09F6">
              <w:rPr>
                <w:rFonts w:ascii="Calibri" w:hAnsi="Calibri"/>
                <w:kern w:val="20"/>
                <w:sz w:val="24"/>
                <w:szCs w:val="24"/>
                <w:lang w:val="pt-BR"/>
              </w:rPr>
              <w:t>;</w:t>
            </w:r>
          </w:p>
        </w:tc>
      </w:tr>
      <w:tr w:rsidR="00FF5C5E" w:rsidRPr="005B09F6" w:rsidTr="00637C42">
        <w:trPr>
          <w:cnfStyle w:val="000000100000" w:firstRow="0" w:lastRow="0" w:firstColumn="0" w:lastColumn="0" w:oddVBand="0" w:evenVBand="0" w:oddHBand="1" w:evenHBand="0" w:firstRowFirstColumn="0" w:firstRowLastColumn="0" w:lastRowFirstColumn="0" w:lastRowLastColumn="0"/>
          <w:trHeight w:hRule="exact" w:val="1102"/>
        </w:trPr>
        <w:tc>
          <w:tcPr>
            <w:cnfStyle w:val="001000000000" w:firstRow="0" w:lastRow="0" w:firstColumn="1" w:lastColumn="0" w:oddVBand="0" w:evenVBand="0" w:oddHBand="0" w:evenHBand="0" w:firstRowFirstColumn="0" w:firstRowLastColumn="0" w:lastRowFirstColumn="0" w:lastRowLastColumn="0"/>
            <w:tcW w:w="3823" w:type="dxa"/>
            <w:shd w:val="clear" w:color="auto" w:fill="FFFFFF" w:themeFill="background1"/>
            <w:vAlign w:val="center"/>
          </w:tcPr>
          <w:p w:rsidR="00FF5C5E" w:rsidRPr="005B09F6" w:rsidRDefault="00CB65A3" w:rsidP="00637C42">
            <w:pPr>
              <w:jc w:val="both"/>
              <w:rPr>
                <w:rFonts w:ascii="Calibri" w:eastAsia="Tw Cen MT" w:hAnsi="Calibri" w:cs="Times New Roman"/>
                <w:sz w:val="24"/>
                <w:szCs w:val="24"/>
              </w:rPr>
            </w:pPr>
            <m:oMathPara>
              <m:oMath>
                <m:sPre>
                  <m:sPrePr>
                    <m:ctrlPr>
                      <w:rPr>
                        <w:rFonts w:ascii="Cambria Math" w:eastAsiaTheme="minorEastAsia" w:hAnsi="Cambria Math"/>
                        <w:i/>
                        <w:sz w:val="24"/>
                        <w:szCs w:val="24"/>
                      </w:rPr>
                    </m:ctrlPr>
                  </m:sPrePr>
                  <m:sub>
                    <m:r>
                      <m:rPr>
                        <m:sty m:val="bi"/>
                      </m:rPr>
                      <w:rPr>
                        <w:rFonts w:ascii="Cambria Math" w:eastAsiaTheme="minorEastAsia" w:hAnsi="Cambria Math"/>
                        <w:sz w:val="24"/>
                        <w:szCs w:val="24"/>
                      </w:rPr>
                      <m:t>Ua</m:t>
                    </m:r>
                  </m:sub>
                  <m:sup>
                    <m:r>
                      <m:rPr>
                        <m:sty m:val="bi"/>
                      </m:rPr>
                      <w:rPr>
                        <w:rFonts w:ascii="Cambria Math" w:hAnsi="Cambria Math"/>
                        <w:sz w:val="24"/>
                        <w:szCs w:val="24"/>
                      </w:rPr>
                      <m:t>α,P</m:t>
                    </m:r>
                  </m:sup>
                  <m:e>
                    <m:sSub>
                      <m:sSubPr>
                        <m:ctrlPr>
                          <w:rPr>
                            <w:rFonts w:ascii="Cambria Math" w:eastAsiaTheme="minorEastAsia" w:hAnsi="Cambria Math"/>
                            <w:i/>
                            <w:sz w:val="24"/>
                            <w:szCs w:val="24"/>
                          </w:rPr>
                        </m:ctrlPr>
                      </m:sSubPr>
                      <m:e>
                        <m:r>
                          <m:rPr>
                            <m:sty m:val="bi"/>
                          </m:rPr>
                          <w:rPr>
                            <w:rFonts w:ascii="Cambria Math" w:hAnsi="Cambria Math"/>
                            <w:sz w:val="24"/>
                            <w:szCs w:val="24"/>
                          </w:rPr>
                          <m:t>β</m:t>
                        </m:r>
                      </m:e>
                      <m:sub>
                        <m:r>
                          <m:rPr>
                            <m:sty m:val="bi"/>
                          </m:rPr>
                          <w:rPr>
                            <w:rFonts w:ascii="Cambria Math" w:eastAsiaTheme="minorEastAsia" w:hAnsi="Cambria Math"/>
                            <w:sz w:val="24"/>
                            <w:szCs w:val="24"/>
                          </w:rPr>
                          <m:t>t</m:t>
                        </m:r>
                      </m:sub>
                    </m:sSub>
                  </m:e>
                </m:sPre>
                <m:r>
                  <m:rPr>
                    <m:sty m:val="bi"/>
                  </m:rPr>
                  <w:rPr>
                    <w:rFonts w:ascii="Cambria Math" w:eastAsia="Tw Cen MT" w:hAnsi="Cambria Math" w:cs="Times New Roman"/>
                    <w:sz w:val="24"/>
                    <w:szCs w:val="24"/>
                  </w:rPr>
                  <m:t>=0</m:t>
                </m:r>
              </m:oMath>
            </m:oMathPara>
          </w:p>
          <w:p w:rsidR="00FF5C5E" w:rsidRPr="005B09F6" w:rsidRDefault="00FF5C5E" w:rsidP="00637C42">
            <w:pPr>
              <w:jc w:val="both"/>
              <w:rPr>
                <w:rFonts w:ascii="Calibri" w:eastAsia="Tw Cen MT" w:hAnsi="Calibri" w:cs="Times New Roman"/>
                <w:b w:val="0"/>
                <w:sz w:val="24"/>
                <w:szCs w:val="24"/>
              </w:rPr>
            </w:pPr>
            <m:oMathPara>
              <m:oMath>
                <m:r>
                  <m:rPr>
                    <m:sty m:val="bi"/>
                  </m:rPr>
                  <w:rPr>
                    <w:rFonts w:ascii="Cambria Math" w:hAnsi="Cambria Math"/>
                    <w:sz w:val="24"/>
                    <w:szCs w:val="24"/>
                  </w:rPr>
                  <m:t>t&gt;2017</m:t>
                </m:r>
              </m:oMath>
            </m:oMathPara>
          </w:p>
        </w:tc>
        <w:tc>
          <w:tcPr>
            <w:tcW w:w="5953" w:type="dxa"/>
            <w:shd w:val="clear" w:color="auto" w:fill="FFFFFF" w:themeFill="background1"/>
            <w:vAlign w:val="center"/>
          </w:tcPr>
          <w:p w:rsidR="00FF5C5E" w:rsidRPr="005B09F6" w:rsidRDefault="00FF5C5E" w:rsidP="00637C42">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hAnsi="Calibri"/>
                <w:kern w:val="20"/>
                <w:sz w:val="24"/>
                <w:szCs w:val="24"/>
                <w:lang w:val="pt-BR"/>
              </w:rPr>
              <w:t xml:space="preserve">Hipótese de que os valores dos benefícios acima do SM não tenham crescimento real (somente reajuste nominal); </w:t>
            </w:r>
          </w:p>
        </w:tc>
      </w:tr>
    </w:tbl>
    <w:p w:rsidR="00FF5C5E" w:rsidRPr="005B09F6" w:rsidRDefault="00FF5C5E" w:rsidP="00FF5C5E">
      <w:pPr>
        <w:spacing w:line="360" w:lineRule="auto"/>
        <w:jc w:val="both"/>
        <w:rPr>
          <w:rFonts w:ascii="Calibri" w:eastAsiaTheme="minorEastAsia" w:hAnsi="Calibri"/>
          <w:sz w:val="24"/>
          <w:szCs w:val="24"/>
        </w:rPr>
      </w:pPr>
    </w:p>
    <w:p w:rsidR="00735D74" w:rsidRPr="005B09F6" w:rsidRDefault="00735D74"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FF5C5E">
      <w:pPr>
        <w:spacing w:line="360" w:lineRule="auto"/>
        <w:jc w:val="both"/>
        <w:rPr>
          <w:rFonts w:ascii="Calibri" w:eastAsiaTheme="minorEastAsia" w:hAnsi="Calibri"/>
          <w:sz w:val="24"/>
          <w:szCs w:val="24"/>
        </w:rPr>
      </w:pPr>
    </w:p>
    <w:p w:rsidR="00285E11" w:rsidRPr="005B09F6" w:rsidRDefault="00285E11" w:rsidP="00511A13">
      <w:pPr>
        <w:pStyle w:val="Ttulo1"/>
        <w:rPr>
          <w:rFonts w:ascii="Calibri" w:hAnsi="Calibri"/>
          <w:sz w:val="24"/>
          <w:szCs w:val="24"/>
        </w:rPr>
      </w:pPr>
      <w:bookmarkStart w:id="170" w:name="_Toc479081353"/>
      <w:r w:rsidRPr="005B09F6">
        <w:rPr>
          <w:rFonts w:ascii="Calibri" w:hAnsi="Calibri"/>
          <w:sz w:val="24"/>
          <w:szCs w:val="24"/>
        </w:rPr>
        <w:t>Anexo – Lista de Siglas e Abreviaturas do Modelo de Projeção</w:t>
      </w:r>
      <w:bookmarkEnd w:id="170"/>
    </w:p>
    <w:tbl>
      <w:tblPr>
        <w:tblStyle w:val="TabeladeGrade4-nfase2"/>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3539"/>
        <w:gridCol w:w="6237"/>
      </w:tblGrid>
      <w:tr w:rsidR="00285E11" w:rsidRPr="005B09F6" w:rsidTr="00285E11">
        <w:trPr>
          <w:cnfStyle w:val="100000000000" w:firstRow="1" w:lastRow="0" w:firstColumn="0" w:lastColumn="0" w:oddVBand="0" w:evenVBand="0" w:oddHBand="0" w:evenHBand="0" w:firstRowFirstColumn="0" w:firstRowLastColumn="0" w:lastRowFirstColumn="0" w:lastRowLastColumn="0"/>
          <w:trHeight w:hRule="exact" w:val="1007"/>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right w:val="none" w:sz="0" w:space="0" w:color="auto"/>
            </w:tcBorders>
            <w:shd w:val="clear" w:color="auto" w:fill="FFFFFF" w:themeFill="background1"/>
            <w:vAlign w:val="center"/>
          </w:tcPr>
          <w:p w:rsidR="00285E11" w:rsidRPr="005B09F6" w:rsidRDefault="00285E11" w:rsidP="005C70D4">
            <w:pPr>
              <w:jc w:val="center"/>
              <w:rPr>
                <w:rFonts w:ascii="Calibri" w:hAnsi="Calibri"/>
                <w:i/>
                <w:color w:val="auto"/>
                <w:kern w:val="20"/>
                <w:sz w:val="24"/>
                <w:szCs w:val="24"/>
              </w:rPr>
            </w:pPr>
            <w:proofErr w:type="spellStart"/>
            <w:r w:rsidRPr="005B09F6">
              <w:rPr>
                <w:rFonts w:ascii="Calibri" w:hAnsi="Calibri"/>
                <w:i/>
                <w:color w:val="auto"/>
                <w:kern w:val="20"/>
                <w:sz w:val="24"/>
                <w:szCs w:val="24"/>
              </w:rPr>
              <w:t>Notação</w:t>
            </w:r>
            <w:proofErr w:type="spellEnd"/>
          </w:p>
        </w:tc>
        <w:tc>
          <w:tcPr>
            <w:tcW w:w="6237" w:type="dxa"/>
            <w:tcBorders>
              <w:left w:val="none" w:sz="0" w:space="0" w:color="auto"/>
              <w:right w:val="none" w:sz="0" w:space="0" w:color="auto"/>
            </w:tcBorders>
            <w:shd w:val="clear" w:color="auto" w:fill="FFFFFF" w:themeFill="background1"/>
            <w:vAlign w:val="center"/>
          </w:tcPr>
          <w:p w:rsidR="00285E11" w:rsidRPr="005B09F6" w:rsidRDefault="00285E11" w:rsidP="005C70D4">
            <w:pPr>
              <w:jc w:val="center"/>
              <w:cnfStyle w:val="100000000000" w:firstRow="1" w:lastRow="0" w:firstColumn="0" w:lastColumn="0" w:oddVBand="0" w:evenVBand="0" w:oddHBand="0" w:evenHBand="0" w:firstRowFirstColumn="0" w:firstRowLastColumn="0" w:lastRowFirstColumn="0" w:lastRowLastColumn="0"/>
              <w:rPr>
                <w:rFonts w:ascii="Calibri" w:hAnsi="Calibri"/>
                <w:color w:val="auto"/>
                <w:kern w:val="20"/>
                <w:sz w:val="24"/>
                <w:szCs w:val="24"/>
              </w:rPr>
            </w:pPr>
            <w:proofErr w:type="spellStart"/>
            <w:r w:rsidRPr="005B09F6">
              <w:rPr>
                <w:rFonts w:ascii="Calibri" w:hAnsi="Calibri"/>
                <w:i/>
                <w:color w:val="auto"/>
                <w:kern w:val="20"/>
                <w:sz w:val="24"/>
                <w:szCs w:val="24"/>
              </w:rPr>
              <w:t>Descrição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2683C6" w:themeColor="accent2"/>
            </w:tcBorders>
            <w:shd w:val="clear" w:color="auto" w:fill="FFFFFF" w:themeFill="background1"/>
            <w:vAlign w:val="center"/>
          </w:tcPr>
          <w:p w:rsidR="00285E11" w:rsidRPr="005B09F6" w:rsidRDefault="00C86510" w:rsidP="005C70D4">
            <w:pPr>
              <w:jc w:val="both"/>
              <w:rPr>
                <w:rFonts w:ascii="Calibri" w:eastAsiaTheme="minorEastAsia" w:hAnsi="Calibri"/>
                <w:b w:val="0"/>
                <w:i/>
                <w:sz w:val="24"/>
                <w:szCs w:val="24"/>
              </w:rPr>
            </w:pPr>
            <m:oMathPara>
              <m:oMath>
                <m:r>
                  <m:rPr>
                    <m:sty m:val="bi"/>
                  </m:rPr>
                  <w:rPr>
                    <w:rFonts w:ascii="Cambria Math" w:hAnsi="Cambria Math"/>
                    <w:sz w:val="24"/>
                    <w:szCs w:val="24"/>
                  </w:rPr>
                  <m:t>α</m:t>
                </m:r>
              </m:oMath>
            </m:oMathPara>
          </w:p>
        </w:tc>
        <w:tc>
          <w:tcPr>
            <w:tcW w:w="6237" w:type="dxa"/>
            <w:tcBorders>
              <w:top w:val="single" w:sz="4" w:space="0" w:color="2683C6" w:themeColor="accent2"/>
            </w:tcBorders>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rPr>
            </w:pPr>
            <w:proofErr w:type="spellStart"/>
            <w:r w:rsidRPr="005B09F6">
              <w:rPr>
                <w:rFonts w:ascii="Calibri" w:eastAsiaTheme="minorEastAsia" w:hAnsi="Calibri"/>
                <w:sz w:val="24"/>
                <w:szCs w:val="24"/>
              </w:rPr>
              <w:t>Aposentadorias</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β</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 xml:space="preserve">Taxa de </w:t>
            </w:r>
            <w:proofErr w:type="spellStart"/>
            <w:r w:rsidRPr="005B09F6">
              <w:rPr>
                <w:rFonts w:ascii="Calibri" w:eastAsiaTheme="minorEastAsia" w:hAnsi="Calibri"/>
                <w:sz w:val="24"/>
                <w:szCs w:val="24"/>
              </w:rPr>
              <w:t>crescimento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eastAsia="Calibri" w:hAnsi="Calibri" w:cs="Times New Roman"/>
                <w:b w:val="0"/>
                <w:bCs w:val="0"/>
                <w:i/>
                <w:sz w:val="24"/>
                <w:szCs w:val="24"/>
              </w:rPr>
            </w:pPr>
            <m:oMathPara>
              <m:oMath>
                <m:r>
                  <m:rPr>
                    <m:sty m:val="bi"/>
                  </m:rPr>
                  <w:rPr>
                    <w:rFonts w:ascii="Cambria Math" w:hAnsi="Cambria Math"/>
                    <w:sz w:val="24"/>
                    <w:szCs w:val="24"/>
                  </w:rPr>
                  <m:t>δ</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Auxílios</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η</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Taxa de Crescimento da Produtividade do Trabalho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eastAsia="Tw Cen MT" w:hAnsi="Calibri" w:cs="Times New Roman"/>
                <w:b w:val="0"/>
                <w:i/>
                <w:sz w:val="24"/>
                <w:szCs w:val="24"/>
              </w:rPr>
            </w:pPr>
            <m:oMathPara>
              <m:oMath>
                <m:r>
                  <m:rPr>
                    <m:sty m:val="bi"/>
                  </m:rPr>
                  <w:rPr>
                    <w:rFonts w:ascii="Cambria Math" w:hAnsi="Cambria Math"/>
                    <w:sz w:val="24"/>
                    <w:szCs w:val="24"/>
                  </w:rPr>
                  <m:t>π</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Alíquota</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Efetiva</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Média</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ν</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Probabilidade de Geração de Pensão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ϕ</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Probabilidade de Pertencimento (ou de geração de benefícios temporários)</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cs="Cambria"/>
                    <w:sz w:val="24"/>
                    <w:szCs w:val="24"/>
                  </w:rPr>
                  <m:t>ϴ</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Segurados</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ρ</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Probabilidade de Concessão de Benefício</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λ</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Taxa de Mortalidade Implícita da População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ψ</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hAnsi="Calibri"/>
                <w:sz w:val="24"/>
                <w:szCs w:val="24"/>
                <w:lang w:val="pt-BR"/>
              </w:rPr>
              <w:t>Participação dos salários na renda total da economia</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eastAsia="Tw Cen MT" w:hAnsi="Calibri" w:cs="Times New Roman"/>
                <w:b w:val="0"/>
                <w:i/>
                <w:sz w:val="24"/>
                <w:szCs w:val="24"/>
              </w:rPr>
            </w:pPr>
            <m:oMathPara>
              <m:oMath>
                <m:r>
                  <m:rPr>
                    <m:sty m:val="bi"/>
                  </m:rPr>
                  <w:rPr>
                    <w:rFonts w:ascii="Cambria Math" w:hAnsi="Cambria Math"/>
                    <w:sz w:val="24"/>
                    <w:szCs w:val="24"/>
                  </w:rPr>
                  <m:t>θ</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hAnsi="Calibri"/>
                <w:sz w:val="24"/>
                <w:szCs w:val="24"/>
              </w:rPr>
            </w:pPr>
            <w:r w:rsidRPr="005B09F6">
              <w:rPr>
                <w:rFonts w:ascii="Calibri" w:eastAsiaTheme="minorEastAsia" w:hAnsi="Calibri"/>
                <w:sz w:val="24"/>
                <w:szCs w:val="24"/>
              </w:rPr>
              <w:t xml:space="preserve">Taxa de </w:t>
            </w:r>
            <w:proofErr w:type="spellStart"/>
            <w:r w:rsidRPr="005B09F6">
              <w:rPr>
                <w:rFonts w:ascii="Calibri" w:eastAsiaTheme="minorEastAsia" w:hAnsi="Calibri"/>
                <w:sz w:val="24"/>
                <w:szCs w:val="24"/>
              </w:rPr>
              <w:t>Reposição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ω</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Rendimento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médio</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B65A3" w:rsidP="005C70D4">
            <w:pPr>
              <w:jc w:val="center"/>
              <w:rPr>
                <w:rFonts w:ascii="Calibri" w:hAnsi="Calibri"/>
                <w:b w:val="0"/>
                <w:i/>
                <w:sz w:val="24"/>
                <w:szCs w:val="24"/>
              </w:rPr>
            </w:pPr>
            <m:oMathPara>
              <m:oMath>
                <m:sSub>
                  <m:sSubPr>
                    <m:ctrlPr>
                      <w:rPr>
                        <w:rFonts w:ascii="Cambria Math" w:hAnsi="Cambria Math"/>
                        <w:b w:val="0"/>
                        <w:i/>
                        <w:sz w:val="24"/>
                        <w:szCs w:val="24"/>
                      </w:rPr>
                    </m:ctrlPr>
                  </m:sSubPr>
                  <m:e>
                    <m:r>
                      <m:rPr>
                        <m:sty m:val="bi"/>
                      </m:rPr>
                      <w:rPr>
                        <w:rFonts w:ascii="Cambria Math" w:hAnsi="Cambria Math"/>
                        <w:sz w:val="24"/>
                        <w:szCs w:val="24"/>
                      </w:rPr>
                      <m:t>ω</m:t>
                    </m:r>
                  </m:e>
                  <m:sub>
                    <m:r>
                      <m:rPr>
                        <m:sty m:val="bi"/>
                      </m:rPr>
                      <w:rPr>
                        <w:rFonts w:ascii="Cambria Math" w:hAnsi="Cambria Math"/>
                        <w:sz w:val="24"/>
                        <w:szCs w:val="24"/>
                      </w:rPr>
                      <m:t>min</m:t>
                    </m:r>
                  </m:sub>
                </m:sSub>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Salário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mínimo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Aa</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Auxílio-Acidente</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Ad</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Auxílio-Doença</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eastAsia="Calibri" w:hAnsi="Calibri" w:cs="Times New Roman"/>
                <w:b w:val="0"/>
                <w:i/>
                <w:sz w:val="24"/>
                <w:szCs w:val="24"/>
              </w:rPr>
            </w:pPr>
            <m:oMathPara>
              <m:oMath>
                <m:r>
                  <m:rPr>
                    <m:sty m:val="bi"/>
                  </m:rPr>
                  <w:rPr>
                    <w:rFonts w:ascii="Cambria Math" w:hAnsi="Cambria Math"/>
                    <w:sz w:val="24"/>
                    <w:szCs w:val="24"/>
                  </w:rPr>
                  <m:t>Ainv</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rPr>
            </w:pPr>
            <w:proofErr w:type="spellStart"/>
            <w:r w:rsidRPr="005B09F6">
              <w:rPr>
                <w:rFonts w:ascii="Calibri" w:eastAsiaTheme="minorEastAsia" w:hAnsi="Calibri"/>
                <w:sz w:val="24"/>
                <w:szCs w:val="24"/>
              </w:rPr>
              <w:t>Aposentadoria</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por</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Invalidez</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hAnsi="Calibri"/>
                <w:b w:val="0"/>
                <w:i/>
                <w:kern w:val="20"/>
                <w:sz w:val="24"/>
                <w:szCs w:val="24"/>
              </w:rPr>
            </w:pPr>
            <m:oMathPara>
              <m:oMath>
                <m:r>
                  <m:rPr>
                    <m:sty m:val="bi"/>
                  </m:rPr>
                  <w:rPr>
                    <w:rFonts w:ascii="Cambria Math" w:hAnsi="Cambria Math"/>
                    <w:sz w:val="24"/>
                    <w:szCs w:val="24"/>
                  </w:rPr>
                  <m:t xml:space="preserve">Apid </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Aposentadoria por Idade da Pessoa com Deficiência</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eastAsiaTheme="minorEastAsia" w:hAnsi="Calibri"/>
                <w:b w:val="0"/>
                <w:i/>
                <w:sz w:val="24"/>
                <w:szCs w:val="24"/>
              </w:rPr>
            </w:pPr>
            <m:oMathPara>
              <m:oMath>
                <m:r>
                  <m:rPr>
                    <m:sty m:val="bi"/>
                  </m:rPr>
                  <w:rPr>
                    <w:rFonts w:ascii="Cambria Math" w:hAnsi="Cambria Math"/>
                    <w:sz w:val="24"/>
                    <w:szCs w:val="24"/>
                  </w:rPr>
                  <m:t>Apin</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Aposentadoria por Idade (Normal ou Usual)</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Ar</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Auxílio-Reclusão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hAnsi="Calibri"/>
                <w:b w:val="0"/>
                <w:i/>
                <w:kern w:val="20"/>
                <w:sz w:val="24"/>
                <w:szCs w:val="24"/>
              </w:rPr>
            </w:pPr>
            <m:oMathPara>
              <m:oMath>
                <m:r>
                  <m:rPr>
                    <m:sty m:val="bi"/>
                  </m:rPr>
                  <w:rPr>
                    <w:rFonts w:ascii="Cambria Math" w:hAnsi="Cambria Math"/>
                    <w:sz w:val="24"/>
                    <w:szCs w:val="24"/>
                  </w:rPr>
                  <m:t>Atcd</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Aposentadoria por TC da Pessoa com Deficiência</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hAnsi="Calibri"/>
                <w:b w:val="0"/>
                <w:i/>
                <w:kern w:val="20"/>
                <w:sz w:val="24"/>
                <w:szCs w:val="24"/>
              </w:rPr>
            </w:pPr>
            <m:oMathPara>
              <m:oMath>
                <m:r>
                  <m:rPr>
                    <m:sty m:val="bi"/>
                  </m:rPr>
                  <w:rPr>
                    <w:rFonts w:ascii="Cambria Math" w:hAnsi="Cambria Math"/>
                    <w:sz w:val="24"/>
                    <w:szCs w:val="24"/>
                  </w:rPr>
                  <m:t>Atce</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hAnsi="Calibri"/>
                <w:kern w:val="20"/>
                <w:sz w:val="24"/>
                <w:szCs w:val="24"/>
              </w:rPr>
            </w:pPr>
            <w:proofErr w:type="spellStart"/>
            <w:r w:rsidRPr="005B09F6">
              <w:rPr>
                <w:rFonts w:ascii="Calibri" w:eastAsiaTheme="minorEastAsia" w:hAnsi="Calibri"/>
                <w:sz w:val="24"/>
                <w:szCs w:val="24"/>
              </w:rPr>
              <w:t>Aposentadoria</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por</w:t>
            </w:r>
            <w:proofErr w:type="spellEnd"/>
            <w:r w:rsidRPr="005B09F6">
              <w:rPr>
                <w:rFonts w:ascii="Calibri" w:eastAsiaTheme="minorEastAsia" w:hAnsi="Calibri"/>
                <w:sz w:val="24"/>
                <w:szCs w:val="24"/>
              </w:rPr>
              <w:t xml:space="preserve"> TC Especial</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both"/>
              <w:rPr>
                <w:rFonts w:ascii="Calibri" w:hAnsi="Calibri"/>
                <w:b w:val="0"/>
                <w:i/>
                <w:kern w:val="20"/>
                <w:sz w:val="24"/>
                <w:szCs w:val="24"/>
              </w:rPr>
            </w:pPr>
            <m:oMathPara>
              <m:oMath>
                <m:r>
                  <m:rPr>
                    <m:sty m:val="bi"/>
                  </m:rPr>
                  <w:rPr>
                    <w:rFonts w:ascii="Cambria Math" w:eastAsiaTheme="minorEastAsia" w:hAnsi="Cambria Math"/>
                    <w:sz w:val="24"/>
                    <w:szCs w:val="24"/>
                  </w:rPr>
                  <m:t>Atcn</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hAnsi="Calibri"/>
                <w:kern w:val="20"/>
                <w:sz w:val="24"/>
                <w:szCs w:val="24"/>
                <w:lang w:val="pt-BR"/>
              </w:rPr>
            </w:pPr>
            <w:r w:rsidRPr="005B09F6">
              <w:rPr>
                <w:rFonts w:ascii="Calibri" w:eastAsiaTheme="minorEastAsia" w:hAnsi="Calibri"/>
                <w:sz w:val="24"/>
                <w:szCs w:val="24"/>
                <w:lang w:val="pt-BR"/>
              </w:rPr>
              <w:t>Aposentadoria por TC (Normal ou Usual)</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eastAsia="Calibri" w:hAnsi="Calibri" w:cs="Times New Roman"/>
                <w:b w:val="0"/>
                <w:bCs w:val="0"/>
                <w:i/>
                <w:sz w:val="24"/>
                <w:szCs w:val="24"/>
              </w:rPr>
            </w:pPr>
            <w:proofErr w:type="spellStart"/>
            <w:r w:rsidRPr="005B09F6">
              <w:rPr>
                <w:rFonts w:ascii="Calibri" w:eastAsiaTheme="minorEastAsia" w:hAnsi="Calibri"/>
                <w:b w:val="0"/>
                <w:i/>
                <w:sz w:val="24"/>
                <w:szCs w:val="24"/>
              </w:rPr>
              <w:t>Atcp</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Aposentadoria por TC do(a) Professor(a)</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BPC</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Benefício</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Prestação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Continuada</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c</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Clientela</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Ca</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Contribuintes que recebem acima de 1 SM</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eastAsia="Tw Cen MT" w:hAnsi="Calibri" w:cs="Times New Roman"/>
                <w:b w:val="0"/>
                <w:i/>
                <w:sz w:val="24"/>
                <w:szCs w:val="24"/>
              </w:rPr>
            </w:pPr>
            <m:oMathPara>
              <m:oMath>
                <m:r>
                  <m:rPr>
                    <m:sty m:val="bi"/>
                  </m:rPr>
                  <w:rPr>
                    <w:rFonts w:ascii="Cambria Math" w:hAnsi="Cambria Math"/>
                    <w:sz w:val="24"/>
                    <w:szCs w:val="24"/>
                  </w:rPr>
                  <m:t>C</m:t>
                </m:r>
                <m:r>
                  <m:rPr>
                    <m:sty m:val="bi"/>
                  </m:rPr>
                  <w:rPr>
                    <w:rFonts w:ascii="Cambria Math" w:eastAsiaTheme="minorEastAsia" w:hAnsi="Cambria Math"/>
                    <w:sz w:val="24"/>
                    <w:szCs w:val="24"/>
                  </w:rPr>
                  <m:t>e</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Cessação</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benefícios</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ce</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 xml:space="preserve">Taxa </w:t>
            </w:r>
            <w:proofErr w:type="spellStart"/>
            <w:r w:rsidRPr="005B09F6">
              <w:rPr>
                <w:rFonts w:ascii="Calibri" w:eastAsiaTheme="minorEastAsia" w:hAnsi="Calibri"/>
                <w:sz w:val="24"/>
                <w:szCs w:val="24"/>
              </w:rPr>
              <w:t>Bruta</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Cessação</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C</m:t>
                </m:r>
                <m:r>
                  <m:rPr>
                    <m:sty m:val="bi"/>
                  </m:rPr>
                  <w:rPr>
                    <w:rFonts w:ascii="Cambria Math" w:eastAsiaTheme="minorEastAsia" w:hAnsi="Cambria Math"/>
                    <w:sz w:val="24"/>
                    <w:szCs w:val="24"/>
                  </w:rPr>
                  <m:t>o</m:t>
                </m:r>
              </m:oMath>
            </m:oMathPara>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Concessões</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benefícios</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co</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Taxa de concessão de benefício</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Contr</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População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Contribuinte</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Cresc</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Crescimento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Anual</w:t>
            </w:r>
            <w:proofErr w:type="spellEnd"/>
            <w:r w:rsidRPr="005B09F6">
              <w:rPr>
                <w:rFonts w:ascii="Calibri" w:eastAsiaTheme="minorEastAsia" w:hAnsi="Calibri"/>
                <w:sz w:val="24"/>
                <w:szCs w:val="24"/>
              </w:rPr>
              <w:t xml:space="preserve"> de Taxa</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Csm</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Contribuintes</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que</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recebem</w:t>
            </w:r>
            <w:proofErr w:type="spellEnd"/>
            <w:r w:rsidRPr="005B09F6">
              <w:rPr>
                <w:rFonts w:ascii="Calibri" w:eastAsiaTheme="minorEastAsia" w:hAnsi="Calibri"/>
                <w:sz w:val="24"/>
                <w:szCs w:val="24"/>
              </w:rPr>
              <w:t xml:space="preserve"> 1 SM</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Fa</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Fator de Ajuste da Mortalidade</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tcBorders>
              <w:bottom w:val="single" w:sz="4" w:space="0" w:color="2683C6" w:themeColor="accent2"/>
            </w:tcBorders>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Fe</w:t>
            </w:r>
          </w:p>
        </w:tc>
        <w:tc>
          <w:tcPr>
            <w:tcW w:w="6237" w:type="dxa"/>
            <w:tcBorders>
              <w:bottom w:val="single" w:sz="4" w:space="0" w:color="2683C6" w:themeColor="accent2"/>
            </w:tcBorders>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Fluxo de entrantes (quantidade de concessões)</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tcBorders>
              <w:top w:val="single" w:sz="4" w:space="0" w:color="2683C6" w:themeColor="accent2"/>
            </w:tcBorders>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H</w:t>
            </w:r>
          </w:p>
        </w:tc>
        <w:tc>
          <w:tcPr>
            <w:tcW w:w="6237" w:type="dxa"/>
            <w:tcBorders>
              <w:top w:val="single" w:sz="4" w:space="0" w:color="2683C6" w:themeColor="accent2"/>
            </w:tcBorders>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Homens</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i</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Idade</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Loas</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Lei Orgânica da Assistência Social</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LoasDef</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BPC/Loas da Pessoa com Deficiência</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LoasIdo</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BPC/</w:t>
            </w:r>
            <w:proofErr w:type="spellStart"/>
            <w:r w:rsidRPr="005B09F6">
              <w:rPr>
                <w:rFonts w:ascii="Calibri" w:eastAsiaTheme="minorEastAsia" w:hAnsi="Calibri"/>
                <w:sz w:val="24"/>
                <w:szCs w:val="24"/>
              </w:rPr>
              <w:t>Loas</w:t>
            </w:r>
            <w:proofErr w:type="spellEnd"/>
            <w:r w:rsidRPr="005B09F6">
              <w:rPr>
                <w:rFonts w:ascii="Calibri" w:eastAsiaTheme="minorEastAsia" w:hAnsi="Calibri"/>
                <w:sz w:val="24"/>
                <w:szCs w:val="24"/>
              </w:rPr>
              <w:t xml:space="preserve"> do </w:t>
            </w:r>
            <w:proofErr w:type="spellStart"/>
            <w:r w:rsidRPr="005B09F6">
              <w:rPr>
                <w:rFonts w:ascii="Calibri" w:eastAsiaTheme="minorEastAsia" w:hAnsi="Calibri"/>
                <w:sz w:val="24"/>
                <w:szCs w:val="24"/>
              </w:rPr>
              <w:t>Idoso</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M</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Mulheres</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Mo</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Mortalidade</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n</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hAnsi="Calibri"/>
                <w:sz w:val="24"/>
                <w:szCs w:val="24"/>
                <w:lang w:val="pt-BR"/>
              </w:rPr>
              <w:t>Quantidade média de parcelas pagas anualmente do benefício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eastAsiaTheme="minorEastAsia" w:hAnsi="Calibri"/>
                <w:b w:val="0"/>
                <w:bCs w:val="0"/>
                <w:i/>
                <w:sz w:val="24"/>
                <w:szCs w:val="24"/>
              </w:rPr>
              <w:t>Ocup</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População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Ocupada</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P</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População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Pa</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Pensões Tipo A (anteriores à Lei nº 13.135/2015)</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Part</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Participação no mercado de trabalho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Pb</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Pensões Tipo B (a partir da Lei nº 13.135/2015)</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PensTot</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Pensões por Morte Totais (Tipo A + Tipo B)</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PEA</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População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Economicamente</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Ativa</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PIB</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Produto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Interno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Bruto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Piso</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Piso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Previdenciário</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Pr</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Preço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Q</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Quantidade</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benefícios</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R</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Clientela</w:t>
            </w:r>
            <w:proofErr w:type="spellEnd"/>
            <w:r w:rsidRPr="005B09F6">
              <w:rPr>
                <w:rFonts w:ascii="Calibri" w:eastAsiaTheme="minorEastAsia" w:hAnsi="Calibri"/>
                <w:sz w:val="24"/>
                <w:szCs w:val="24"/>
              </w:rPr>
              <w:t xml:space="preserve"> Rural</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C86510" w:rsidP="005C70D4">
            <w:pPr>
              <w:jc w:val="center"/>
              <w:rPr>
                <w:rFonts w:ascii="Calibri" w:hAnsi="Calibri"/>
                <w:b w:val="0"/>
                <w:i/>
                <w:sz w:val="24"/>
                <w:szCs w:val="24"/>
              </w:rPr>
            </w:pPr>
            <m:oMathPara>
              <m:oMath>
                <m:r>
                  <m:rPr>
                    <m:sty m:val="bi"/>
                  </m:rPr>
                  <w:rPr>
                    <w:rFonts w:ascii="Cambria Math" w:hAnsi="Cambria Math"/>
                    <w:sz w:val="24"/>
                    <w:szCs w:val="24"/>
                  </w:rPr>
                  <m:t>Rec</m:t>
                </m:r>
              </m:oMath>
            </m:oMathPara>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Receitas</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previdenciárias</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RmvIda</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Renda Mensal Vitalícia (RMV) ― Idade</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RmvInv</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Renda Mensal Vitalícia (RMV) ― Invalidez</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s</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Sexo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SalMat</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Salário-Maternidade</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Se</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Segurados Especiais Rurais (Agricultura Familiar)</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SM</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Salário</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Mínimo</w:t>
            </w:r>
            <w:proofErr w:type="spellEnd"/>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Sp</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Potenciais</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Segurados</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Especiais</w:t>
            </w:r>
            <w:proofErr w:type="spellEnd"/>
            <w:r w:rsidRPr="005B09F6">
              <w:rPr>
                <w:rFonts w:ascii="Calibri" w:eastAsiaTheme="minorEastAsia" w:hAnsi="Calibri"/>
                <w:sz w:val="24"/>
                <w:szCs w:val="24"/>
              </w:rPr>
              <w:t xml:space="preserve"> </w:t>
            </w:r>
            <w:proofErr w:type="spellStart"/>
            <w:r w:rsidRPr="005B09F6">
              <w:rPr>
                <w:rFonts w:ascii="Calibri" w:eastAsiaTheme="minorEastAsia" w:hAnsi="Calibri"/>
                <w:sz w:val="24"/>
                <w:szCs w:val="24"/>
              </w:rPr>
              <w:t>Rurais</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t</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Tempo (</w:t>
            </w:r>
            <w:proofErr w:type="spellStart"/>
            <w:r w:rsidRPr="005B09F6">
              <w:rPr>
                <w:rFonts w:ascii="Calibri" w:eastAsiaTheme="minorEastAsia" w:hAnsi="Calibri"/>
                <w:sz w:val="24"/>
                <w:szCs w:val="24"/>
              </w:rPr>
              <w:t>ano</w:t>
            </w:r>
            <w:proofErr w:type="spellEnd"/>
            <w:r w:rsidRPr="005B09F6">
              <w:rPr>
                <w:rFonts w:ascii="Calibri" w:eastAsiaTheme="minorEastAsia" w:hAnsi="Calibri"/>
                <w:sz w:val="24"/>
                <w:szCs w:val="24"/>
              </w:rPr>
              <w:t>)</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TC</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 xml:space="preserve">Tempo de </w:t>
            </w:r>
            <w:proofErr w:type="spellStart"/>
            <w:r w:rsidRPr="005B09F6">
              <w:rPr>
                <w:rFonts w:ascii="Calibri" w:eastAsiaTheme="minorEastAsia" w:hAnsi="Calibri"/>
                <w:sz w:val="24"/>
                <w:szCs w:val="24"/>
              </w:rPr>
              <w:t>contribuição</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U</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Clientela</w:t>
            </w:r>
            <w:proofErr w:type="spellEnd"/>
            <w:r w:rsidRPr="005B09F6">
              <w:rPr>
                <w:rFonts w:ascii="Calibri" w:eastAsiaTheme="minorEastAsia" w:hAnsi="Calibri"/>
                <w:sz w:val="24"/>
                <w:szCs w:val="24"/>
              </w:rPr>
              <w:t xml:space="preserve"> Urbana</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Ua</w:t>
            </w:r>
            <w:proofErr w:type="spellEnd"/>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Clientela Urbana que recebe o Piso Previdenciário</w:t>
            </w:r>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Up</w:t>
            </w: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lang w:val="pt-BR"/>
              </w:rPr>
            </w:pPr>
            <w:r w:rsidRPr="005B09F6">
              <w:rPr>
                <w:rFonts w:ascii="Calibri" w:eastAsiaTheme="minorEastAsia" w:hAnsi="Calibri"/>
                <w:sz w:val="24"/>
                <w:szCs w:val="24"/>
                <w:lang w:val="pt-BR"/>
              </w:rPr>
              <w:t>Clientela Urbana que recebe Acima do Piso Previdenciário</w:t>
            </w:r>
          </w:p>
        </w:tc>
      </w:tr>
      <w:tr w:rsidR="00285E11" w:rsidRPr="005B09F6" w:rsidTr="005C70D4">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Val</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Valor</w:t>
            </w:r>
            <w:proofErr w:type="spellEnd"/>
          </w:p>
        </w:tc>
      </w:tr>
      <w:tr w:rsidR="00285E11" w:rsidRPr="005B09F6" w:rsidTr="005C70D4">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roofErr w:type="spellStart"/>
            <w:r w:rsidRPr="005B09F6">
              <w:rPr>
                <w:rFonts w:ascii="Calibri" w:hAnsi="Calibri"/>
                <w:b w:val="0"/>
                <w:i/>
                <w:sz w:val="24"/>
                <w:szCs w:val="24"/>
              </w:rPr>
              <w:t>ValEs</w:t>
            </w:r>
            <w:proofErr w:type="spellEnd"/>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roofErr w:type="spellStart"/>
            <w:r w:rsidRPr="005B09F6">
              <w:rPr>
                <w:rFonts w:ascii="Calibri" w:eastAsiaTheme="minorEastAsia" w:hAnsi="Calibri"/>
                <w:sz w:val="24"/>
                <w:szCs w:val="24"/>
              </w:rPr>
              <w:t>Estoque</w:t>
            </w:r>
            <w:proofErr w:type="spellEnd"/>
            <w:r w:rsidRPr="005B09F6">
              <w:rPr>
                <w:rFonts w:ascii="Calibri" w:eastAsiaTheme="minorEastAsia" w:hAnsi="Calibri"/>
                <w:sz w:val="24"/>
                <w:szCs w:val="24"/>
              </w:rPr>
              <w:t xml:space="preserve"> de </w:t>
            </w:r>
            <w:proofErr w:type="spellStart"/>
            <w:r w:rsidRPr="005B09F6">
              <w:rPr>
                <w:rFonts w:ascii="Calibri" w:eastAsiaTheme="minorEastAsia" w:hAnsi="Calibri"/>
                <w:sz w:val="24"/>
                <w:szCs w:val="24"/>
              </w:rPr>
              <w:t>Valor</w:t>
            </w:r>
            <w:proofErr w:type="spellEnd"/>
          </w:p>
        </w:tc>
      </w:tr>
      <w:tr w:rsidR="00285E11" w:rsidRPr="005B09F6" w:rsidTr="00285E11">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r w:rsidRPr="005B09F6">
              <w:rPr>
                <w:rFonts w:ascii="Calibri" w:hAnsi="Calibri"/>
                <w:b w:val="0"/>
                <w:i/>
                <w:sz w:val="24"/>
                <w:szCs w:val="24"/>
              </w:rPr>
              <w:t>W</w:t>
            </w: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r w:rsidRPr="005B09F6">
              <w:rPr>
                <w:rFonts w:ascii="Calibri" w:eastAsiaTheme="minorEastAsia" w:hAnsi="Calibri"/>
                <w:sz w:val="24"/>
                <w:szCs w:val="24"/>
              </w:rPr>
              <w:t xml:space="preserve">Massa </w:t>
            </w:r>
            <w:proofErr w:type="spellStart"/>
            <w:r w:rsidRPr="005B09F6">
              <w:rPr>
                <w:rFonts w:ascii="Calibri" w:eastAsiaTheme="minorEastAsia" w:hAnsi="Calibri"/>
                <w:sz w:val="24"/>
                <w:szCs w:val="24"/>
              </w:rPr>
              <w:t>Salarial</w:t>
            </w:r>
            <w:proofErr w:type="spellEnd"/>
          </w:p>
        </w:tc>
      </w:tr>
      <w:tr w:rsidR="00285E11" w:rsidRPr="005B09F6" w:rsidTr="00285E11">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
        </w:tc>
      </w:tr>
      <w:tr w:rsidR="00285E11" w:rsidRPr="005B09F6" w:rsidTr="00285E11">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
        </w:tc>
        <w:tc>
          <w:tcPr>
            <w:tcW w:w="6237" w:type="dxa"/>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
        </w:tc>
      </w:tr>
      <w:tr w:rsidR="00285E11" w:rsidRPr="005B09F6" w:rsidTr="00285E11">
        <w:trPr>
          <w:cnfStyle w:val="000000100000" w:firstRow="0" w:lastRow="0" w:firstColumn="0" w:lastColumn="0" w:oddVBand="0" w:evenVBand="0" w:oddHBand="1" w:evenHBand="0" w:firstRowFirstColumn="0" w:firstRowLastColumn="0" w:lastRowFirstColumn="0" w:lastRowLastColumn="0"/>
          <w:trHeight w:hRule="exact" w:val="340"/>
        </w:trPr>
        <w:tc>
          <w:tcPr>
            <w:cnfStyle w:val="001000000000" w:firstRow="0" w:lastRow="0" w:firstColumn="1" w:lastColumn="0" w:oddVBand="0" w:evenVBand="0" w:oddHBand="0" w:evenHBand="0" w:firstRowFirstColumn="0" w:firstRowLastColumn="0" w:lastRowFirstColumn="0" w:lastRowLastColumn="0"/>
            <w:tcW w:w="3539" w:type="dxa"/>
            <w:shd w:val="clear" w:color="auto" w:fill="FFFFFF" w:themeFill="background1"/>
            <w:vAlign w:val="center"/>
          </w:tcPr>
          <w:p w:rsidR="00285E11" w:rsidRPr="005B09F6" w:rsidRDefault="00285E11" w:rsidP="005C70D4">
            <w:pPr>
              <w:jc w:val="center"/>
              <w:rPr>
                <w:rFonts w:ascii="Calibri" w:hAnsi="Calibri"/>
                <w:b w:val="0"/>
                <w:i/>
                <w:sz w:val="24"/>
                <w:szCs w:val="24"/>
              </w:rPr>
            </w:pPr>
          </w:p>
        </w:tc>
        <w:tc>
          <w:tcPr>
            <w:tcW w:w="6237" w:type="dxa"/>
            <w:shd w:val="clear" w:color="auto" w:fill="FFFFFF" w:themeFill="background1"/>
            <w:vAlign w:val="center"/>
          </w:tcPr>
          <w:p w:rsidR="00285E11" w:rsidRPr="005B09F6" w:rsidRDefault="00285E11" w:rsidP="005C70D4">
            <w:pPr>
              <w:jc w:val="both"/>
              <w:cnfStyle w:val="000000100000" w:firstRow="0" w:lastRow="0" w:firstColumn="0" w:lastColumn="0" w:oddVBand="0" w:evenVBand="0" w:oddHBand="1" w:evenHBand="0" w:firstRowFirstColumn="0" w:firstRowLastColumn="0" w:lastRowFirstColumn="0" w:lastRowLastColumn="0"/>
              <w:rPr>
                <w:rFonts w:ascii="Calibri" w:eastAsiaTheme="minorEastAsia" w:hAnsi="Calibri"/>
                <w:sz w:val="24"/>
                <w:szCs w:val="24"/>
              </w:rPr>
            </w:pPr>
          </w:p>
        </w:tc>
      </w:tr>
      <w:tr w:rsidR="00285E11" w:rsidRPr="005B09F6" w:rsidTr="00285E11">
        <w:trPr>
          <w:trHeight w:hRule="exact" w:val="340"/>
        </w:trPr>
        <w:tc>
          <w:tcPr>
            <w:cnfStyle w:val="001000000000" w:firstRow="0" w:lastRow="0" w:firstColumn="1" w:lastColumn="0" w:oddVBand="0" w:evenVBand="0" w:oddHBand="0" w:evenHBand="0" w:firstRowFirstColumn="0" w:firstRowLastColumn="0" w:lastRowFirstColumn="0" w:lastRowLastColumn="0"/>
            <w:tcW w:w="3539" w:type="dxa"/>
            <w:tcBorders>
              <w:bottom w:val="single" w:sz="4" w:space="0" w:color="2683C6" w:themeColor="accent2"/>
            </w:tcBorders>
            <w:shd w:val="clear" w:color="auto" w:fill="FFFFFF" w:themeFill="background1"/>
            <w:vAlign w:val="center"/>
          </w:tcPr>
          <w:p w:rsidR="00285E11" w:rsidRPr="005B09F6" w:rsidRDefault="00285E11" w:rsidP="005C70D4">
            <w:pPr>
              <w:jc w:val="center"/>
              <w:rPr>
                <w:rFonts w:ascii="Calibri" w:hAnsi="Calibri"/>
                <w:b w:val="0"/>
                <w:i/>
                <w:sz w:val="24"/>
                <w:szCs w:val="24"/>
              </w:rPr>
            </w:pPr>
          </w:p>
        </w:tc>
        <w:tc>
          <w:tcPr>
            <w:tcW w:w="6237" w:type="dxa"/>
            <w:tcBorders>
              <w:bottom w:val="single" w:sz="4" w:space="0" w:color="2683C6" w:themeColor="accent2"/>
            </w:tcBorders>
            <w:shd w:val="clear" w:color="auto" w:fill="FFFFFF" w:themeFill="background1"/>
            <w:vAlign w:val="center"/>
          </w:tcPr>
          <w:p w:rsidR="00285E11" w:rsidRPr="005B09F6" w:rsidRDefault="00285E11" w:rsidP="005C70D4">
            <w:pPr>
              <w:jc w:val="both"/>
              <w:cnfStyle w:val="000000000000" w:firstRow="0" w:lastRow="0" w:firstColumn="0" w:lastColumn="0" w:oddVBand="0" w:evenVBand="0" w:oddHBand="0" w:evenHBand="0" w:firstRowFirstColumn="0" w:firstRowLastColumn="0" w:lastRowFirstColumn="0" w:lastRowLastColumn="0"/>
              <w:rPr>
                <w:rFonts w:ascii="Calibri" w:eastAsiaTheme="minorEastAsia" w:hAnsi="Calibri"/>
                <w:sz w:val="24"/>
                <w:szCs w:val="24"/>
              </w:rPr>
            </w:pPr>
          </w:p>
        </w:tc>
      </w:tr>
    </w:tbl>
    <w:p w:rsidR="00735D74" w:rsidRPr="005B09F6" w:rsidRDefault="00735D74">
      <w:pPr>
        <w:rPr>
          <w:rFonts w:ascii="Calibri" w:eastAsiaTheme="minorEastAsia" w:hAnsi="Calibri"/>
          <w:sz w:val="24"/>
          <w:szCs w:val="24"/>
        </w:rPr>
      </w:pPr>
    </w:p>
    <w:p w:rsidR="00735D74" w:rsidRPr="005B09F6" w:rsidRDefault="00B37896" w:rsidP="00511A13">
      <w:pPr>
        <w:pStyle w:val="Ttulo1"/>
        <w:rPr>
          <w:rFonts w:ascii="Calibri" w:hAnsi="Calibri"/>
          <w:sz w:val="24"/>
          <w:szCs w:val="24"/>
        </w:rPr>
      </w:pPr>
      <w:bookmarkStart w:id="171" w:name="_Toc479081354"/>
      <w:r w:rsidRPr="005B09F6">
        <w:rPr>
          <w:rFonts w:ascii="Calibri" w:hAnsi="Calibri"/>
          <w:sz w:val="24"/>
          <w:szCs w:val="24"/>
        </w:rPr>
        <w:t>5</w:t>
      </w:r>
      <w:r w:rsidR="00735D74" w:rsidRPr="005B09F6">
        <w:rPr>
          <w:rFonts w:ascii="Calibri" w:hAnsi="Calibri"/>
          <w:sz w:val="24"/>
          <w:szCs w:val="24"/>
        </w:rPr>
        <w:t xml:space="preserve">. </w:t>
      </w:r>
      <w:r w:rsidR="0079121C" w:rsidRPr="005B09F6">
        <w:rPr>
          <w:rFonts w:ascii="Calibri" w:hAnsi="Calibri"/>
          <w:sz w:val="24"/>
          <w:szCs w:val="24"/>
        </w:rPr>
        <w:t>PROJEÇÕES FISCAIS DO REGIME GERAL DE PREVIDÊNCIA SOCIAL</w:t>
      </w:r>
      <w:bookmarkEnd w:id="171"/>
    </w:p>
    <w:p w:rsidR="00735D74" w:rsidRPr="005B09F6" w:rsidRDefault="00735D74" w:rsidP="00735D74">
      <w:pPr>
        <w:pStyle w:val="Recuodecorpodetexto"/>
        <w:tabs>
          <w:tab w:val="left" w:pos="142"/>
        </w:tabs>
        <w:spacing w:after="240" w:line="360" w:lineRule="auto"/>
        <w:ind w:firstLine="0"/>
        <w:rPr>
          <w:rFonts w:ascii="Calibri" w:hAnsi="Calibri" w:cs="Arial"/>
          <w:szCs w:val="24"/>
        </w:rPr>
      </w:pPr>
    </w:p>
    <w:p w:rsidR="00861CCF" w:rsidRPr="005B09F6" w:rsidRDefault="007C2275" w:rsidP="00861CCF">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Como esforço contínuo de </w:t>
      </w:r>
      <w:r w:rsidR="00861CCF" w:rsidRPr="005B09F6">
        <w:rPr>
          <w:rFonts w:ascii="Calibri" w:hAnsi="Calibri" w:cs="Arial"/>
          <w:szCs w:val="24"/>
        </w:rPr>
        <w:t xml:space="preserve">aprimoramento metodológico, promoveu-se a unificação entre o modelo de longo prazo descrito </w:t>
      </w:r>
      <w:r w:rsidR="000B1CC5" w:rsidRPr="005B09F6">
        <w:rPr>
          <w:rFonts w:ascii="Calibri" w:hAnsi="Calibri" w:cs="Arial"/>
          <w:szCs w:val="24"/>
        </w:rPr>
        <w:t>na seção anterior</w:t>
      </w:r>
      <w:r w:rsidR="00861CCF" w:rsidRPr="005B09F6">
        <w:rPr>
          <w:rFonts w:ascii="Calibri" w:hAnsi="Calibri" w:cs="Arial"/>
          <w:szCs w:val="24"/>
        </w:rPr>
        <w:t>, empregado para estimar as tendências de crescimento da despesa com benefícios do RGPS, com o modelo de curto prazo utilizado anteriormente na Secretaria de Previdência do Ministério da Fazenda. Esse último consistia em instrumento responsável pela produção dos resultados para os três a quatro anos seguintes, de maneira a atender anualmente às necessidades do PLOA por estimativa de despesas previdenciárias. Com escopo de análise e objetivo distinto, o modelo de curto prazo trabalhava com valores agregados de despesas com benefícios do RGPS, as quais cresciam via taxa de crescimento vegetativo e via reajuste anual do SM e dos demais benefícios, e incorporava as estimativas de receitas e despesas não-recorrentes previstas para o período em análise – tais como pagamentos específicos decorrentes de decisões judiciais (ex. revisão do Art. 29 da Lei nº 8.213/91), pagamentos previstos em precatórios e requisições de pequeno valor e com as compensações previdenciárias entre os diversos regimes próprios.</w:t>
      </w:r>
    </w:p>
    <w:p w:rsidR="005D4C4E" w:rsidRPr="005B09F6" w:rsidRDefault="005D4C4E" w:rsidP="00735D74">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A unificação entre os arcabouços metodológicos deu-se por meio da agregação entre a</w:t>
      </w:r>
      <w:r w:rsidR="007C2275" w:rsidRPr="005B09F6">
        <w:rPr>
          <w:rFonts w:ascii="Calibri" w:hAnsi="Calibri" w:cs="Arial"/>
          <w:szCs w:val="24"/>
        </w:rPr>
        <w:t xml:space="preserve">s </w:t>
      </w:r>
      <w:r w:rsidRPr="005B09F6">
        <w:rPr>
          <w:rFonts w:ascii="Calibri" w:hAnsi="Calibri" w:cs="Arial"/>
          <w:szCs w:val="24"/>
        </w:rPr>
        <w:t xml:space="preserve">projeções fiscais do RGPS obtidas </w:t>
      </w:r>
      <w:r w:rsidR="00D654FB" w:rsidRPr="005B09F6">
        <w:rPr>
          <w:rFonts w:ascii="Calibri" w:hAnsi="Calibri" w:cs="Arial"/>
          <w:szCs w:val="24"/>
        </w:rPr>
        <w:t xml:space="preserve">pelo modelo descrito na seção anterior e as projeções de receitas e despesas não-recorrentes do RGPS. No lado da </w:t>
      </w:r>
      <w:r w:rsidR="00280E5B" w:rsidRPr="005B09F6">
        <w:rPr>
          <w:rFonts w:ascii="Calibri" w:hAnsi="Calibri" w:cs="Arial"/>
          <w:szCs w:val="24"/>
        </w:rPr>
        <w:t>Receita, o modelo projeta a evolução da arrecadação líquida do RGPS (sem recuperação de créditos). A seguir, é projetada a evolução d</w:t>
      </w:r>
      <w:r w:rsidR="00067FCA" w:rsidRPr="005B09F6">
        <w:rPr>
          <w:rFonts w:ascii="Calibri" w:hAnsi="Calibri" w:cs="Arial"/>
          <w:szCs w:val="24"/>
        </w:rPr>
        <w:t xml:space="preserve">as </w:t>
      </w:r>
      <w:r w:rsidR="00D654FB" w:rsidRPr="005B09F6">
        <w:rPr>
          <w:rFonts w:ascii="Calibri" w:hAnsi="Calibri" w:cs="Arial"/>
          <w:szCs w:val="24"/>
        </w:rPr>
        <w:t>r</w:t>
      </w:r>
      <w:r w:rsidR="00067FCA" w:rsidRPr="005B09F6">
        <w:rPr>
          <w:rFonts w:ascii="Calibri" w:hAnsi="Calibri" w:cs="Arial"/>
          <w:szCs w:val="24"/>
        </w:rPr>
        <w:t>eceitas não-recorrentes</w:t>
      </w:r>
      <w:r w:rsidR="00280E5B" w:rsidRPr="005B09F6">
        <w:rPr>
          <w:rFonts w:ascii="Calibri" w:hAnsi="Calibri" w:cs="Arial"/>
          <w:szCs w:val="24"/>
        </w:rPr>
        <w:t xml:space="preserve">: </w:t>
      </w:r>
      <w:r w:rsidR="00067FCA" w:rsidRPr="005B09F6">
        <w:rPr>
          <w:rFonts w:ascii="Calibri" w:hAnsi="Calibri" w:cs="Arial"/>
          <w:szCs w:val="24"/>
        </w:rPr>
        <w:t>receitas de recuperação de crédito e transferências do Tesouro Nacional que compensam a política de desoneraç</w:t>
      </w:r>
      <w:r w:rsidR="00280E5B" w:rsidRPr="005B09F6">
        <w:rPr>
          <w:rFonts w:ascii="Calibri" w:hAnsi="Calibri" w:cs="Arial"/>
          <w:szCs w:val="24"/>
        </w:rPr>
        <w:t>ão da folha de pagamentos.</w:t>
      </w:r>
      <w:r w:rsidR="00C90D39" w:rsidRPr="005B09F6">
        <w:rPr>
          <w:rStyle w:val="Refdenotaderodap"/>
          <w:rFonts w:ascii="Calibri" w:hAnsi="Calibri" w:cs="Arial"/>
          <w:szCs w:val="24"/>
        </w:rPr>
        <w:t xml:space="preserve"> </w:t>
      </w:r>
      <w:r w:rsidR="00C90D39" w:rsidRPr="005B09F6">
        <w:rPr>
          <w:rStyle w:val="Refdenotaderodap"/>
          <w:rFonts w:ascii="Calibri" w:hAnsi="Calibri" w:cs="Arial"/>
          <w:szCs w:val="24"/>
        </w:rPr>
        <w:footnoteReference w:id="27"/>
      </w:r>
      <w:r w:rsidR="00280E5B" w:rsidRPr="005B09F6">
        <w:rPr>
          <w:rFonts w:ascii="Calibri" w:hAnsi="Calibri" w:cs="Arial"/>
          <w:szCs w:val="24"/>
        </w:rPr>
        <w:t xml:space="preserve"> A partir da soma entre tais componentes, chega-se a arrecadação previdenciária líquida total, conceito mais adequado para a Receita Previdenciária. No lado da Despesa, o modelo </w:t>
      </w:r>
      <w:r w:rsidR="00D654FB" w:rsidRPr="005B09F6">
        <w:rPr>
          <w:rFonts w:ascii="Calibri" w:hAnsi="Calibri" w:cs="Arial"/>
          <w:szCs w:val="24"/>
        </w:rPr>
        <w:t>da seção anterior projeta a despesa total com benefícios do RGPS. A partir dessas projeções, são adicionadas as despesas não-recorrentes, tais como sentenças judiciais, compensações previdenciárias e retiradas uma parcela de benefícios comumente devolvidos. Assim, chega-se a um conceito de despesa total de benefícios, conceito mais adequ</w:t>
      </w:r>
      <w:r w:rsidR="00C90D39" w:rsidRPr="005B09F6">
        <w:rPr>
          <w:rFonts w:ascii="Calibri" w:hAnsi="Calibri" w:cs="Arial"/>
          <w:szCs w:val="24"/>
        </w:rPr>
        <w:t>ado para a D</w:t>
      </w:r>
      <w:r w:rsidR="00D654FB" w:rsidRPr="005B09F6">
        <w:rPr>
          <w:rFonts w:ascii="Calibri" w:hAnsi="Calibri" w:cs="Arial"/>
          <w:szCs w:val="24"/>
        </w:rPr>
        <w:t xml:space="preserve">espesa </w:t>
      </w:r>
      <w:r w:rsidR="00C90D39" w:rsidRPr="005B09F6">
        <w:rPr>
          <w:rFonts w:ascii="Calibri" w:hAnsi="Calibri" w:cs="Arial"/>
          <w:szCs w:val="24"/>
        </w:rPr>
        <w:t>P</w:t>
      </w:r>
      <w:r w:rsidR="00D654FB" w:rsidRPr="005B09F6">
        <w:rPr>
          <w:rFonts w:ascii="Calibri" w:hAnsi="Calibri" w:cs="Arial"/>
          <w:szCs w:val="24"/>
        </w:rPr>
        <w:t xml:space="preserve">revidenciária. </w:t>
      </w:r>
    </w:p>
    <w:p w:rsidR="00951358" w:rsidRPr="005B09F6" w:rsidRDefault="005B2AF3" w:rsidP="00951358">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 xml:space="preserve">Os resultados referentes à evolução das principais variáveis para projeção de longo prazo são apresentados nas Tabela 6.1. Já os resultados acerca das projeções da receita, despesa e necessidade de financiamento do RGPS são descritos na Tabela </w:t>
      </w:r>
      <w:r w:rsidR="00951358" w:rsidRPr="005B09F6">
        <w:rPr>
          <w:rFonts w:ascii="Calibri" w:hAnsi="Calibri" w:cs="Arial"/>
          <w:szCs w:val="24"/>
        </w:rPr>
        <w:t>6.2</w:t>
      </w:r>
      <w:r w:rsidRPr="005B09F6">
        <w:rPr>
          <w:rFonts w:ascii="Calibri" w:hAnsi="Calibri" w:cs="Arial"/>
          <w:szCs w:val="24"/>
        </w:rPr>
        <w:t xml:space="preserve">. As hipóteses para a projeção estão detalhadas na seção </w:t>
      </w:r>
      <w:r w:rsidR="00084FE1" w:rsidRPr="005B09F6">
        <w:rPr>
          <w:rFonts w:ascii="Calibri" w:hAnsi="Calibri" w:cs="Arial"/>
          <w:szCs w:val="24"/>
        </w:rPr>
        <w:t>4</w:t>
      </w:r>
      <w:r w:rsidRPr="005B09F6">
        <w:rPr>
          <w:rFonts w:ascii="Calibri" w:hAnsi="Calibri" w:cs="Arial"/>
          <w:szCs w:val="24"/>
        </w:rPr>
        <w:t xml:space="preserve">.6. A análise dos resultados </w:t>
      </w:r>
      <w:r w:rsidR="00214017" w:rsidRPr="005B09F6">
        <w:rPr>
          <w:rFonts w:ascii="Calibri" w:hAnsi="Calibri" w:cs="Arial"/>
          <w:szCs w:val="24"/>
        </w:rPr>
        <w:t xml:space="preserve">deve destacar, principalmente, a projeção do comportamento tendencial da situação fiscal do sistema previdenciário (RGPS), </w:t>
      </w:r>
      <w:r w:rsidRPr="005B09F6">
        <w:rPr>
          <w:rFonts w:ascii="Calibri" w:hAnsi="Calibri" w:cs="Arial"/>
          <w:szCs w:val="24"/>
        </w:rPr>
        <w:t xml:space="preserve">uma vez que </w:t>
      </w:r>
      <w:r w:rsidR="00951358" w:rsidRPr="005B09F6">
        <w:rPr>
          <w:rFonts w:ascii="Calibri" w:hAnsi="Calibri" w:cs="Arial"/>
          <w:szCs w:val="24"/>
        </w:rPr>
        <w:t>os resultados</w:t>
      </w:r>
      <w:r w:rsidR="00214017" w:rsidRPr="005B09F6">
        <w:rPr>
          <w:rFonts w:ascii="Calibri" w:hAnsi="Calibri" w:cs="Arial"/>
          <w:szCs w:val="24"/>
        </w:rPr>
        <w:t xml:space="preserve"> </w:t>
      </w:r>
      <w:r w:rsidR="00951358" w:rsidRPr="005B09F6">
        <w:rPr>
          <w:rFonts w:ascii="Calibri" w:hAnsi="Calibri" w:cs="Arial"/>
          <w:szCs w:val="24"/>
        </w:rPr>
        <w:t xml:space="preserve">obtidos são fortemente influenciados pelas hipóteses relativas à dinâmica </w:t>
      </w:r>
      <w:r w:rsidRPr="005B09F6">
        <w:rPr>
          <w:rFonts w:ascii="Calibri" w:hAnsi="Calibri" w:cs="Arial"/>
          <w:szCs w:val="24"/>
        </w:rPr>
        <w:t xml:space="preserve">da demografia, </w:t>
      </w:r>
      <w:r w:rsidR="00240A8A" w:rsidRPr="005B09F6">
        <w:rPr>
          <w:rFonts w:ascii="Calibri" w:hAnsi="Calibri" w:cs="Arial"/>
          <w:szCs w:val="24"/>
        </w:rPr>
        <w:t>do mercado de trabalho</w:t>
      </w:r>
      <w:r w:rsidR="00741E6B" w:rsidRPr="005B09F6">
        <w:rPr>
          <w:rFonts w:ascii="Calibri" w:hAnsi="Calibri" w:cs="Arial"/>
          <w:szCs w:val="24"/>
        </w:rPr>
        <w:t>, do funcionamento do sistema previdenciário</w:t>
      </w:r>
      <w:r w:rsidR="00240A8A" w:rsidRPr="005B09F6">
        <w:rPr>
          <w:rFonts w:ascii="Calibri" w:hAnsi="Calibri" w:cs="Arial"/>
          <w:szCs w:val="24"/>
        </w:rPr>
        <w:t xml:space="preserve"> </w:t>
      </w:r>
      <w:r w:rsidR="00741E6B" w:rsidRPr="005B09F6">
        <w:rPr>
          <w:rFonts w:ascii="Calibri" w:hAnsi="Calibri" w:cs="Arial"/>
          <w:szCs w:val="24"/>
        </w:rPr>
        <w:t xml:space="preserve">(hipóteses comportamentais dos indivíduos) </w:t>
      </w:r>
      <w:r w:rsidR="00240A8A" w:rsidRPr="005B09F6">
        <w:rPr>
          <w:rFonts w:ascii="Calibri" w:hAnsi="Calibri" w:cs="Arial"/>
          <w:szCs w:val="24"/>
        </w:rPr>
        <w:t>e da</w:t>
      </w:r>
      <w:r w:rsidRPr="005B09F6">
        <w:rPr>
          <w:rFonts w:ascii="Calibri" w:hAnsi="Calibri" w:cs="Arial"/>
          <w:szCs w:val="24"/>
        </w:rPr>
        <w:t xml:space="preserve"> </w:t>
      </w:r>
      <w:r w:rsidR="006C62D9" w:rsidRPr="005B09F6">
        <w:rPr>
          <w:rFonts w:ascii="Calibri" w:hAnsi="Calibri" w:cs="Arial"/>
          <w:szCs w:val="24"/>
        </w:rPr>
        <w:t xml:space="preserve">própria </w:t>
      </w:r>
      <w:r w:rsidR="00240A8A" w:rsidRPr="005B09F6">
        <w:rPr>
          <w:rFonts w:ascii="Calibri" w:hAnsi="Calibri" w:cs="Arial"/>
          <w:szCs w:val="24"/>
        </w:rPr>
        <w:t>economia</w:t>
      </w:r>
      <w:r w:rsidR="00741E6B" w:rsidRPr="005B09F6">
        <w:rPr>
          <w:rFonts w:ascii="Calibri" w:hAnsi="Calibri" w:cs="Arial"/>
          <w:szCs w:val="24"/>
        </w:rPr>
        <w:t xml:space="preserve"> como um todo</w:t>
      </w:r>
      <w:r w:rsidR="003D0435" w:rsidRPr="005B09F6">
        <w:rPr>
          <w:rFonts w:ascii="Calibri" w:hAnsi="Calibri" w:cs="Arial"/>
          <w:szCs w:val="24"/>
        </w:rPr>
        <w:t xml:space="preserve"> (PIB, </w:t>
      </w:r>
      <w:r w:rsidR="00741E6B" w:rsidRPr="005B09F6">
        <w:rPr>
          <w:rFonts w:ascii="Calibri" w:hAnsi="Calibri" w:cs="Arial"/>
          <w:szCs w:val="24"/>
        </w:rPr>
        <w:t xml:space="preserve">produtividade, </w:t>
      </w:r>
      <w:r w:rsidR="003D0435" w:rsidRPr="005B09F6">
        <w:rPr>
          <w:rFonts w:ascii="Calibri" w:hAnsi="Calibri" w:cs="Arial"/>
          <w:szCs w:val="24"/>
        </w:rPr>
        <w:t>inflação)</w:t>
      </w:r>
      <w:r w:rsidR="00951358" w:rsidRPr="005B09F6">
        <w:rPr>
          <w:rFonts w:ascii="Calibri" w:hAnsi="Calibri" w:cs="Arial"/>
          <w:szCs w:val="24"/>
        </w:rPr>
        <w:t>.</w:t>
      </w:r>
      <w:r w:rsidR="006476F9" w:rsidRPr="005B09F6">
        <w:rPr>
          <w:rStyle w:val="Refdenotaderodap"/>
          <w:rFonts w:ascii="Calibri" w:hAnsi="Calibri" w:cs="Arial"/>
          <w:szCs w:val="24"/>
        </w:rPr>
        <w:footnoteReference w:id="28"/>
      </w:r>
      <w:r w:rsidR="00951358" w:rsidRPr="005B09F6">
        <w:rPr>
          <w:rFonts w:ascii="Calibri" w:hAnsi="Calibri" w:cs="Arial"/>
          <w:szCs w:val="24"/>
        </w:rPr>
        <w:t xml:space="preserve"> Logo, eventuais revisões nas</w:t>
      </w:r>
      <w:r w:rsidR="00F66C5D" w:rsidRPr="005B09F6">
        <w:rPr>
          <w:rFonts w:ascii="Calibri" w:hAnsi="Calibri" w:cs="Arial"/>
          <w:szCs w:val="24"/>
        </w:rPr>
        <w:t xml:space="preserve"> </w:t>
      </w:r>
      <w:r w:rsidR="00741E6B" w:rsidRPr="005B09F6">
        <w:rPr>
          <w:rFonts w:ascii="Calibri" w:hAnsi="Calibri" w:cs="Arial"/>
          <w:szCs w:val="24"/>
        </w:rPr>
        <w:t xml:space="preserve">projeções </w:t>
      </w:r>
      <w:r w:rsidR="00951358" w:rsidRPr="005B09F6">
        <w:rPr>
          <w:rFonts w:ascii="Calibri" w:hAnsi="Calibri" w:cs="Arial"/>
          <w:szCs w:val="24"/>
        </w:rPr>
        <w:t>de</w:t>
      </w:r>
      <w:r w:rsidR="003D0435" w:rsidRPr="005B09F6">
        <w:rPr>
          <w:rFonts w:ascii="Calibri" w:hAnsi="Calibri" w:cs="Arial"/>
          <w:szCs w:val="24"/>
        </w:rPr>
        <w:t>sses</w:t>
      </w:r>
      <w:r w:rsidR="00951358" w:rsidRPr="005B09F6">
        <w:rPr>
          <w:rFonts w:ascii="Calibri" w:hAnsi="Calibri" w:cs="Arial"/>
          <w:szCs w:val="24"/>
        </w:rPr>
        <w:t xml:space="preserve"> parâmetros ou </w:t>
      </w:r>
      <w:r w:rsidR="003D0435" w:rsidRPr="005B09F6">
        <w:rPr>
          <w:rFonts w:ascii="Calibri" w:hAnsi="Calibri" w:cs="Arial"/>
          <w:szCs w:val="24"/>
        </w:rPr>
        <w:t xml:space="preserve">a </w:t>
      </w:r>
      <w:r w:rsidR="00951358" w:rsidRPr="005B09F6">
        <w:rPr>
          <w:rFonts w:ascii="Calibri" w:hAnsi="Calibri" w:cs="Arial"/>
          <w:szCs w:val="24"/>
        </w:rPr>
        <w:t xml:space="preserve">observação de resultados no curto prazo diferentes dos projetados implicam, necessariamente, </w:t>
      </w:r>
      <w:r w:rsidR="003D0435" w:rsidRPr="005B09F6">
        <w:rPr>
          <w:rFonts w:ascii="Calibri" w:hAnsi="Calibri" w:cs="Arial"/>
          <w:szCs w:val="24"/>
        </w:rPr>
        <w:t xml:space="preserve">a </w:t>
      </w:r>
      <w:r w:rsidR="00951358" w:rsidRPr="005B09F6">
        <w:rPr>
          <w:rFonts w:ascii="Calibri" w:hAnsi="Calibri" w:cs="Arial"/>
          <w:szCs w:val="24"/>
        </w:rPr>
        <w:t>revisão das projeções de longo prazo.</w:t>
      </w:r>
      <w:r w:rsidR="00951358" w:rsidRPr="005B09F6">
        <w:rPr>
          <w:rStyle w:val="Refdenotaderodap"/>
          <w:rFonts w:ascii="Calibri" w:hAnsi="Calibri" w:cs="Arial"/>
          <w:szCs w:val="24"/>
        </w:rPr>
        <w:footnoteReference w:id="29"/>
      </w:r>
      <w:r w:rsidR="00951358" w:rsidRPr="005B09F6">
        <w:rPr>
          <w:rFonts w:ascii="Calibri" w:hAnsi="Calibri" w:cs="Arial"/>
          <w:szCs w:val="24"/>
        </w:rPr>
        <w:t xml:space="preserve"> </w:t>
      </w:r>
    </w:p>
    <w:p w:rsidR="0072409F" w:rsidRPr="005B09F6" w:rsidRDefault="0072409F" w:rsidP="0072409F">
      <w:pPr>
        <w:pStyle w:val="Recuodecorpodetexto"/>
        <w:tabs>
          <w:tab w:val="left" w:pos="142"/>
        </w:tabs>
        <w:spacing w:after="240" w:line="360" w:lineRule="auto"/>
        <w:rPr>
          <w:rFonts w:ascii="Calibri" w:hAnsi="Calibri" w:cs="Arial"/>
          <w:szCs w:val="24"/>
        </w:rPr>
      </w:pPr>
      <w:r w:rsidRPr="005B09F6">
        <w:rPr>
          <w:rFonts w:ascii="Calibri" w:hAnsi="Calibri" w:cs="Arial"/>
          <w:szCs w:val="24"/>
        </w:rPr>
        <w:t xml:space="preserve">A Tabela 6.1 apresenta as projeções para a taxa de crescimento da massa salarial dos contribuintes (utilizada para a projeção das receitas), a taxa de crescimento da massa salarial dos ocupados (utilizada para estimar a taxa de crescimento do PIB a partir de 2021), a taxa de crescimento real (vegetativa) da despesa (a qual consolida tanto os incrementos da despesa em termos reais provenientes da pressão demográfica como do aumento de preços em termos reais), a taxa de inflação anual – INPC acumulado (índice utilizado para </w:t>
      </w:r>
      <w:r w:rsidR="00084FE1" w:rsidRPr="005B09F6">
        <w:rPr>
          <w:rFonts w:ascii="Calibri" w:hAnsi="Calibri" w:cs="Arial"/>
          <w:szCs w:val="24"/>
        </w:rPr>
        <w:t>o reajuste</w:t>
      </w:r>
      <w:r w:rsidRPr="005B09F6">
        <w:rPr>
          <w:rFonts w:ascii="Calibri" w:hAnsi="Calibri" w:cs="Arial"/>
          <w:szCs w:val="24"/>
        </w:rPr>
        <w:t xml:space="preserve"> dos valores dos benefícios previdenciários), taxa de crescimento real do PIB (a qual é utilizada para as projeção da taxa de reajuste do SM). </w:t>
      </w:r>
      <w:r w:rsidR="00E325CA" w:rsidRPr="005B09F6">
        <w:rPr>
          <w:rStyle w:val="Refdenotaderodap"/>
          <w:rFonts w:ascii="Calibri" w:hAnsi="Calibri" w:cs="Arial"/>
          <w:szCs w:val="24"/>
        </w:rPr>
        <w:footnoteReference w:id="30"/>
      </w:r>
    </w:p>
    <w:p w:rsidR="006473AE" w:rsidRPr="005B09F6" w:rsidRDefault="0072409F" w:rsidP="00951358">
      <w:pPr>
        <w:pStyle w:val="Recuodecorpodetexto"/>
        <w:tabs>
          <w:tab w:val="left" w:pos="142"/>
        </w:tabs>
        <w:spacing w:after="240" w:line="360" w:lineRule="auto"/>
        <w:ind w:firstLine="0"/>
        <w:rPr>
          <w:rFonts w:ascii="Calibri" w:hAnsi="Calibri" w:cs="Arial"/>
          <w:szCs w:val="24"/>
        </w:rPr>
      </w:pPr>
      <w:r w:rsidRPr="005B09F6">
        <w:rPr>
          <w:rFonts w:ascii="Calibri" w:hAnsi="Calibri" w:cs="Arial"/>
          <w:szCs w:val="24"/>
        </w:rPr>
        <w:t>De acordo com a T</w:t>
      </w:r>
      <w:r w:rsidR="006473AE" w:rsidRPr="005B09F6">
        <w:rPr>
          <w:rFonts w:ascii="Calibri" w:hAnsi="Calibri" w:cs="Arial"/>
          <w:szCs w:val="24"/>
        </w:rPr>
        <w:t>abela 6.2, a arrecadação previdenciária estimada para 201</w:t>
      </w:r>
      <w:r w:rsidR="00EF0AF3" w:rsidRPr="005B09F6">
        <w:rPr>
          <w:rFonts w:ascii="Calibri" w:hAnsi="Calibri" w:cs="Arial"/>
          <w:szCs w:val="24"/>
        </w:rPr>
        <w:t>9</w:t>
      </w:r>
      <w:r w:rsidR="006473AE" w:rsidRPr="005B09F6">
        <w:rPr>
          <w:rFonts w:ascii="Calibri" w:hAnsi="Calibri" w:cs="Arial"/>
          <w:szCs w:val="24"/>
        </w:rPr>
        <w:t xml:space="preserve"> é de R$ </w:t>
      </w:r>
      <w:r w:rsidR="00217A9B" w:rsidRPr="005B09F6">
        <w:rPr>
          <w:rFonts w:ascii="Calibri" w:hAnsi="Calibri"/>
          <w:szCs w:val="24"/>
        </w:rPr>
        <w:t>420.759</w:t>
      </w:r>
      <w:r w:rsidR="006473AE" w:rsidRPr="005B09F6">
        <w:rPr>
          <w:rFonts w:ascii="Calibri" w:hAnsi="Calibri"/>
          <w:szCs w:val="24"/>
        </w:rPr>
        <w:t xml:space="preserve"> mi</w:t>
      </w:r>
      <w:r w:rsidR="006473AE" w:rsidRPr="005B09F6">
        <w:rPr>
          <w:rFonts w:ascii="Calibri" w:hAnsi="Calibri" w:cs="Arial"/>
          <w:szCs w:val="24"/>
        </w:rPr>
        <w:t xml:space="preserve">lhões, o que corresponde a </w:t>
      </w:r>
      <w:r w:rsidR="006473AE" w:rsidRPr="005B09F6">
        <w:rPr>
          <w:rFonts w:ascii="Calibri" w:hAnsi="Calibri"/>
          <w:szCs w:val="24"/>
        </w:rPr>
        <w:t>5,5</w:t>
      </w:r>
      <w:r w:rsidR="00217A9B" w:rsidRPr="005B09F6">
        <w:rPr>
          <w:rFonts w:ascii="Calibri" w:hAnsi="Calibri"/>
          <w:szCs w:val="24"/>
        </w:rPr>
        <w:t>7</w:t>
      </w:r>
      <w:r w:rsidR="006473AE" w:rsidRPr="005B09F6">
        <w:rPr>
          <w:rFonts w:ascii="Calibri" w:hAnsi="Calibri"/>
          <w:szCs w:val="24"/>
        </w:rPr>
        <w:t xml:space="preserve">% </w:t>
      </w:r>
      <w:r w:rsidR="006473AE" w:rsidRPr="005B09F6">
        <w:rPr>
          <w:rFonts w:ascii="Calibri" w:hAnsi="Calibri" w:cs="Arial"/>
          <w:szCs w:val="24"/>
        </w:rPr>
        <w:t>do PIB. Para 2060, as estimativas apontam</w:t>
      </w:r>
      <w:r w:rsidR="004D1C68" w:rsidRPr="005B09F6">
        <w:rPr>
          <w:rFonts w:ascii="Calibri" w:hAnsi="Calibri" w:cs="Arial"/>
          <w:szCs w:val="24"/>
        </w:rPr>
        <w:t xml:space="preserve"> para </w:t>
      </w:r>
      <w:r w:rsidR="006473AE" w:rsidRPr="005B09F6">
        <w:rPr>
          <w:rFonts w:ascii="Calibri" w:hAnsi="Calibri" w:cs="Arial"/>
          <w:szCs w:val="24"/>
        </w:rPr>
        <w:t xml:space="preserve">uma arrecadação de R$ </w:t>
      </w:r>
      <w:r w:rsidR="00EF0AF3" w:rsidRPr="005B09F6">
        <w:rPr>
          <w:rFonts w:ascii="Calibri" w:hAnsi="Calibri"/>
          <w:szCs w:val="24"/>
        </w:rPr>
        <w:t>3.993.321</w:t>
      </w:r>
      <w:r w:rsidR="00D702DE" w:rsidRPr="005B09F6">
        <w:rPr>
          <w:rFonts w:ascii="Calibri" w:hAnsi="Calibri"/>
          <w:szCs w:val="24"/>
        </w:rPr>
        <w:t xml:space="preserve"> </w:t>
      </w:r>
      <w:r w:rsidR="006473AE" w:rsidRPr="005B09F6">
        <w:rPr>
          <w:rFonts w:ascii="Calibri" w:hAnsi="Calibri" w:cs="Arial"/>
          <w:szCs w:val="24"/>
        </w:rPr>
        <w:t xml:space="preserve">milhões, ou </w:t>
      </w:r>
      <w:r w:rsidR="004D1C68" w:rsidRPr="005B09F6">
        <w:rPr>
          <w:rFonts w:ascii="Calibri" w:hAnsi="Calibri" w:cs="Arial"/>
          <w:szCs w:val="24"/>
        </w:rPr>
        <w:t xml:space="preserve">seja, </w:t>
      </w:r>
      <w:r w:rsidR="006473AE" w:rsidRPr="005B09F6">
        <w:rPr>
          <w:rFonts w:ascii="Calibri" w:hAnsi="Calibri" w:cs="Arial"/>
          <w:szCs w:val="24"/>
        </w:rPr>
        <w:t>5,</w:t>
      </w:r>
      <w:r w:rsidR="00EF0AF3" w:rsidRPr="005B09F6">
        <w:rPr>
          <w:rFonts w:ascii="Calibri" w:hAnsi="Calibri" w:cs="Arial"/>
          <w:szCs w:val="24"/>
        </w:rPr>
        <w:t>35</w:t>
      </w:r>
      <w:r w:rsidR="006473AE" w:rsidRPr="005B09F6">
        <w:rPr>
          <w:rFonts w:ascii="Calibri" w:hAnsi="Calibri" w:cs="Arial"/>
          <w:szCs w:val="24"/>
        </w:rPr>
        <w:t xml:space="preserve">% do PIB estimado para aquele ano. </w:t>
      </w:r>
      <w:r w:rsidR="00D702DE" w:rsidRPr="005B09F6">
        <w:rPr>
          <w:rFonts w:ascii="Calibri" w:hAnsi="Calibri" w:cs="Arial"/>
          <w:szCs w:val="24"/>
        </w:rPr>
        <w:t xml:space="preserve">No caso da despesa, </w:t>
      </w:r>
      <w:r w:rsidR="00CF15BA" w:rsidRPr="005B09F6">
        <w:rPr>
          <w:rFonts w:ascii="Calibri" w:hAnsi="Calibri" w:cs="Arial"/>
          <w:szCs w:val="24"/>
        </w:rPr>
        <w:t xml:space="preserve">essa é estimada em </w:t>
      </w:r>
      <w:r w:rsidR="00EF0AF3" w:rsidRPr="005B09F6">
        <w:rPr>
          <w:rFonts w:ascii="Calibri" w:hAnsi="Calibri" w:cs="Arial"/>
          <w:szCs w:val="24"/>
        </w:rPr>
        <w:t>635.432</w:t>
      </w:r>
      <w:r w:rsidR="00CF15BA" w:rsidRPr="005B09F6">
        <w:rPr>
          <w:rFonts w:ascii="Calibri" w:hAnsi="Calibri" w:cs="Arial"/>
          <w:szCs w:val="24"/>
        </w:rPr>
        <w:t xml:space="preserve"> milhões (8,</w:t>
      </w:r>
      <w:r w:rsidR="00EF0AF3" w:rsidRPr="005B09F6">
        <w:rPr>
          <w:rFonts w:ascii="Calibri" w:hAnsi="Calibri" w:cs="Arial"/>
          <w:szCs w:val="24"/>
        </w:rPr>
        <w:t>4</w:t>
      </w:r>
      <w:r w:rsidR="001B643E" w:rsidRPr="005B09F6">
        <w:rPr>
          <w:rFonts w:ascii="Calibri" w:hAnsi="Calibri" w:cs="Arial"/>
          <w:szCs w:val="24"/>
        </w:rPr>
        <w:t>2</w:t>
      </w:r>
      <w:r w:rsidR="00CF15BA" w:rsidRPr="005B09F6">
        <w:rPr>
          <w:rFonts w:ascii="Calibri" w:hAnsi="Calibri" w:cs="Arial"/>
          <w:szCs w:val="24"/>
        </w:rPr>
        <w:t>% do PIB) em 20</w:t>
      </w:r>
      <w:r w:rsidR="00EF0AF3" w:rsidRPr="005B09F6">
        <w:rPr>
          <w:rFonts w:ascii="Calibri" w:hAnsi="Calibri" w:cs="Arial"/>
          <w:szCs w:val="24"/>
        </w:rPr>
        <w:t>19</w:t>
      </w:r>
      <w:r w:rsidR="00CF15BA" w:rsidRPr="005B09F6">
        <w:rPr>
          <w:rFonts w:ascii="Calibri" w:hAnsi="Calibri" w:cs="Arial"/>
          <w:szCs w:val="24"/>
        </w:rPr>
        <w:t xml:space="preserve">. Quanto a sua dinâmica, </w:t>
      </w:r>
      <w:r w:rsidR="00D702DE" w:rsidRPr="005B09F6">
        <w:rPr>
          <w:rFonts w:ascii="Calibri" w:hAnsi="Calibri" w:cs="Arial"/>
          <w:szCs w:val="24"/>
        </w:rPr>
        <w:t xml:space="preserve">observa-se que </w:t>
      </w:r>
      <w:r w:rsidR="00CF15BA" w:rsidRPr="005B09F6">
        <w:rPr>
          <w:rFonts w:ascii="Calibri" w:hAnsi="Calibri" w:cs="Arial"/>
          <w:szCs w:val="24"/>
        </w:rPr>
        <w:t xml:space="preserve">um crescimento continuo da despesa </w:t>
      </w:r>
      <w:r w:rsidR="006473AE" w:rsidRPr="005B09F6">
        <w:rPr>
          <w:rFonts w:ascii="Calibri" w:hAnsi="Calibri" w:cs="Arial"/>
          <w:szCs w:val="24"/>
        </w:rPr>
        <w:t>nas</w:t>
      </w:r>
      <w:r w:rsidR="00CF15BA" w:rsidRPr="005B09F6">
        <w:rPr>
          <w:rFonts w:ascii="Calibri" w:hAnsi="Calibri" w:cs="Arial"/>
          <w:szCs w:val="24"/>
        </w:rPr>
        <w:t xml:space="preserve"> próximas décadas, atingindo, em 2060, </w:t>
      </w:r>
      <w:r w:rsidR="005A2024" w:rsidRPr="005B09F6">
        <w:rPr>
          <w:rFonts w:ascii="Calibri" w:hAnsi="Calibri" w:cs="Arial"/>
          <w:szCs w:val="24"/>
        </w:rPr>
        <w:t>R$ 1</w:t>
      </w:r>
      <w:r w:rsidR="00EF0AF3" w:rsidRPr="005B09F6">
        <w:rPr>
          <w:rFonts w:ascii="Calibri" w:hAnsi="Calibri" w:cs="Arial"/>
          <w:szCs w:val="24"/>
        </w:rPr>
        <w:t>2</w:t>
      </w:r>
      <w:r w:rsidR="005A2024" w:rsidRPr="005B09F6">
        <w:rPr>
          <w:rFonts w:ascii="Calibri" w:hAnsi="Calibri" w:cs="Arial"/>
          <w:szCs w:val="24"/>
        </w:rPr>
        <w:t>.</w:t>
      </w:r>
      <w:r w:rsidR="00EF0AF3" w:rsidRPr="005B09F6">
        <w:rPr>
          <w:rFonts w:ascii="Calibri" w:hAnsi="Calibri" w:cs="Arial"/>
          <w:szCs w:val="24"/>
        </w:rPr>
        <w:t>510.246</w:t>
      </w:r>
      <w:r w:rsidR="005A2024" w:rsidRPr="005B09F6">
        <w:rPr>
          <w:rFonts w:ascii="Calibri" w:hAnsi="Calibri" w:cs="Arial"/>
          <w:szCs w:val="24"/>
        </w:rPr>
        <w:t xml:space="preserve"> milhões </w:t>
      </w:r>
      <w:r w:rsidR="00CF15BA" w:rsidRPr="005B09F6">
        <w:rPr>
          <w:rFonts w:ascii="Calibri" w:hAnsi="Calibri" w:cs="Arial"/>
          <w:szCs w:val="24"/>
        </w:rPr>
        <w:t>(</w:t>
      </w:r>
      <w:r w:rsidR="00D702DE" w:rsidRPr="005B09F6">
        <w:rPr>
          <w:rFonts w:ascii="Calibri" w:hAnsi="Calibri" w:cs="Arial"/>
          <w:szCs w:val="24"/>
        </w:rPr>
        <w:t>16,7</w:t>
      </w:r>
      <w:r w:rsidR="00EF0AF3" w:rsidRPr="005B09F6">
        <w:rPr>
          <w:rFonts w:ascii="Calibri" w:hAnsi="Calibri" w:cs="Arial"/>
          <w:szCs w:val="24"/>
        </w:rPr>
        <w:t>5</w:t>
      </w:r>
      <w:r w:rsidR="006473AE" w:rsidRPr="005B09F6">
        <w:rPr>
          <w:rFonts w:ascii="Calibri" w:hAnsi="Calibri" w:cs="Arial"/>
          <w:szCs w:val="24"/>
        </w:rPr>
        <w:t>% do PIB</w:t>
      </w:r>
      <w:r w:rsidR="00CF15BA" w:rsidRPr="005B09F6">
        <w:rPr>
          <w:rFonts w:ascii="Calibri" w:hAnsi="Calibri" w:cs="Arial"/>
          <w:szCs w:val="24"/>
        </w:rPr>
        <w:t>).</w:t>
      </w:r>
      <w:r w:rsidR="006473AE" w:rsidRPr="005B09F6">
        <w:rPr>
          <w:rFonts w:ascii="Calibri" w:hAnsi="Calibri" w:cs="Arial"/>
          <w:szCs w:val="24"/>
        </w:rPr>
        <w:t xml:space="preserve"> </w:t>
      </w:r>
      <w:r w:rsidR="00CF15BA" w:rsidRPr="005B09F6">
        <w:rPr>
          <w:rFonts w:ascii="Calibri" w:hAnsi="Calibri" w:cs="Arial"/>
          <w:szCs w:val="24"/>
        </w:rPr>
        <w:t xml:space="preserve">Tal </w:t>
      </w:r>
      <w:r w:rsidR="005A2024" w:rsidRPr="005B09F6">
        <w:rPr>
          <w:rFonts w:ascii="Calibri" w:hAnsi="Calibri" w:cs="Arial"/>
          <w:szCs w:val="24"/>
        </w:rPr>
        <w:t xml:space="preserve">trajetória </w:t>
      </w:r>
      <w:r w:rsidR="00CF15BA" w:rsidRPr="005B09F6">
        <w:rPr>
          <w:rFonts w:ascii="Calibri" w:hAnsi="Calibri" w:cs="Arial"/>
          <w:szCs w:val="24"/>
        </w:rPr>
        <w:t xml:space="preserve">é </w:t>
      </w:r>
      <w:r w:rsidR="005A2024" w:rsidRPr="005B09F6">
        <w:rPr>
          <w:rFonts w:ascii="Calibri" w:hAnsi="Calibri" w:cs="Arial"/>
          <w:szCs w:val="24"/>
        </w:rPr>
        <w:t>pautada</w:t>
      </w:r>
      <w:r w:rsidR="006473AE" w:rsidRPr="005B09F6">
        <w:rPr>
          <w:rFonts w:ascii="Calibri" w:hAnsi="Calibri" w:cs="Arial"/>
          <w:szCs w:val="24"/>
        </w:rPr>
        <w:t>, fundamentalmente</w:t>
      </w:r>
      <w:r w:rsidR="00CF15BA" w:rsidRPr="005B09F6">
        <w:rPr>
          <w:rFonts w:ascii="Calibri" w:hAnsi="Calibri" w:cs="Arial"/>
          <w:szCs w:val="24"/>
        </w:rPr>
        <w:t>,</w:t>
      </w:r>
      <w:r w:rsidR="006473AE" w:rsidRPr="005B09F6">
        <w:rPr>
          <w:rFonts w:ascii="Calibri" w:hAnsi="Calibri" w:cs="Arial"/>
          <w:szCs w:val="24"/>
        </w:rPr>
        <w:t xml:space="preserve"> pelo acelerado processo</w:t>
      </w:r>
      <w:r w:rsidR="00CF15BA" w:rsidRPr="005B09F6">
        <w:rPr>
          <w:rFonts w:ascii="Calibri" w:hAnsi="Calibri" w:cs="Arial"/>
          <w:szCs w:val="24"/>
        </w:rPr>
        <w:t xml:space="preserve"> de envelhecimento populacional no Brasil. A comparação entre as receitas e despesas revelam uma necessidade de financiamento </w:t>
      </w:r>
      <w:r w:rsidR="004D1C68" w:rsidRPr="005B09F6">
        <w:rPr>
          <w:rFonts w:ascii="Calibri" w:hAnsi="Calibri" w:cs="Arial"/>
          <w:szCs w:val="24"/>
        </w:rPr>
        <w:t xml:space="preserve">do RGPS </w:t>
      </w:r>
      <w:r w:rsidR="00CF15BA" w:rsidRPr="005B09F6">
        <w:rPr>
          <w:rFonts w:ascii="Calibri" w:hAnsi="Calibri" w:cs="Arial"/>
          <w:szCs w:val="24"/>
        </w:rPr>
        <w:t xml:space="preserve">da ordem de R$ </w:t>
      </w:r>
      <w:r w:rsidR="00EF0AF3" w:rsidRPr="005B09F6">
        <w:rPr>
          <w:rFonts w:ascii="Calibri" w:hAnsi="Calibri" w:cs="Arial"/>
          <w:szCs w:val="24"/>
        </w:rPr>
        <w:t>214.674</w:t>
      </w:r>
      <w:r w:rsidR="00CF15BA" w:rsidRPr="005B09F6">
        <w:rPr>
          <w:rFonts w:ascii="Calibri" w:hAnsi="Calibri" w:cs="Arial"/>
          <w:szCs w:val="24"/>
        </w:rPr>
        <w:t xml:space="preserve"> milhões em 201</w:t>
      </w:r>
      <w:r w:rsidR="00EF0AF3" w:rsidRPr="005B09F6">
        <w:rPr>
          <w:rFonts w:ascii="Calibri" w:hAnsi="Calibri" w:cs="Arial"/>
          <w:szCs w:val="24"/>
        </w:rPr>
        <w:t>9</w:t>
      </w:r>
      <w:r w:rsidR="00CF15BA" w:rsidRPr="005B09F6">
        <w:rPr>
          <w:rFonts w:ascii="Calibri" w:hAnsi="Calibri" w:cs="Arial"/>
          <w:szCs w:val="24"/>
        </w:rPr>
        <w:t xml:space="preserve"> (2,</w:t>
      </w:r>
      <w:r w:rsidR="00EF0AF3" w:rsidRPr="005B09F6">
        <w:rPr>
          <w:rFonts w:ascii="Calibri" w:hAnsi="Calibri" w:cs="Arial"/>
          <w:szCs w:val="24"/>
        </w:rPr>
        <w:t>81</w:t>
      </w:r>
      <w:r w:rsidR="00CF15BA" w:rsidRPr="005B09F6">
        <w:rPr>
          <w:rFonts w:ascii="Calibri" w:hAnsi="Calibri" w:cs="Arial"/>
          <w:szCs w:val="24"/>
        </w:rPr>
        <w:t xml:space="preserve">% do PIB), a qual deve atingir R$ </w:t>
      </w:r>
      <w:r w:rsidR="00EF0AF3" w:rsidRPr="005B09F6">
        <w:rPr>
          <w:rFonts w:ascii="Calibri" w:hAnsi="Calibri" w:cs="Arial"/>
          <w:szCs w:val="24"/>
        </w:rPr>
        <w:t>8.516.925</w:t>
      </w:r>
      <w:r w:rsidR="00CF15BA" w:rsidRPr="005B09F6">
        <w:rPr>
          <w:rFonts w:ascii="Calibri" w:hAnsi="Calibri" w:cs="Arial"/>
          <w:szCs w:val="24"/>
        </w:rPr>
        <w:t xml:space="preserve"> milhões (11,</w:t>
      </w:r>
      <w:r w:rsidR="00EF0AF3" w:rsidRPr="005B09F6">
        <w:rPr>
          <w:rFonts w:ascii="Calibri" w:hAnsi="Calibri" w:cs="Arial"/>
          <w:szCs w:val="24"/>
        </w:rPr>
        <w:t>40</w:t>
      </w:r>
      <w:r w:rsidR="00CF15BA" w:rsidRPr="005B09F6">
        <w:rPr>
          <w:rFonts w:ascii="Calibri" w:hAnsi="Calibri" w:cs="Arial"/>
          <w:szCs w:val="24"/>
        </w:rPr>
        <w:t>% do PIB) em 2060.</w:t>
      </w:r>
    </w:p>
    <w:p w:rsidR="00B251D3" w:rsidRPr="005B09F6" w:rsidRDefault="00EF0AF3" w:rsidP="001E1770">
      <w:pPr>
        <w:ind w:left="-142"/>
        <w:rPr>
          <w:rFonts w:ascii="Calibri" w:hAnsi="Calibri" w:cs="Arial"/>
          <w:sz w:val="24"/>
          <w:szCs w:val="24"/>
        </w:rPr>
      </w:pPr>
      <w:r w:rsidRPr="005B09F6">
        <w:rPr>
          <w:rFonts w:ascii="Calibri" w:hAnsi="Calibri"/>
          <w:noProof/>
          <w:sz w:val="24"/>
          <w:szCs w:val="24"/>
          <w:lang w:eastAsia="pt-BR"/>
        </w:rPr>
        <w:drawing>
          <wp:inline distT="0" distB="0" distL="0" distR="0" wp14:anchorId="4B1B33AC" wp14:editId="1DE8A1A3">
            <wp:extent cx="6193155" cy="7827637"/>
            <wp:effectExtent l="0" t="0" r="0" b="254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93155" cy="7827637"/>
                    </a:xfrm>
                    <a:prstGeom prst="rect">
                      <a:avLst/>
                    </a:prstGeom>
                    <a:noFill/>
                    <a:ln>
                      <a:noFill/>
                    </a:ln>
                  </pic:spPr>
                </pic:pic>
              </a:graphicData>
            </a:graphic>
          </wp:inline>
        </w:drawing>
      </w:r>
      <w:r w:rsidR="00B251D3" w:rsidRPr="005B09F6">
        <w:rPr>
          <w:rFonts w:ascii="Calibri" w:hAnsi="Calibri" w:cs="Arial"/>
          <w:sz w:val="24"/>
          <w:szCs w:val="24"/>
        </w:rPr>
        <w:br w:type="page"/>
      </w:r>
    </w:p>
    <w:p w:rsidR="00B251D3" w:rsidRPr="005B09F6" w:rsidRDefault="00EF0AF3" w:rsidP="00BE14A7">
      <w:pPr>
        <w:pStyle w:val="Recuodecorpodetexto"/>
        <w:tabs>
          <w:tab w:val="left" w:pos="142"/>
        </w:tabs>
        <w:spacing w:after="240" w:line="360" w:lineRule="auto"/>
        <w:ind w:left="-284" w:firstLine="0"/>
        <w:rPr>
          <w:rFonts w:ascii="Calibri" w:hAnsi="Calibri" w:cs="Arial"/>
          <w:szCs w:val="24"/>
        </w:rPr>
      </w:pPr>
      <w:r w:rsidRPr="005B09F6">
        <w:rPr>
          <w:rFonts w:ascii="Calibri" w:hAnsi="Calibri"/>
          <w:noProof/>
          <w:szCs w:val="24"/>
          <w:lang w:eastAsia="pt-BR"/>
        </w:rPr>
        <w:drawing>
          <wp:inline distT="0" distB="0" distL="0" distR="0" wp14:anchorId="4709BEE1" wp14:editId="03A09203">
            <wp:extent cx="6193155" cy="7840407"/>
            <wp:effectExtent l="0" t="0" r="0" b="825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193155" cy="7840407"/>
                    </a:xfrm>
                    <a:prstGeom prst="rect">
                      <a:avLst/>
                    </a:prstGeom>
                    <a:noFill/>
                    <a:ln>
                      <a:noFill/>
                    </a:ln>
                  </pic:spPr>
                </pic:pic>
              </a:graphicData>
            </a:graphic>
          </wp:inline>
        </w:drawing>
      </w:r>
    </w:p>
    <w:sectPr w:rsidR="00B251D3" w:rsidRPr="005B09F6" w:rsidSect="00FF5C5E">
      <w:pgSz w:w="11907" w:h="16840" w:code="9"/>
      <w:pgMar w:top="1304" w:right="1077" w:bottom="1304" w:left="1077" w:header="964" w:footer="1298"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0874" w:rsidRDefault="00D40874">
      <w:r>
        <w:separator/>
      </w:r>
    </w:p>
  </w:endnote>
  <w:endnote w:type="continuationSeparator" w:id="0">
    <w:p w:rsidR="00D40874" w:rsidRDefault="00D408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IIDHEM+Calibri">
    <w:altName w:val="IIDHEM+Calibri"/>
    <w:panose1 w:val="00000000000000000000"/>
    <w:charset w:val="00"/>
    <w:family w:val="swiss"/>
    <w:notTrueType/>
    <w:pitch w:val="default"/>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GECDL I+ Times New">
    <w:altName w:val="Times New Roman"/>
    <w:panose1 w:val="00000000000000000000"/>
    <w:charset w:val="00"/>
    <w:family w:val="roman"/>
    <w:notTrueType/>
    <w:pitch w:val="default"/>
    <w:sig w:usb0="00000003" w:usb1="00000000" w:usb2="00000000" w:usb3="00000000" w:csb0="00000001" w:csb1="00000000"/>
  </w:font>
  <w:font w:name="Stone Serif ITC">
    <w:altName w:val="Stone Serif ITC"/>
    <w:panose1 w:val="00000000000000000000"/>
    <w:charset w:val="00"/>
    <w:family w:val="roman"/>
    <w:notTrueType/>
    <w:pitch w:val="default"/>
    <w:sig w:usb0="00000003" w:usb1="00000000" w:usb2="00000000" w:usb3="00000000" w:csb0="00000001" w:csb1="00000000"/>
  </w:font>
  <w:font w:name="Minion Pro">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Tw Cen MT Condensed">
    <w:panose1 w:val="020B0606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6D" w:rsidRDefault="001D086D" w:rsidP="00C03972">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18</w:t>
    </w:r>
    <w:r>
      <w:rPr>
        <w:rStyle w:val="Nmerodepgina"/>
      </w:rPr>
      <w:fldChar w:fldCharType="end"/>
    </w:r>
  </w:p>
  <w:p w:rsidR="001D086D" w:rsidRDefault="001D086D">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6D" w:rsidRPr="00C03972" w:rsidRDefault="001D086D" w:rsidP="00AC4A05">
    <w:pPr>
      <w:pStyle w:val="Rodap"/>
      <w:framePr w:wrap="around" w:vAnchor="text" w:hAnchor="margin" w:xAlign="right" w:y="1"/>
      <w:rPr>
        <w:rStyle w:val="Nmerodepgina"/>
        <w:rFonts w:ascii="Arial" w:hAnsi="Arial" w:cs="Arial"/>
      </w:rPr>
    </w:pPr>
    <w:r w:rsidRPr="00C03972">
      <w:rPr>
        <w:rStyle w:val="Nmerodepgina"/>
        <w:rFonts w:ascii="Arial" w:hAnsi="Arial" w:cs="Arial"/>
      </w:rPr>
      <w:fldChar w:fldCharType="begin"/>
    </w:r>
    <w:r w:rsidRPr="00C03972">
      <w:rPr>
        <w:rStyle w:val="Nmerodepgina"/>
        <w:rFonts w:ascii="Arial" w:hAnsi="Arial" w:cs="Arial"/>
      </w:rPr>
      <w:instrText xml:space="preserve">PAGE  </w:instrText>
    </w:r>
    <w:r w:rsidRPr="00C03972">
      <w:rPr>
        <w:rStyle w:val="Nmerodepgina"/>
        <w:rFonts w:ascii="Arial" w:hAnsi="Arial" w:cs="Arial"/>
      </w:rPr>
      <w:fldChar w:fldCharType="separate"/>
    </w:r>
    <w:r w:rsidR="00CB65A3">
      <w:rPr>
        <w:rStyle w:val="Nmerodepgina"/>
        <w:rFonts w:ascii="Arial" w:hAnsi="Arial" w:cs="Arial"/>
        <w:noProof/>
      </w:rPr>
      <w:t>57</w:t>
    </w:r>
    <w:r w:rsidRPr="00C03972">
      <w:rPr>
        <w:rStyle w:val="Nmerodepgina"/>
        <w:rFonts w:ascii="Arial" w:hAnsi="Arial" w:cs="Arial"/>
      </w:rPr>
      <w:fldChar w:fldCharType="end"/>
    </w:r>
  </w:p>
  <w:p w:rsidR="001D086D" w:rsidRDefault="001D086D">
    <w:pPr>
      <w:pStyle w:val="Rodap"/>
      <w:ind w:right="360"/>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0874" w:rsidRDefault="00D40874">
      <w:r>
        <w:separator/>
      </w:r>
    </w:p>
  </w:footnote>
  <w:footnote w:type="continuationSeparator" w:id="0">
    <w:p w:rsidR="00D40874" w:rsidRDefault="00D40874">
      <w:r>
        <w:continuationSeparator/>
      </w:r>
    </w:p>
  </w:footnote>
  <w:footnote w:id="1">
    <w:p w:rsidR="001D086D" w:rsidRPr="003819F4" w:rsidRDefault="001D086D" w:rsidP="005470A1">
      <w:pPr>
        <w:pStyle w:val="Textodenotaderodap"/>
        <w:jc w:val="both"/>
        <w:rPr>
          <w:rFonts w:ascii="Arial Narrow" w:hAnsi="Arial Narrow"/>
          <w:color w:val="FF0000"/>
        </w:rPr>
      </w:pPr>
      <w:r w:rsidRPr="005470A1">
        <w:rPr>
          <w:rStyle w:val="Refdenotaderodap"/>
          <w:rFonts w:ascii="Arial Narrow" w:hAnsi="Arial Narrow"/>
        </w:rPr>
        <w:footnoteRef/>
      </w:r>
      <w:r w:rsidRPr="005470A1">
        <w:rPr>
          <w:rFonts w:ascii="Arial Narrow" w:hAnsi="Arial Narrow"/>
        </w:rPr>
        <w:t xml:space="preserve"> </w:t>
      </w:r>
      <w:r>
        <w:rPr>
          <w:rFonts w:ascii="Arial Narrow" w:hAnsi="Arial Narrow"/>
        </w:rPr>
        <w:t>Acrescenta-se que o valor mínimo mencionado referente à somatória entre idade e tempo de contribuição possui aumento p</w:t>
      </w:r>
      <w:r w:rsidRPr="005470A1">
        <w:rPr>
          <w:rFonts w:ascii="Arial Narrow" w:hAnsi="Arial Narrow"/>
        </w:rPr>
        <w:t>rogressivo</w:t>
      </w:r>
      <w:r>
        <w:rPr>
          <w:rFonts w:ascii="Arial Narrow" w:hAnsi="Arial Narrow"/>
        </w:rPr>
        <w:t xml:space="preserve">, atingindo, em 2027, </w:t>
      </w:r>
      <w:r w:rsidRPr="005470A1">
        <w:rPr>
          <w:rFonts w:ascii="Arial Narrow" w:hAnsi="Arial Narrow"/>
        </w:rPr>
        <w:t>100</w:t>
      </w:r>
      <w:r>
        <w:rPr>
          <w:rFonts w:ascii="Arial Narrow" w:hAnsi="Arial Narrow"/>
        </w:rPr>
        <w:t xml:space="preserve"> para os homens e 90 para as mulheres. </w:t>
      </w:r>
    </w:p>
  </w:footnote>
  <w:footnote w:id="2">
    <w:p w:rsidR="001D086D" w:rsidRPr="00537D72" w:rsidRDefault="001D086D" w:rsidP="00816CCC">
      <w:pPr>
        <w:pStyle w:val="Textodenotaderodap"/>
        <w:jc w:val="both"/>
        <w:rPr>
          <w:rFonts w:ascii="Arial Narrow" w:hAnsi="Arial Narrow" w:cs="Arial"/>
        </w:rPr>
      </w:pPr>
      <w:r w:rsidRPr="00537D72">
        <w:rPr>
          <w:rStyle w:val="Refdenotaderodap"/>
          <w:rFonts w:ascii="Arial Narrow" w:hAnsi="Arial Narrow" w:cs="Arial"/>
        </w:rPr>
        <w:footnoteRef/>
      </w:r>
      <w:r w:rsidRPr="00537D72">
        <w:rPr>
          <w:rFonts w:ascii="Arial Narrow" w:hAnsi="Arial Narrow" w:cs="Arial"/>
        </w:rPr>
        <w:t xml:space="preserve"> Portaria MF nº 15, de 16/01/2018</w:t>
      </w:r>
    </w:p>
    <w:p w:rsidR="001D086D" w:rsidRPr="005470A1" w:rsidRDefault="001D086D" w:rsidP="00816CCC">
      <w:pPr>
        <w:pStyle w:val="Textodenotaderodap"/>
        <w:jc w:val="both"/>
        <w:rPr>
          <w:rFonts w:ascii="Arial Narrow" w:hAnsi="Arial Narrow" w:cs="Arial"/>
        </w:rPr>
      </w:pPr>
      <w:r w:rsidRPr="005470A1">
        <w:rPr>
          <w:rFonts w:ascii="Arial Narrow" w:hAnsi="Arial Narrow" w:cs="Arial"/>
        </w:rPr>
        <w:t>.</w:t>
      </w:r>
    </w:p>
  </w:footnote>
  <w:footnote w:id="3">
    <w:p w:rsidR="001D086D" w:rsidRPr="00537D72" w:rsidRDefault="001D086D" w:rsidP="00816CCC">
      <w:pPr>
        <w:pStyle w:val="Textodenotaderodap"/>
        <w:jc w:val="both"/>
        <w:rPr>
          <w:rFonts w:ascii="Arial Narrow" w:hAnsi="Arial Narrow" w:cs="Arial"/>
        </w:rPr>
      </w:pPr>
      <w:r w:rsidRPr="00537D72">
        <w:rPr>
          <w:rStyle w:val="Refdenotaderodap"/>
          <w:rFonts w:ascii="Arial Narrow" w:hAnsi="Arial Narrow" w:cs="Arial"/>
        </w:rPr>
        <w:footnoteRef/>
      </w:r>
      <w:r w:rsidRPr="00537D72">
        <w:rPr>
          <w:rFonts w:ascii="Arial Narrow" w:hAnsi="Arial Narrow" w:cs="Arial"/>
        </w:rPr>
        <w:t xml:space="preserve"> Portaria MF nº 15, de 16/01/2018.</w:t>
      </w:r>
    </w:p>
  </w:footnote>
  <w:footnote w:id="4">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Como a revisão 2004 da projeção populacional tem horizonte temporal até 2050 somente é possível comparar as projeções até esse ano, embora a revisão 2013 se estenda até 2060.</w:t>
      </w:r>
    </w:p>
  </w:footnote>
  <w:footnote w:id="5">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Pr>
          <w:rFonts w:ascii="Arial Narrow" w:hAnsi="Arial Narrow"/>
        </w:rPr>
        <w:t>Bônus</w:t>
      </w:r>
      <w:r w:rsidRPr="005470A1">
        <w:rPr>
          <w:rFonts w:ascii="Arial Narrow" w:hAnsi="Arial Narrow"/>
        </w:rPr>
        <w:t xml:space="preserve"> demográfico pode ser entendido como o resultado do movimento de crescimento da proporção da população em idade ativa (16-59 anos) em relação à população em idade dependente (0-15 anos e 60 anos ou +), decorrente do processo de transição demográfica. Esse </w:t>
      </w:r>
      <w:r>
        <w:rPr>
          <w:rFonts w:ascii="Arial Narrow" w:hAnsi="Arial Narrow"/>
        </w:rPr>
        <w:t>bônus</w:t>
      </w:r>
      <w:r w:rsidRPr="005470A1">
        <w:rPr>
          <w:rFonts w:ascii="Arial Narrow" w:hAnsi="Arial Narrow"/>
        </w:rPr>
        <w:t xml:space="preserve">, se aproveitado, </w:t>
      </w:r>
      <w:r>
        <w:rPr>
          <w:rFonts w:ascii="Arial Narrow" w:hAnsi="Arial Narrow"/>
        </w:rPr>
        <w:t>auxilia a</w:t>
      </w:r>
      <w:r w:rsidRPr="005470A1">
        <w:rPr>
          <w:rFonts w:ascii="Arial Narrow" w:hAnsi="Arial Narrow"/>
        </w:rPr>
        <w:t xml:space="preserve"> impulsionar o desenvolvimento econômico e social.</w:t>
      </w:r>
    </w:p>
  </w:footnote>
  <w:footnote w:id="6">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A subdivisão da modelagem de Pensões visa incorporar os efeitos da promulgação da Lei nº 13.135/2015, a qual introduziu, dentre outros fatores, a possibilidade de </w:t>
      </w:r>
      <w:proofErr w:type="spellStart"/>
      <w:r w:rsidRPr="005470A1">
        <w:rPr>
          <w:rFonts w:ascii="Arial Narrow" w:hAnsi="Arial Narrow"/>
        </w:rPr>
        <w:t>peridiocidade</w:t>
      </w:r>
      <w:proofErr w:type="spellEnd"/>
      <w:r w:rsidRPr="005470A1">
        <w:rPr>
          <w:rFonts w:ascii="Arial Narrow" w:hAnsi="Arial Narrow"/>
        </w:rPr>
        <w:t xml:space="preserve"> limitada na duração do benefício, a depender da idade do(a) cônjuge beneficiário. </w:t>
      </w:r>
    </w:p>
  </w:footnote>
  <w:footnote w:id="7">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Como referência teórica importante, destaca-se o livro de </w:t>
      </w:r>
      <w:proofErr w:type="spellStart"/>
      <w:r w:rsidRPr="005470A1">
        <w:rPr>
          <w:rFonts w:ascii="Arial Narrow" w:hAnsi="Arial Narrow"/>
        </w:rPr>
        <w:t>Subramaniam</w:t>
      </w:r>
      <w:proofErr w:type="spellEnd"/>
      <w:r w:rsidRPr="005470A1">
        <w:rPr>
          <w:rFonts w:ascii="Arial Narrow" w:hAnsi="Arial Narrow"/>
        </w:rPr>
        <w:t xml:space="preserve"> </w:t>
      </w:r>
      <w:proofErr w:type="spellStart"/>
      <w:r w:rsidRPr="005470A1">
        <w:rPr>
          <w:rFonts w:ascii="Arial Narrow" w:hAnsi="Arial Narrow"/>
        </w:rPr>
        <w:t>Iyer</w:t>
      </w:r>
      <w:proofErr w:type="spellEnd"/>
      <w:r w:rsidRPr="005470A1">
        <w:rPr>
          <w:rFonts w:ascii="Arial Narrow" w:hAnsi="Arial Narrow"/>
        </w:rPr>
        <w:t xml:space="preserve"> (</w:t>
      </w:r>
      <w:r w:rsidRPr="005470A1">
        <w:rPr>
          <w:rFonts w:ascii="Arial Narrow" w:hAnsi="Arial Narrow"/>
          <w:i/>
        </w:rPr>
        <w:t>Matemática Atuarial de Sistemas de Previdência Social</w:t>
      </w:r>
      <w:r w:rsidRPr="005470A1">
        <w:rPr>
          <w:rFonts w:ascii="Arial Narrow" w:hAnsi="Arial Narrow"/>
        </w:rPr>
        <w:t xml:space="preserve">. Coleção Previdência Social, v. 16, 2002). </w:t>
      </w:r>
    </w:p>
  </w:footnote>
  <w:footnote w:id="8">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 xml:space="preserve">Logo, a quantidade de homens de 68 anos aposentados em 2018 é estimada como sendo igual a quantidade de homens aposentados com 67 anos em 2017 que não tiveram benefício cessado (em virtude de falecimento) somada </w:t>
      </w:r>
      <w:r>
        <w:rPr>
          <w:rFonts w:ascii="Arial Narrow" w:eastAsiaTheme="minorEastAsia" w:hAnsi="Arial Narrow"/>
        </w:rPr>
        <w:t>à</w:t>
      </w:r>
      <w:r w:rsidRPr="005470A1">
        <w:rPr>
          <w:rFonts w:ascii="Arial Narrow" w:eastAsiaTheme="minorEastAsia" w:hAnsi="Arial Narrow"/>
        </w:rPr>
        <w:t>s concessões de aposentadorias para homens de 68 anos em 2018.</w:t>
      </w:r>
      <w:r w:rsidRPr="005470A1">
        <w:rPr>
          <w:rFonts w:ascii="Arial Narrow" w:hAnsi="Arial Narrow"/>
        </w:rPr>
        <w:t xml:space="preserve"> </w:t>
      </w:r>
    </w:p>
  </w:footnote>
  <w:footnote w:id="9">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 xml:space="preserve">Por construção, o fator assume o valor no caso de igualdade entre as taxas, ou seja, caso em que não é observada sobre ou </w:t>
      </w:r>
      <w:proofErr w:type="spellStart"/>
      <w:r w:rsidRPr="005470A1">
        <w:rPr>
          <w:rFonts w:ascii="Arial Narrow" w:eastAsiaTheme="minorEastAsia" w:hAnsi="Arial Narrow"/>
        </w:rPr>
        <w:t>submortalidade</w:t>
      </w:r>
      <w:proofErr w:type="spellEnd"/>
      <w:r w:rsidRPr="005470A1">
        <w:rPr>
          <w:rFonts w:ascii="Arial Narrow" w:eastAsiaTheme="minorEastAsia" w:hAnsi="Arial Narrow"/>
        </w:rPr>
        <w:t xml:space="preserve"> da população de beneficiários em relação à população total. Na avaliação das taxas, verifica-se que as subpopulações beneficiárias de alguns benefícios tais como a Aposentadoria por Tempo de Contribuição costumam apresentar </w:t>
      </w:r>
      <w:proofErr w:type="spellStart"/>
      <w:r w:rsidRPr="005470A1">
        <w:rPr>
          <w:rFonts w:ascii="Arial Narrow" w:eastAsiaTheme="minorEastAsia" w:hAnsi="Arial Narrow"/>
        </w:rPr>
        <w:t>submortalidade</w:t>
      </w:r>
      <w:proofErr w:type="spellEnd"/>
      <w:r w:rsidRPr="005470A1">
        <w:rPr>
          <w:rFonts w:ascii="Arial Narrow" w:eastAsiaTheme="minorEastAsia" w:hAnsi="Arial Narrow"/>
        </w:rPr>
        <w:t xml:space="preserve"> para diversas idades, em relação às taxas de mortalidade implícita estimadas para população como um todo. </w:t>
      </w:r>
    </w:p>
  </w:footnote>
  <w:footnote w:id="10">
    <w:p w:rsidR="001D086D" w:rsidRPr="005470A1" w:rsidRDefault="001D086D" w:rsidP="00816CCC">
      <w:pPr>
        <w:pStyle w:val="Textodenotaderodap"/>
        <w:jc w:val="both"/>
        <w:rPr>
          <w:rFonts w:ascii="Arial Narrow" w:eastAsiaTheme="minorEastAsia"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Logo, a quantidade de homens de 50 anos que tiveram auxílio concedido em 2018 é estimada como sendo igual a quantidade de homens segurados de 50 anos em 2018 vezes a probabilidade de geração desse benefício.</w:t>
      </w:r>
      <w:r w:rsidRPr="005470A1">
        <w:rPr>
          <w:rFonts w:ascii="Arial Narrow" w:hAnsi="Arial Narrow"/>
        </w:rPr>
        <w:t xml:space="preserve"> </w:t>
      </w:r>
    </w:p>
  </w:footnote>
  <w:footnote w:id="11">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Style w:val="Refdenotaderodap"/>
          <w:rFonts w:ascii="Arial Narrow" w:hAnsi="Arial Narrow"/>
        </w:rPr>
        <w:t xml:space="preserve"> </w:t>
      </w:r>
      <w:r w:rsidRPr="005470A1">
        <w:rPr>
          <w:rFonts w:ascii="Arial Narrow" w:hAnsi="Arial Narrow"/>
        </w:rPr>
        <w:t xml:space="preserve">As projeções incorporam o novo ambiente de regras da Lei </w:t>
      </w:r>
      <w:r>
        <w:rPr>
          <w:rFonts w:ascii="Arial Narrow" w:hAnsi="Arial Narrow"/>
        </w:rPr>
        <w:t xml:space="preserve">nº </w:t>
      </w:r>
      <w:r w:rsidRPr="005470A1">
        <w:rPr>
          <w:rFonts w:ascii="Arial Narrow" w:hAnsi="Arial Narrow"/>
        </w:rPr>
        <w:t>13.135/2015, a qual estabeleceu, além das carências de 1,5 ano de tempo de contribuição e de 2 anos de união estável para o acesso ao benefício, a possibilidade de periodicidade limitada do benefício a depender da idade do beneficiário na concessão, ou seja, se a idade do cônjuge for menor do que 21 anos, entre 21 e 26, 27 e 29, 30 e 40, 41 e 43, acima de 44, o cônjuge receberá o benefício durante 3, 6, 10, 15, 20, e de maneira vitalícia, respectivamente.</w:t>
      </w:r>
    </w:p>
  </w:footnote>
  <w:footnote w:id="12">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Ressalta-se que os benefícios assistenciais não possuem natureza previdenciária, assim, no caso de falecimento do beneficiário, não geram direito à Pensão por Morte para eventual dependente. </w:t>
      </w:r>
    </w:p>
  </w:footnote>
  <w:footnote w:id="13">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 xml:space="preserve">Logo, a quantidade de pensionistas mulheres de 55 anos em 2018 é estimada como sendo igual a quantidade de pensionistas mulheres com 54 anos em 2017 que não tiveram benefício cessado (em virtude de falecimento ou da periodicidade limitada imposta pela Lei </w:t>
      </w:r>
      <w:r w:rsidRPr="005470A1">
        <w:rPr>
          <w:rFonts w:ascii="Arial Narrow" w:hAnsi="Arial Narrow"/>
        </w:rPr>
        <w:t>13.135/2015</w:t>
      </w:r>
      <w:r w:rsidRPr="005470A1">
        <w:rPr>
          <w:rFonts w:ascii="Arial Narrow" w:eastAsiaTheme="minorEastAsia" w:hAnsi="Arial Narrow"/>
        </w:rPr>
        <w:t>) somadas as concessões de pensões para mulheres de 55 anos em 2018.</w:t>
      </w:r>
      <w:r w:rsidRPr="005470A1">
        <w:rPr>
          <w:rFonts w:ascii="Arial Narrow" w:hAnsi="Arial Narrow"/>
        </w:rPr>
        <w:t xml:space="preserve"> </w:t>
      </w:r>
    </w:p>
  </w:footnote>
  <w:footnote w:id="14">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Assim como na modelagem das aposentadorias, a quantidade de homens de 68 anos que recebem benefício assistencial em 2018 é estimada como sendo igual a quantidade de beneficiários com 67 anos em 2017 que não tiveram benefício cessado (em virtude de falecimento) somadas as concessões de benefícios para homens de 68 anos em 2018.</w:t>
      </w:r>
    </w:p>
  </w:footnote>
  <w:footnote w:id="15">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hAnsi="Arial Narrow"/>
          <w:iCs/>
        </w:rPr>
        <w:t xml:space="preserve">A Renda Mensal Vitalícia (RMV) é benefício em extinção desde 1996 (alteração do Art. 40 da Lei nº 8.742/1993). </w:t>
      </w:r>
    </w:p>
  </w:footnote>
  <w:footnote w:id="16">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Style w:val="Refdenotaderodap"/>
          <w:rFonts w:ascii="Arial Narrow" w:hAnsi="Arial Narrow"/>
        </w:rPr>
        <w:t xml:space="preserve"> </w:t>
      </w:r>
      <w:r w:rsidRPr="005470A1">
        <w:rPr>
          <w:rFonts w:ascii="Arial Narrow" w:hAnsi="Arial Narrow"/>
        </w:rPr>
        <w:t xml:space="preserve">Como exemplo, no caso de um eventual aumento da idade mínima para a concessão de um benefício de 60 para 61 anos em determinado ano, o procedimento consiste na vedação das concessões inicialmente previstas para indivíduos com 60 anos no ano da alteração. Contudo, tais concessões são parcialmente (existe desconto via taxa de mortalidade) encavaladas no modelo e essa estimativa descontada de concessão de benefícios é adicionada, no ano seguinte à mudança, à estimativa de concessões para indivíduos de 61 anos. </w:t>
      </w:r>
    </w:p>
  </w:footnote>
  <w:footnote w:id="17">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Como exemplo, a introdução de uma idade mínima pode aumentar a concessões de benefícios temporários (auxílios) em idade mais avançadas, visto que muitos dos indivíduos que se aposentariam em idade mais precoces continuarão no mercado de trabalho, passíveis de eventualmente necessitarem de benefícios temporários (auxílios). </w:t>
      </w:r>
    </w:p>
  </w:footnote>
  <w:footnote w:id="18">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Tal variável é fundamental principalmente</w:t>
      </w:r>
      <w:r w:rsidRPr="005470A1">
        <w:rPr>
          <w:rFonts w:ascii="Arial Narrow" w:eastAsiaTheme="minorEastAsia" w:hAnsi="Arial Narrow"/>
        </w:rPr>
        <w:t xml:space="preserve"> para as estimativas dos valores de concessão de benefício daqueles indivíduos que recebem acima do piso previdenciário. </w:t>
      </w:r>
    </w:p>
  </w:footnote>
  <w:footnote w:id="19">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Conforme será visto, a</w:t>
      </w:r>
      <w:r w:rsidRPr="005470A1">
        <w:rPr>
          <w:rFonts w:ascii="Arial Narrow" w:eastAsiaTheme="minorEastAsia" w:hAnsi="Arial Narrow"/>
        </w:rPr>
        <w:t xml:space="preserve">s massas salariais de ocupados e de contribuintes permitem projetar a evolução das taxas de crescimento do PIB e das receitas previdenciárias, respectivamente. </w:t>
      </w:r>
    </w:p>
  </w:footnote>
  <w:footnote w:id="20">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A fim de promover a redução da pobreza e diminuição da desigualdade na distribuição de renda, o governo propôs, em 2007, as diretrizes para a política de valorização do salário mínimo, válida para os anos de 2008 (Lei nº 11.709/2008), 2009 (Lei nº 11.944/2009), 2010 (Lei nº 12.255/2010) e 2011 a 2015 (Lei nº 12.382/2011), e 2016 a 2019 (Lei nº 13.152/2015). De acordo com a regra, o reajuste do valor do SM corresponde a uma parcela de reajuste nominal (variação acumulada do INPC) acrescido de outra que visa ao aumento real do SM (taxa de crescimento real anual do PIB de </w:t>
      </w:r>
      <w:r>
        <w:rPr>
          <w:rFonts w:ascii="Arial Narrow" w:hAnsi="Arial Narrow"/>
        </w:rPr>
        <w:t>dois</w:t>
      </w:r>
      <w:r w:rsidRPr="005470A1">
        <w:rPr>
          <w:rFonts w:ascii="Arial Narrow" w:hAnsi="Arial Narrow"/>
        </w:rPr>
        <w:t xml:space="preserve"> anos anteriores ao ano de referência). Assim, o poder de compra do SM é preservado (determinado pelo artigo 7º, inciso IV, da Constituição Federal) e o crescimento real anual de seu valor é igual ao crescimento defasado do PIB.</w:t>
      </w:r>
    </w:p>
  </w:footnote>
  <w:footnote w:id="21">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Style w:val="Refdenotaderodap"/>
          <w:rFonts w:ascii="Arial Narrow" w:hAnsi="Arial Narrow"/>
        </w:rPr>
        <w:t xml:space="preserve"> </w:t>
      </w:r>
      <w:r w:rsidRPr="005470A1">
        <w:rPr>
          <w:rFonts w:ascii="Arial Narrow" w:hAnsi="Arial Narrow"/>
        </w:rPr>
        <w:t xml:space="preserve">Os valores de benefícios acima do SM serão tratados em seção posterior. </w:t>
      </w:r>
    </w:p>
  </w:footnote>
  <w:footnote w:id="22">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A massa salarial dos ocupados rurais não é utilizada para as projeções de arrecadação, tendo em vista que muitos segurados não contribuem ou contribuem sobre outras bases de cálculo, tal como a venda de produtos agrícolas.</w:t>
      </w:r>
    </w:p>
  </w:footnote>
  <w:footnote w:id="23">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Ressalta-se que os benefícios assistenciais não possuem natureza previdenciária, assim, não dão direito a abono anual (13ª parcela).</w:t>
      </w:r>
    </w:p>
  </w:footnote>
  <w:footnote w:id="24">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Style w:val="Refdenotaderodap"/>
          <w:rFonts w:ascii="Arial Narrow" w:hAnsi="Arial Narrow"/>
        </w:rPr>
        <w:t xml:space="preserve"> </w:t>
      </w:r>
      <w:r w:rsidRPr="005470A1">
        <w:rPr>
          <w:rFonts w:ascii="Arial Narrow" w:hAnsi="Arial Narrow"/>
        </w:rPr>
        <w:t xml:space="preserve">No caso de 2017, os valores de benefício dessa clientela estão entre o SM (R$ 937,00) e o teto do RGPS (R$ 5.531,31). </w:t>
      </w:r>
    </w:p>
  </w:footnote>
  <w:footnote w:id="25">
    <w:p w:rsidR="001D086D" w:rsidRPr="005470A1" w:rsidRDefault="001D086D" w:rsidP="00816CCC">
      <w:pPr>
        <w:pStyle w:val="Textodenotaderodap"/>
        <w:jc w:val="both"/>
        <w:rPr>
          <w:rFonts w:ascii="Arial Narrow" w:hAnsi="Arial Narrow"/>
        </w:rPr>
      </w:pPr>
      <w:r w:rsidRPr="005470A1">
        <w:rPr>
          <w:rStyle w:val="Refdenotaderodap"/>
          <w:rFonts w:ascii="Arial Narrow" w:hAnsi="Arial Narrow"/>
        </w:rPr>
        <w:footnoteRef/>
      </w:r>
      <w:r w:rsidRPr="005470A1">
        <w:rPr>
          <w:rStyle w:val="Refdenotaderodap"/>
          <w:rFonts w:ascii="Arial Narrow" w:hAnsi="Arial Narrow"/>
        </w:rPr>
        <w:t xml:space="preserve"> </w:t>
      </w:r>
      <w:r w:rsidRPr="005470A1">
        <w:rPr>
          <w:rFonts w:ascii="Arial Narrow" w:hAnsi="Arial Narrow"/>
        </w:rPr>
        <w:t xml:space="preserve">Admite-se que as concessões ocorrem de maneira uniforme no decorrer do ano, assim, o </w:t>
      </w:r>
      <w:r w:rsidRPr="005470A1">
        <w:rPr>
          <w:rFonts w:ascii="Arial Narrow" w:hAnsi="Arial Narrow"/>
          <w:kern w:val="20"/>
        </w:rPr>
        <w:t xml:space="preserve">número médio esperado de pagamentos recebido pelos novos beneficiários </w:t>
      </w:r>
      <w:r w:rsidRPr="005470A1">
        <w:rPr>
          <w:rFonts w:ascii="Arial Narrow" w:hAnsi="Arial Narrow"/>
        </w:rPr>
        <w:t>é de 6,5 (</w:t>
      </w:r>
      <m:oMath>
        <m:f>
          <m:fPr>
            <m:type m:val="lin"/>
            <m:ctrlPr>
              <w:rPr>
                <w:rFonts w:ascii="Cambria Math" w:hAnsi="Cambria Math"/>
                <w:i/>
              </w:rPr>
            </m:ctrlPr>
          </m:fPr>
          <m:num>
            <m:sPre>
              <m:sPrePr>
                <m:ctrlPr>
                  <w:rPr>
                    <w:rFonts w:ascii="Cambria Math" w:hAnsi="Cambria Math"/>
                    <w:i/>
                  </w:rPr>
                </m:ctrlPr>
              </m:sPrePr>
              <m:sub>
                <m:r>
                  <w:rPr>
                    <w:rFonts w:ascii="Cambria Math" w:hAnsi="Cambria Math"/>
                  </w:rPr>
                  <m:t>Ua</m:t>
                </m:r>
              </m:sub>
              <m:sup>
                <m:r>
                  <w:rPr>
                    <w:rFonts w:ascii="Cambria Math" w:hAnsi="Cambria Math"/>
                  </w:rPr>
                  <m:t>α, δ</m:t>
                </m:r>
              </m:sup>
              <m:e>
                <m:sSub>
                  <m:sSubPr>
                    <m:ctrlPr>
                      <w:rPr>
                        <w:rFonts w:ascii="Cambria Math" w:hAnsi="Cambria Math"/>
                        <w:i/>
                      </w:rPr>
                    </m:ctrlPr>
                  </m:sSubPr>
                  <m:e>
                    <m:r>
                      <w:rPr>
                        <w:rFonts w:ascii="Cambria Math" w:hAnsi="Cambria Math"/>
                      </w:rPr>
                      <m:t>n</m:t>
                    </m:r>
                  </m:e>
                  <m:sub>
                    <m:r>
                      <w:rPr>
                        <w:rFonts w:ascii="Cambria Math" w:hAnsi="Cambria Math"/>
                      </w:rPr>
                      <m:t>co</m:t>
                    </m:r>
                  </m:sub>
                </m:sSub>
              </m:e>
            </m:sPre>
          </m:num>
          <m:den>
            <m:r>
              <w:rPr>
                <w:rFonts w:ascii="Cambria Math" w:hAnsi="Cambria Math"/>
              </w:rPr>
              <m:t>2</m:t>
            </m:r>
          </m:den>
        </m:f>
      </m:oMath>
      <w:r w:rsidRPr="005470A1">
        <w:rPr>
          <w:rFonts w:ascii="Arial Narrow" w:hAnsi="Arial Narrow"/>
        </w:rPr>
        <w:t>), visto que aposentadorias e pensões dão direito a abono anual (13ª parcela</w:t>
      </w:r>
      <w:r>
        <w:rPr>
          <w:rFonts w:ascii="Arial Narrow" w:hAnsi="Arial Narrow"/>
        </w:rPr>
        <w:t>)</w:t>
      </w:r>
      <w:r w:rsidRPr="005470A1">
        <w:rPr>
          <w:rFonts w:ascii="Arial Narrow" w:hAnsi="Arial Narrow"/>
        </w:rPr>
        <w:t xml:space="preserve">. </w:t>
      </w:r>
    </w:p>
  </w:footnote>
  <w:footnote w:id="26">
    <w:p w:rsidR="001D086D" w:rsidRPr="005470A1" w:rsidRDefault="001D086D" w:rsidP="00816CCC">
      <w:pPr>
        <w:jc w:val="both"/>
        <w:rPr>
          <w:rFonts w:ascii="Arial Narrow" w:eastAsiaTheme="minorEastAsia" w:hAnsi="Arial Narrow"/>
        </w:rPr>
      </w:pPr>
      <w:r w:rsidRPr="005470A1">
        <w:rPr>
          <w:rStyle w:val="Refdenotaderodap"/>
          <w:rFonts w:ascii="Arial Narrow" w:hAnsi="Arial Narrow"/>
        </w:rPr>
        <w:footnoteRef/>
      </w:r>
      <w:r w:rsidRPr="005470A1">
        <w:rPr>
          <w:rFonts w:ascii="Arial Narrow" w:hAnsi="Arial Narrow"/>
        </w:rPr>
        <w:t xml:space="preserve"> </w:t>
      </w:r>
      <w:r w:rsidRPr="005470A1">
        <w:rPr>
          <w:rFonts w:ascii="Arial Narrow" w:eastAsiaTheme="minorEastAsia" w:hAnsi="Arial Narrow"/>
        </w:rPr>
        <w:t>As informações referem-se às projeções da população no ponto médio de cada ano (30 de junho). Assim, a mortalidade estimada em cada ano dá-se por meio da soma entre a mortalidade estimada para o 1º semestre do ano (</w:t>
      </w:r>
      <m:oMath>
        <m:sSubSup>
          <m:sSubSupPr>
            <m:ctrlPr>
              <w:rPr>
                <w:rFonts w:ascii="Cambria Math" w:hAnsi="Cambria Math"/>
              </w:rPr>
            </m:ctrlPr>
          </m:sSubSupPr>
          <m:e>
            <m:r>
              <m:rPr>
                <m:sty m:val="p"/>
              </m:rPr>
              <w:rPr>
                <w:rFonts w:ascii="Cambria Math" w:hAnsi="Cambria Math"/>
              </w:rPr>
              <m:t>Mo</m:t>
            </m:r>
          </m:e>
          <m:sub>
            <m:r>
              <m:rPr>
                <m:sty m:val="p"/>
              </m:rPr>
              <w:rPr>
                <w:rFonts w:ascii="Cambria Math" w:hAnsi="Cambria Math"/>
              </w:rPr>
              <m:t xml:space="preserve">i,1º sem ano t </m:t>
            </m:r>
          </m:sub>
          <m:sup>
            <m:r>
              <m:rPr>
                <m:sty m:val="p"/>
              </m:rPr>
              <w:rPr>
                <w:rFonts w:ascii="Cambria Math" w:hAnsi="Cambria Math"/>
              </w:rPr>
              <m:t>s</m:t>
            </m:r>
          </m:sup>
        </m:sSubSup>
        <m:r>
          <m:rPr>
            <m:sty m:val="p"/>
          </m:rPr>
          <w:rPr>
            <w:rFonts w:ascii="Cambria Math" w:hAnsi="Cambria Math"/>
          </w:rPr>
          <m:t>=</m:t>
        </m:r>
        <m:f>
          <m:fPr>
            <m:type m:val="lin"/>
            <m:ctrlPr>
              <w:rPr>
                <w:rFonts w:ascii="Cambria Math" w:eastAsiaTheme="minorEastAsia" w:hAnsi="Cambria Math"/>
              </w:rPr>
            </m:ctrlPr>
          </m:fPr>
          <m:num>
            <m:r>
              <m:rPr>
                <m:sty m:val="p"/>
              </m:rPr>
              <w:rPr>
                <w:rFonts w:ascii="Cambria Math" w:eastAsiaTheme="minorEastAsia" w:hAnsi="Cambria Math"/>
              </w:rPr>
              <m:t>(</m:t>
            </m:r>
            <m:sSubSup>
              <m:sSubSupPr>
                <m:ctrlPr>
                  <w:rPr>
                    <w:rFonts w:ascii="Cambria Math" w:hAnsi="Cambria Math"/>
                  </w:rPr>
                </m:ctrlPr>
              </m:sSubSupPr>
              <m:e>
                <m:r>
                  <m:rPr>
                    <m:sty m:val="p"/>
                  </m:rPr>
                  <w:rPr>
                    <w:rFonts w:ascii="Cambria Math" w:hAnsi="Cambria Math"/>
                  </w:rPr>
                  <m:t>P</m:t>
                </m:r>
              </m:e>
              <m:sub>
                <m:r>
                  <m:rPr>
                    <m:sty m:val="p"/>
                  </m:rPr>
                  <w:rPr>
                    <w:rFonts w:ascii="Cambria Math" w:hAnsi="Cambria Math"/>
                  </w:rPr>
                  <m:t xml:space="preserve">i,30.06.t </m:t>
                </m:r>
              </m:sub>
              <m:sup>
                <m:r>
                  <m:rPr>
                    <m:sty m:val="p"/>
                  </m:rPr>
                  <w:rPr>
                    <w:rFonts w:ascii="Cambria Math" w:hAnsi="Cambria Math"/>
                  </w:rPr>
                  <m:t>s</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P</m:t>
                </m:r>
              </m:e>
              <m:sub>
                <m:r>
                  <m:rPr>
                    <m:sty m:val="p"/>
                  </m:rPr>
                  <w:rPr>
                    <w:rFonts w:ascii="Cambria Math" w:hAnsi="Cambria Math"/>
                  </w:rPr>
                  <m:t xml:space="preserve">i,30.06.t-1 </m:t>
                </m:r>
              </m:sub>
              <m:sup>
                <m:r>
                  <m:rPr>
                    <m:sty m:val="p"/>
                  </m:rPr>
                  <w:rPr>
                    <w:rFonts w:ascii="Cambria Math" w:hAnsi="Cambria Math"/>
                  </w:rPr>
                  <m:t>s</m:t>
                </m:r>
              </m:sup>
            </m:sSubSup>
            <m:r>
              <m:rPr>
                <m:sty m:val="p"/>
              </m:rPr>
              <w:rPr>
                <w:rFonts w:ascii="Cambria Math" w:hAnsi="Cambria Math"/>
              </w:rPr>
              <m:t>)</m:t>
            </m:r>
          </m:num>
          <m:den>
            <m:r>
              <m:rPr>
                <m:sty m:val="p"/>
              </m:rPr>
              <w:rPr>
                <w:rFonts w:ascii="Cambria Math" w:eastAsiaTheme="minorEastAsia" w:hAnsi="Cambria Math"/>
              </w:rPr>
              <m:t>2</m:t>
            </m:r>
          </m:den>
        </m:f>
      </m:oMath>
      <w:r w:rsidRPr="005470A1">
        <w:rPr>
          <w:rFonts w:ascii="Arial Narrow" w:eastAsiaTheme="minorEastAsia" w:hAnsi="Arial Narrow"/>
        </w:rPr>
        <w:t>) e para o 2º semestre, ou seja</w:t>
      </w:r>
      <w:proofErr w:type="gramStart"/>
      <w:r w:rsidRPr="005470A1">
        <w:rPr>
          <w:rFonts w:ascii="Arial Narrow" w:eastAsiaTheme="minorEastAsia" w:hAnsi="Arial Narrow"/>
        </w:rPr>
        <w:t xml:space="preserve">, </w:t>
      </w:r>
      <m:oMath>
        <m:sSubSup>
          <m:sSubSupPr>
            <m:ctrlPr>
              <w:rPr>
                <w:rFonts w:ascii="Cambria Math" w:hAnsi="Cambria Math"/>
              </w:rPr>
            </m:ctrlPr>
          </m:sSubSupPr>
          <m:e>
            <m:r>
              <m:rPr>
                <m:sty m:val="p"/>
              </m:rPr>
              <w:rPr>
                <w:rFonts w:ascii="Cambria Math" w:hAnsi="Cambria Math"/>
              </w:rPr>
              <m:t>Mo</m:t>
            </m:r>
          </m:e>
          <m:sub>
            <m:r>
              <m:rPr>
                <m:sty m:val="p"/>
              </m:rPr>
              <w:rPr>
                <w:rFonts w:ascii="Cambria Math" w:hAnsi="Cambria Math"/>
              </w:rPr>
              <m:t xml:space="preserve">i,t </m:t>
            </m:r>
          </m:sub>
          <m:sup>
            <m:r>
              <m:rPr>
                <m:sty m:val="p"/>
              </m:rPr>
              <w:rPr>
                <w:rFonts w:ascii="Cambria Math" w:hAnsi="Cambria Math"/>
              </w:rPr>
              <m:t>s</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Mo</m:t>
            </m:r>
          </m:e>
          <m:sub>
            <m:r>
              <m:rPr>
                <m:sty m:val="p"/>
              </m:rPr>
              <w:rPr>
                <w:rFonts w:ascii="Cambria Math" w:hAnsi="Cambria Math"/>
              </w:rPr>
              <m:t xml:space="preserve">i,1º sem. ano t </m:t>
            </m:r>
          </m:sub>
          <m:sup>
            <m:r>
              <m:rPr>
                <m:sty m:val="p"/>
              </m:rPr>
              <w:rPr>
                <w:rFonts w:ascii="Cambria Math" w:hAnsi="Cambria Math"/>
              </w:rPr>
              <m:t>s</m:t>
            </m:r>
          </m:sup>
        </m:sSubSup>
        <m:r>
          <m:rPr>
            <m:sty m:val="p"/>
          </m:rPr>
          <w:rPr>
            <w:rFonts w:ascii="Cambria Math" w:hAnsi="Cambria Math"/>
          </w:rPr>
          <m:t>+</m:t>
        </m:r>
        <m:sSubSup>
          <m:sSubSupPr>
            <m:ctrlPr>
              <w:rPr>
                <w:rFonts w:ascii="Cambria Math" w:hAnsi="Cambria Math"/>
              </w:rPr>
            </m:ctrlPr>
          </m:sSubSupPr>
          <m:e>
            <m:r>
              <m:rPr>
                <m:sty m:val="p"/>
              </m:rPr>
              <w:rPr>
                <w:rFonts w:ascii="Cambria Math" w:hAnsi="Cambria Math"/>
              </w:rPr>
              <m:t>Mo</m:t>
            </m:r>
          </m:e>
          <m:sub>
            <m:r>
              <m:rPr>
                <m:sty m:val="p"/>
              </m:rPr>
              <w:rPr>
                <w:rFonts w:ascii="Cambria Math" w:hAnsi="Cambria Math"/>
              </w:rPr>
              <m:t xml:space="preserve">i,2º sem. ano t </m:t>
            </m:r>
          </m:sub>
          <m:sup>
            <m:r>
              <m:rPr>
                <m:sty m:val="p"/>
              </m:rPr>
              <w:rPr>
                <w:rFonts w:ascii="Cambria Math" w:hAnsi="Cambria Math"/>
              </w:rPr>
              <m:t>s</m:t>
            </m:r>
          </m:sup>
        </m:sSubSup>
      </m:oMath>
      <w:r w:rsidRPr="005470A1">
        <w:rPr>
          <w:rFonts w:ascii="Arial Narrow" w:eastAsiaTheme="minorEastAsia" w:hAnsi="Arial Narrow"/>
        </w:rPr>
        <w:t>.</w:t>
      </w:r>
      <w:proofErr w:type="gramEnd"/>
      <w:r w:rsidRPr="005470A1">
        <w:rPr>
          <w:rFonts w:ascii="Arial Narrow" w:eastAsiaTheme="minorEastAsia" w:hAnsi="Arial Narrow"/>
        </w:rPr>
        <w:t xml:space="preserve"> </w:t>
      </w:r>
    </w:p>
  </w:footnote>
  <w:footnote w:id="27">
    <w:p w:rsidR="001D086D" w:rsidRPr="006476F9" w:rsidRDefault="001D086D" w:rsidP="006476F9">
      <w:pPr>
        <w:pStyle w:val="Textodenotaderodap"/>
        <w:jc w:val="both"/>
        <w:rPr>
          <w:rFonts w:ascii="Arial Narrow" w:hAnsi="Arial Narrow" w:cs="Arial"/>
        </w:rPr>
      </w:pPr>
      <w:r w:rsidRPr="005470A1">
        <w:rPr>
          <w:rStyle w:val="Refdenotaderodap"/>
          <w:rFonts w:ascii="Arial Narrow" w:hAnsi="Arial Narrow"/>
        </w:rPr>
        <w:footnoteRef/>
      </w:r>
      <w:r w:rsidRPr="005470A1">
        <w:rPr>
          <w:rFonts w:ascii="Arial Narrow" w:hAnsi="Arial Narrow"/>
        </w:rPr>
        <w:t xml:space="preserve"> </w:t>
      </w:r>
      <w:r w:rsidRPr="00F66C5D">
        <w:rPr>
          <w:rFonts w:ascii="Arial Narrow" w:hAnsi="Arial Narrow"/>
        </w:rPr>
        <w:t xml:space="preserve">Cabe observar que a recente implementação e progressiva expansão da política de substituição da contribuição previdenciária patronal sobre salários por uma contribuição sobre o faturamento reduziu a importância da folha de salários na arrecadação da Previdência Social. </w:t>
      </w:r>
      <w:r>
        <w:rPr>
          <w:rFonts w:ascii="Arial Narrow" w:hAnsi="Arial Narrow"/>
        </w:rPr>
        <w:t xml:space="preserve">A </w:t>
      </w:r>
      <w:r w:rsidRPr="00067FCA">
        <w:rPr>
          <w:rFonts w:ascii="Arial Narrow" w:hAnsi="Arial Narrow"/>
        </w:rPr>
        <w:t xml:space="preserve">Lei nº 12.546/2011 estabelece que o Tesouro Nacional deverá compensar o Fundo do Regime Geral de Previdência Social pela </w:t>
      </w:r>
      <w:r w:rsidRPr="006476F9">
        <w:rPr>
          <w:rFonts w:ascii="Arial Narrow" w:hAnsi="Arial Narrow"/>
        </w:rPr>
        <w:t>diferença entre o valor recolhido pelas empresas sobre o faturamento e o que deveria ter sido recolhido caso a contribuição fosse sobre a folha de pagamento. Acrescenta-se que existem o</w:t>
      </w:r>
      <w:r w:rsidRPr="006476F9">
        <w:rPr>
          <w:rFonts w:ascii="Arial Narrow" w:hAnsi="Arial Narrow" w:cs="Arial"/>
        </w:rPr>
        <w:t xml:space="preserve">utras Medidas Provisórias e leis que estendem a substituição mencionada na Lei </w:t>
      </w:r>
      <w:r>
        <w:rPr>
          <w:rFonts w:ascii="Arial Narrow" w:hAnsi="Arial Narrow" w:cs="Arial"/>
        </w:rPr>
        <w:t xml:space="preserve">nº </w:t>
      </w:r>
      <w:r w:rsidRPr="006476F9">
        <w:rPr>
          <w:rFonts w:ascii="Arial Narrow" w:hAnsi="Arial Narrow" w:cs="Arial"/>
        </w:rPr>
        <w:t>12.546/2011 para outros grupos de empregadores, as quais também instituem a mesma obrigação para o Tesouro Nacional.</w:t>
      </w:r>
      <w:r>
        <w:rPr>
          <w:rFonts w:ascii="Arial Narrow" w:hAnsi="Arial Narrow" w:cs="Arial"/>
        </w:rPr>
        <w:t xml:space="preserve"> </w:t>
      </w:r>
    </w:p>
  </w:footnote>
  <w:footnote w:id="28">
    <w:p w:rsidR="001D086D" w:rsidRDefault="001D086D" w:rsidP="006476F9">
      <w:pPr>
        <w:pStyle w:val="Textodenotaderodap"/>
        <w:jc w:val="both"/>
      </w:pPr>
      <w:r w:rsidRPr="006476F9">
        <w:rPr>
          <w:rStyle w:val="Refdenotaderodap"/>
          <w:rFonts w:ascii="Arial Narrow" w:hAnsi="Arial Narrow"/>
        </w:rPr>
        <w:footnoteRef/>
      </w:r>
      <w:r w:rsidRPr="006476F9">
        <w:rPr>
          <w:rFonts w:ascii="Arial Narrow" w:hAnsi="Arial Narrow"/>
        </w:rPr>
        <w:t xml:space="preserve"> </w:t>
      </w:r>
      <w:r>
        <w:rPr>
          <w:rFonts w:ascii="Arial Narrow" w:hAnsi="Arial Narrow"/>
        </w:rPr>
        <w:t xml:space="preserve">Enquanto </w:t>
      </w:r>
      <w:r w:rsidRPr="006476F9">
        <w:rPr>
          <w:rFonts w:ascii="Arial Narrow" w:hAnsi="Arial Narrow"/>
        </w:rPr>
        <w:t xml:space="preserve">as mudanças na estrutura demográfica são mais lentas e previsíveis, as alterações na composição da força de trabalho estão cada vez mais aceleradas em razão dos avanços tecnológicos, de mudanças nas relações laborais e da reestruturação dos processos produtivos. Elementos como a taxa de atividade, grau de informalidade e taxa de desemprego, fundamentais para as projeções previdenciárias, são variáveis de difícil previsão. </w:t>
      </w:r>
      <w:r>
        <w:rPr>
          <w:rFonts w:ascii="Arial Narrow" w:hAnsi="Arial Narrow"/>
        </w:rPr>
        <w:t xml:space="preserve">Assim, como apresentado na seção 4.6, </w:t>
      </w:r>
      <w:r w:rsidRPr="006476F9">
        <w:rPr>
          <w:rFonts w:ascii="Arial Narrow" w:hAnsi="Arial Narrow"/>
        </w:rPr>
        <w:t>adotou-se a hipótese de manutenção da atual estrutura de mercado de trabalho ao longo do horizonte temporal da projeção.</w:t>
      </w:r>
    </w:p>
  </w:footnote>
  <w:footnote w:id="29">
    <w:p w:rsidR="001D086D" w:rsidRPr="005470A1" w:rsidRDefault="001D086D" w:rsidP="00951358">
      <w:pPr>
        <w:pStyle w:val="Textodenotaderodap"/>
        <w:jc w:val="both"/>
        <w:rPr>
          <w:rFonts w:ascii="Arial Narrow" w:hAnsi="Arial Narrow"/>
        </w:rPr>
      </w:pPr>
      <w:r w:rsidRPr="005470A1">
        <w:rPr>
          <w:rStyle w:val="Refdenotaderodap"/>
          <w:rFonts w:ascii="Arial Narrow" w:hAnsi="Arial Narrow"/>
        </w:rPr>
        <w:footnoteRef/>
      </w:r>
      <w:r w:rsidRPr="005470A1">
        <w:rPr>
          <w:rFonts w:ascii="Arial Narrow" w:hAnsi="Arial Narrow"/>
        </w:rPr>
        <w:t xml:space="preserve"> Reforça a observação acima feita o fato de que as projeções são temporalmente encadeadas, ou seja, os resultados de um ano afetam os resultados dos anos seguintes. Em função disso, pequenas variações nos parâmetros podem ter seus efeitos potencializados no longo prazo, gerando variações significativas nos resultados estimados ao final do período.</w:t>
      </w:r>
    </w:p>
  </w:footnote>
  <w:footnote w:id="30">
    <w:p w:rsidR="001D086D" w:rsidRPr="00E325CA" w:rsidRDefault="001D086D" w:rsidP="00E325CA">
      <w:pPr>
        <w:pStyle w:val="Textodenotaderodap"/>
        <w:jc w:val="both"/>
        <w:rPr>
          <w:rFonts w:ascii="Arial Narrow" w:hAnsi="Arial Narrow"/>
        </w:rPr>
      </w:pPr>
      <w:r w:rsidRPr="00E325CA">
        <w:rPr>
          <w:rStyle w:val="Refdenotaderodap"/>
          <w:rFonts w:ascii="Arial Narrow" w:hAnsi="Arial Narrow"/>
        </w:rPr>
        <w:footnoteRef/>
      </w:r>
      <w:r w:rsidRPr="00E325CA">
        <w:rPr>
          <w:rStyle w:val="Refdenotaderodap"/>
          <w:rFonts w:ascii="Arial Narrow" w:hAnsi="Arial Narrow"/>
        </w:rPr>
        <w:t xml:space="preserve"> </w:t>
      </w:r>
      <w:r w:rsidRPr="00E325CA">
        <w:rPr>
          <w:rFonts w:ascii="Arial Narrow" w:hAnsi="Arial Narrow"/>
        </w:rPr>
        <w:t xml:space="preserve">No caso do RGPS, os benefícios são reajustados conforme a variação da inflação, com exceção dos benefícios equivalentes ao piso previdenciário, que variam de acordo com o reajuste do salário mínimo. </w:t>
      </w:r>
      <w:r>
        <w:rPr>
          <w:rFonts w:ascii="Arial Narrow" w:hAnsi="Arial Narrow"/>
        </w:rPr>
        <w:t xml:space="preserve">Assim, </w:t>
      </w:r>
      <w:r w:rsidRPr="00E325CA">
        <w:rPr>
          <w:rFonts w:ascii="Arial Narrow" w:hAnsi="Arial Narrow"/>
        </w:rPr>
        <w:t>consider</w:t>
      </w:r>
      <w:r>
        <w:rPr>
          <w:rFonts w:ascii="Arial Narrow" w:hAnsi="Arial Narrow"/>
        </w:rPr>
        <w:t>a</w:t>
      </w:r>
      <w:r w:rsidRPr="00E325CA">
        <w:rPr>
          <w:rFonts w:ascii="Arial Narrow" w:hAnsi="Arial Narrow"/>
        </w:rPr>
        <w:t xml:space="preserve">-se que os reajustes dos demais benefícios deverão ser correspondentes à inflação anual </w:t>
      </w:r>
      <w:r>
        <w:rPr>
          <w:rFonts w:ascii="Arial Narrow" w:hAnsi="Arial Narrow"/>
        </w:rPr>
        <w:t>do ano anterior</w:t>
      </w:r>
      <w:r w:rsidRPr="00E325CA">
        <w:rPr>
          <w:rFonts w:ascii="Arial Narrow" w:hAnsi="Arial Narrow"/>
        </w:rPr>
        <w:t>, enquanto o salário mínimo</w:t>
      </w:r>
      <w:r>
        <w:rPr>
          <w:rFonts w:ascii="Arial Narrow" w:hAnsi="Arial Narrow"/>
        </w:rPr>
        <w:t xml:space="preserve"> também possui </w:t>
      </w:r>
      <w:r w:rsidRPr="00E325CA">
        <w:rPr>
          <w:rFonts w:ascii="Arial Narrow" w:hAnsi="Arial Narrow"/>
        </w:rPr>
        <w:t xml:space="preserve">ganhos reais equivalentes ao crescimento </w:t>
      </w:r>
      <w:r>
        <w:rPr>
          <w:rFonts w:ascii="Arial Narrow" w:hAnsi="Arial Narrow"/>
        </w:rPr>
        <w:t xml:space="preserve">real </w:t>
      </w:r>
      <w:r w:rsidRPr="00E325CA">
        <w:rPr>
          <w:rFonts w:ascii="Arial Narrow" w:hAnsi="Arial Narrow"/>
        </w:rPr>
        <w:t xml:space="preserve">do </w:t>
      </w:r>
      <w:r>
        <w:rPr>
          <w:rFonts w:ascii="Arial Narrow" w:hAnsi="Arial Narrow"/>
        </w:rPr>
        <w:t xml:space="preserve">PIB defasado (ver seção 4.6).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6D" w:rsidRDefault="001D086D">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D086D" w:rsidRDefault="001D086D">
    <w:pPr>
      <w:pStyle w:val="Cabealh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6D" w:rsidRDefault="001D086D">
    <w:pPr>
      <w:pStyle w:val="Cabealho"/>
      <w:ind w:right="36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86D" w:rsidRDefault="001D086D">
    <w:pPr>
      <w:pStyle w:val="Cabealh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08962480"/>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A910918"/>
    <w:multiLevelType w:val="hybridMultilevel"/>
    <w:tmpl w:val="8AD45AC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BCD5FC0"/>
    <w:multiLevelType w:val="hybridMultilevel"/>
    <w:tmpl w:val="D0A868D8"/>
    <w:lvl w:ilvl="0" w:tplc="0416000F">
      <w:start w:val="1"/>
      <w:numFmt w:val="decimal"/>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nsid w:val="0D2C0320"/>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0D651DA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6">
    <w:nsid w:val="10DC766A"/>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1A9B7073"/>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8">
    <w:nsid w:val="21DB1589"/>
    <w:multiLevelType w:val="singleLevel"/>
    <w:tmpl w:val="FFFFFFFF"/>
    <w:lvl w:ilvl="0">
      <w:numFmt w:val="bullet"/>
      <w:lvlText w:val=""/>
      <w:legacy w:legacy="1" w:legacySpace="0" w:legacyIndent="360"/>
      <w:lvlJc w:val="left"/>
      <w:pPr>
        <w:ind w:left="1080" w:hanging="360"/>
      </w:pPr>
      <w:rPr>
        <w:rFonts w:ascii="Symbol" w:hAnsi="Symbol" w:hint="default"/>
      </w:rPr>
    </w:lvl>
  </w:abstractNum>
  <w:abstractNum w:abstractNumId="9">
    <w:nsid w:val="28CF5614"/>
    <w:multiLevelType w:val="hybridMultilevel"/>
    <w:tmpl w:val="D0A868D8"/>
    <w:lvl w:ilvl="0" w:tplc="0416000F">
      <w:start w:val="1"/>
      <w:numFmt w:val="decimal"/>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10">
    <w:nsid w:val="2C5A289D"/>
    <w:multiLevelType w:val="hybridMultilevel"/>
    <w:tmpl w:val="3466A2B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5996150"/>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2">
    <w:nsid w:val="398B5C21"/>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
    <w:nsid w:val="472922E8"/>
    <w:multiLevelType w:val="hybridMultilevel"/>
    <w:tmpl w:val="48A4501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525253CD"/>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5">
    <w:nsid w:val="623E224C"/>
    <w:multiLevelType w:val="singleLevel"/>
    <w:tmpl w:val="F178522C"/>
    <w:lvl w:ilvl="0">
      <w:start w:val="1"/>
      <w:numFmt w:val="upperRoman"/>
      <w:lvlText w:val="%1."/>
      <w:lvlJc w:val="left"/>
      <w:pPr>
        <w:tabs>
          <w:tab w:val="num" w:pos="1571"/>
        </w:tabs>
        <w:ind w:left="1571" w:hanging="720"/>
      </w:pPr>
      <w:rPr>
        <w:rFonts w:hint="default"/>
      </w:rPr>
    </w:lvl>
  </w:abstractNum>
  <w:abstractNum w:abstractNumId="16">
    <w:nsid w:val="765F65CF"/>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7">
    <w:nsid w:val="7E1F3507"/>
    <w:multiLevelType w:val="hybridMultilevel"/>
    <w:tmpl w:val="1D50047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7E960327"/>
    <w:multiLevelType w:val="hybridMultilevel"/>
    <w:tmpl w:val="6200153A"/>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14"/>
  </w:num>
  <w:num w:numId="2">
    <w:abstractNumId w:val="15"/>
  </w:num>
  <w:num w:numId="3">
    <w:abstractNumId w:val="11"/>
  </w:num>
  <w:num w:numId="4">
    <w:abstractNumId w:val="16"/>
  </w:num>
  <w:num w:numId="5">
    <w:abstractNumId w:val="5"/>
  </w:num>
  <w:num w:numId="6">
    <w:abstractNumId w:val="12"/>
  </w:num>
  <w:num w:numId="7">
    <w:abstractNumId w:val="7"/>
  </w:num>
  <w:num w:numId="8">
    <w:abstractNumId w:val="0"/>
    <w:lvlOverride w:ilvl="0">
      <w:lvl w:ilvl="0">
        <w:numFmt w:val="bullet"/>
        <w:lvlText w:val=""/>
        <w:legacy w:legacy="1" w:legacySpace="0" w:legacyIndent="360"/>
        <w:lvlJc w:val="left"/>
        <w:pPr>
          <w:ind w:left="1080" w:hanging="360"/>
        </w:pPr>
        <w:rPr>
          <w:rFonts w:ascii="Symbol" w:hAnsi="Symbol" w:hint="default"/>
        </w:rPr>
      </w:lvl>
    </w:lvlOverride>
  </w:num>
  <w:num w:numId="9">
    <w:abstractNumId w:val="8"/>
  </w:num>
  <w:num w:numId="10">
    <w:abstractNumId w:val="1"/>
  </w:num>
  <w:num w:numId="11">
    <w:abstractNumId w:val="6"/>
  </w:num>
  <w:num w:numId="12">
    <w:abstractNumId w:val="4"/>
  </w:num>
  <w:num w:numId="13">
    <w:abstractNumId w:val="9"/>
  </w:num>
  <w:num w:numId="14">
    <w:abstractNumId w:val="3"/>
  </w:num>
  <w:num w:numId="15">
    <w:abstractNumId w:val="18"/>
  </w:num>
  <w:num w:numId="16">
    <w:abstractNumId w:val="2"/>
  </w:num>
  <w:num w:numId="17">
    <w:abstractNumId w:val="17"/>
  </w:num>
  <w:num w:numId="18">
    <w:abstractNumId w:val="10"/>
  </w:num>
  <w:num w:numId="19">
    <w:abstractNumId w:val="1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4097" fill="f" fillcolor="black" stroke="f" strokecolor="white">
      <v:fill color="black" on="f"/>
      <v:stroke color="white" weight="3e-5mm" on="f"/>
      <v:textbox inset="6.12pt,3.06pt,6.12pt,3.06pt"/>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2F1"/>
    <w:rsid w:val="000024A1"/>
    <w:rsid w:val="0000321F"/>
    <w:rsid w:val="00010937"/>
    <w:rsid w:val="00011C5B"/>
    <w:rsid w:val="0001386F"/>
    <w:rsid w:val="000146E0"/>
    <w:rsid w:val="0002064D"/>
    <w:rsid w:val="00025247"/>
    <w:rsid w:val="0002775F"/>
    <w:rsid w:val="00041736"/>
    <w:rsid w:val="00050F9A"/>
    <w:rsid w:val="00054376"/>
    <w:rsid w:val="0005612F"/>
    <w:rsid w:val="000618C6"/>
    <w:rsid w:val="00067FCA"/>
    <w:rsid w:val="00070078"/>
    <w:rsid w:val="00071263"/>
    <w:rsid w:val="000739A3"/>
    <w:rsid w:val="00076EF2"/>
    <w:rsid w:val="00084FE1"/>
    <w:rsid w:val="00086BBA"/>
    <w:rsid w:val="00090B69"/>
    <w:rsid w:val="000920B3"/>
    <w:rsid w:val="000955A1"/>
    <w:rsid w:val="00096911"/>
    <w:rsid w:val="000A50AC"/>
    <w:rsid w:val="000A569A"/>
    <w:rsid w:val="000B1C08"/>
    <w:rsid w:val="000B1CC5"/>
    <w:rsid w:val="000B56EA"/>
    <w:rsid w:val="000C13F1"/>
    <w:rsid w:val="000C18EF"/>
    <w:rsid w:val="000C48A1"/>
    <w:rsid w:val="000C753E"/>
    <w:rsid w:val="000C7556"/>
    <w:rsid w:val="000C75FB"/>
    <w:rsid w:val="000D3951"/>
    <w:rsid w:val="000D4AC5"/>
    <w:rsid w:val="000D606B"/>
    <w:rsid w:val="000D6B66"/>
    <w:rsid w:val="000E051A"/>
    <w:rsid w:val="000E05CD"/>
    <w:rsid w:val="000E149A"/>
    <w:rsid w:val="000E1F34"/>
    <w:rsid w:val="000E3FA2"/>
    <w:rsid w:val="000E407E"/>
    <w:rsid w:val="000F2C3E"/>
    <w:rsid w:val="000F2F69"/>
    <w:rsid w:val="00100E68"/>
    <w:rsid w:val="00101550"/>
    <w:rsid w:val="001054FA"/>
    <w:rsid w:val="00107FC3"/>
    <w:rsid w:val="00115070"/>
    <w:rsid w:val="001204DF"/>
    <w:rsid w:val="001232C4"/>
    <w:rsid w:val="00132BFC"/>
    <w:rsid w:val="00140615"/>
    <w:rsid w:val="00140D24"/>
    <w:rsid w:val="0014109D"/>
    <w:rsid w:val="00152F47"/>
    <w:rsid w:val="00153D47"/>
    <w:rsid w:val="00153EC0"/>
    <w:rsid w:val="00154FE8"/>
    <w:rsid w:val="00156003"/>
    <w:rsid w:val="00156577"/>
    <w:rsid w:val="00156FFE"/>
    <w:rsid w:val="00173F03"/>
    <w:rsid w:val="00175E1C"/>
    <w:rsid w:val="00177321"/>
    <w:rsid w:val="00177934"/>
    <w:rsid w:val="00177DC1"/>
    <w:rsid w:val="00182103"/>
    <w:rsid w:val="00182E1C"/>
    <w:rsid w:val="00183B14"/>
    <w:rsid w:val="001845A4"/>
    <w:rsid w:val="00187EB7"/>
    <w:rsid w:val="00191DE6"/>
    <w:rsid w:val="00191E04"/>
    <w:rsid w:val="001958D0"/>
    <w:rsid w:val="001B1F61"/>
    <w:rsid w:val="001B37C0"/>
    <w:rsid w:val="001B597A"/>
    <w:rsid w:val="001B643E"/>
    <w:rsid w:val="001C290F"/>
    <w:rsid w:val="001D086D"/>
    <w:rsid w:val="001D1380"/>
    <w:rsid w:val="001D2CDE"/>
    <w:rsid w:val="001D3E0F"/>
    <w:rsid w:val="001E05ED"/>
    <w:rsid w:val="001E0AF8"/>
    <w:rsid w:val="001E1770"/>
    <w:rsid w:val="001F1D2A"/>
    <w:rsid w:val="001F3000"/>
    <w:rsid w:val="001F30D9"/>
    <w:rsid w:val="001F43FB"/>
    <w:rsid w:val="00201A0C"/>
    <w:rsid w:val="002101BF"/>
    <w:rsid w:val="00211CF3"/>
    <w:rsid w:val="002120DE"/>
    <w:rsid w:val="00214017"/>
    <w:rsid w:val="00217A9B"/>
    <w:rsid w:val="002201D3"/>
    <w:rsid w:val="00224967"/>
    <w:rsid w:val="00227F62"/>
    <w:rsid w:val="00234D18"/>
    <w:rsid w:val="00240A8A"/>
    <w:rsid w:val="00244A2A"/>
    <w:rsid w:val="00245B35"/>
    <w:rsid w:val="00247629"/>
    <w:rsid w:val="00247F7E"/>
    <w:rsid w:val="002506E4"/>
    <w:rsid w:val="002562EB"/>
    <w:rsid w:val="00260D54"/>
    <w:rsid w:val="00261CEC"/>
    <w:rsid w:val="00261DD2"/>
    <w:rsid w:val="002623AC"/>
    <w:rsid w:val="00265BB3"/>
    <w:rsid w:val="00270C3F"/>
    <w:rsid w:val="00273131"/>
    <w:rsid w:val="0027537D"/>
    <w:rsid w:val="0027565C"/>
    <w:rsid w:val="00277724"/>
    <w:rsid w:val="00277FAA"/>
    <w:rsid w:val="0028083D"/>
    <w:rsid w:val="00280E5B"/>
    <w:rsid w:val="00285E11"/>
    <w:rsid w:val="00286C86"/>
    <w:rsid w:val="00291E36"/>
    <w:rsid w:val="002932C6"/>
    <w:rsid w:val="002A7472"/>
    <w:rsid w:val="002B3FD6"/>
    <w:rsid w:val="002B4B68"/>
    <w:rsid w:val="002B562D"/>
    <w:rsid w:val="002B66E4"/>
    <w:rsid w:val="002C2F4F"/>
    <w:rsid w:val="002C4404"/>
    <w:rsid w:val="002C479F"/>
    <w:rsid w:val="002C6809"/>
    <w:rsid w:val="002D6E59"/>
    <w:rsid w:val="002E5E4A"/>
    <w:rsid w:val="002E616B"/>
    <w:rsid w:val="002F0484"/>
    <w:rsid w:val="002F731B"/>
    <w:rsid w:val="00307A75"/>
    <w:rsid w:val="003115F0"/>
    <w:rsid w:val="00313980"/>
    <w:rsid w:val="003162CF"/>
    <w:rsid w:val="00317A30"/>
    <w:rsid w:val="00317DF2"/>
    <w:rsid w:val="00321824"/>
    <w:rsid w:val="00326C25"/>
    <w:rsid w:val="00332BB7"/>
    <w:rsid w:val="00335FD0"/>
    <w:rsid w:val="003421DD"/>
    <w:rsid w:val="00343811"/>
    <w:rsid w:val="0034552A"/>
    <w:rsid w:val="00350279"/>
    <w:rsid w:val="00350BF2"/>
    <w:rsid w:val="00354639"/>
    <w:rsid w:val="00361F4A"/>
    <w:rsid w:val="003647CC"/>
    <w:rsid w:val="00367AA7"/>
    <w:rsid w:val="003718AE"/>
    <w:rsid w:val="003741ED"/>
    <w:rsid w:val="00374C88"/>
    <w:rsid w:val="0037624C"/>
    <w:rsid w:val="00377851"/>
    <w:rsid w:val="003819F4"/>
    <w:rsid w:val="00381DC2"/>
    <w:rsid w:val="0038430E"/>
    <w:rsid w:val="003858E4"/>
    <w:rsid w:val="00386695"/>
    <w:rsid w:val="00390CC2"/>
    <w:rsid w:val="0039548C"/>
    <w:rsid w:val="00395A92"/>
    <w:rsid w:val="003A1EE4"/>
    <w:rsid w:val="003B4CDD"/>
    <w:rsid w:val="003B6772"/>
    <w:rsid w:val="003C0A9D"/>
    <w:rsid w:val="003C12D9"/>
    <w:rsid w:val="003C2F89"/>
    <w:rsid w:val="003C3590"/>
    <w:rsid w:val="003D0435"/>
    <w:rsid w:val="003D100A"/>
    <w:rsid w:val="003D16F4"/>
    <w:rsid w:val="003D2302"/>
    <w:rsid w:val="003D5C5C"/>
    <w:rsid w:val="003D7820"/>
    <w:rsid w:val="003E3634"/>
    <w:rsid w:val="003E755D"/>
    <w:rsid w:val="003E7AC9"/>
    <w:rsid w:val="003F3219"/>
    <w:rsid w:val="003F334F"/>
    <w:rsid w:val="0040320E"/>
    <w:rsid w:val="00403817"/>
    <w:rsid w:val="0040696C"/>
    <w:rsid w:val="004150CB"/>
    <w:rsid w:val="004155E2"/>
    <w:rsid w:val="004158F9"/>
    <w:rsid w:val="0042049E"/>
    <w:rsid w:val="00426460"/>
    <w:rsid w:val="0043467E"/>
    <w:rsid w:val="00452911"/>
    <w:rsid w:val="00460EB5"/>
    <w:rsid w:val="00462898"/>
    <w:rsid w:val="004743C4"/>
    <w:rsid w:val="00475106"/>
    <w:rsid w:val="0047645C"/>
    <w:rsid w:val="00480F32"/>
    <w:rsid w:val="00480F58"/>
    <w:rsid w:val="004815EE"/>
    <w:rsid w:val="004A0F8E"/>
    <w:rsid w:val="004A4121"/>
    <w:rsid w:val="004A61C6"/>
    <w:rsid w:val="004B205C"/>
    <w:rsid w:val="004C1589"/>
    <w:rsid w:val="004C177B"/>
    <w:rsid w:val="004C1F84"/>
    <w:rsid w:val="004C352D"/>
    <w:rsid w:val="004C5D5F"/>
    <w:rsid w:val="004D1C68"/>
    <w:rsid w:val="004E0AD5"/>
    <w:rsid w:val="004E24EB"/>
    <w:rsid w:val="004E4037"/>
    <w:rsid w:val="004F1111"/>
    <w:rsid w:val="004F4046"/>
    <w:rsid w:val="00504073"/>
    <w:rsid w:val="00510791"/>
    <w:rsid w:val="00511A13"/>
    <w:rsid w:val="00513116"/>
    <w:rsid w:val="005147D9"/>
    <w:rsid w:val="00514F20"/>
    <w:rsid w:val="00515ED6"/>
    <w:rsid w:val="00517A60"/>
    <w:rsid w:val="005218E9"/>
    <w:rsid w:val="00523C05"/>
    <w:rsid w:val="005315D4"/>
    <w:rsid w:val="00537BDB"/>
    <w:rsid w:val="00537D72"/>
    <w:rsid w:val="00542A9E"/>
    <w:rsid w:val="005470A1"/>
    <w:rsid w:val="005473FB"/>
    <w:rsid w:val="00553C5D"/>
    <w:rsid w:val="005608D3"/>
    <w:rsid w:val="00563DEE"/>
    <w:rsid w:val="00564F53"/>
    <w:rsid w:val="005664F0"/>
    <w:rsid w:val="00567703"/>
    <w:rsid w:val="00573FAA"/>
    <w:rsid w:val="00574CD7"/>
    <w:rsid w:val="00576456"/>
    <w:rsid w:val="00582C69"/>
    <w:rsid w:val="0058378A"/>
    <w:rsid w:val="005871D8"/>
    <w:rsid w:val="005907FC"/>
    <w:rsid w:val="005A2024"/>
    <w:rsid w:val="005A33E3"/>
    <w:rsid w:val="005B09F6"/>
    <w:rsid w:val="005B1A2F"/>
    <w:rsid w:val="005B26DB"/>
    <w:rsid w:val="005B2AF3"/>
    <w:rsid w:val="005B4962"/>
    <w:rsid w:val="005B5649"/>
    <w:rsid w:val="005C3336"/>
    <w:rsid w:val="005C70D4"/>
    <w:rsid w:val="005D1E19"/>
    <w:rsid w:val="005D24D5"/>
    <w:rsid w:val="005D4C4E"/>
    <w:rsid w:val="005D5116"/>
    <w:rsid w:val="005E58FB"/>
    <w:rsid w:val="005F02B3"/>
    <w:rsid w:val="005F03A8"/>
    <w:rsid w:val="005F0E3F"/>
    <w:rsid w:val="005F3ADB"/>
    <w:rsid w:val="005F7751"/>
    <w:rsid w:val="0060200A"/>
    <w:rsid w:val="00606171"/>
    <w:rsid w:val="00614736"/>
    <w:rsid w:val="00615E17"/>
    <w:rsid w:val="00621C90"/>
    <w:rsid w:val="00623BDF"/>
    <w:rsid w:val="006244BF"/>
    <w:rsid w:val="00624A07"/>
    <w:rsid w:val="00626B33"/>
    <w:rsid w:val="00626D95"/>
    <w:rsid w:val="0063691C"/>
    <w:rsid w:val="00636C68"/>
    <w:rsid w:val="00637C42"/>
    <w:rsid w:val="00641266"/>
    <w:rsid w:val="00646BDE"/>
    <w:rsid w:val="006473AE"/>
    <w:rsid w:val="006476F9"/>
    <w:rsid w:val="0065039A"/>
    <w:rsid w:val="00656BA7"/>
    <w:rsid w:val="00664337"/>
    <w:rsid w:val="0067148C"/>
    <w:rsid w:val="00671E2C"/>
    <w:rsid w:val="00675C5D"/>
    <w:rsid w:val="00677679"/>
    <w:rsid w:val="0068126E"/>
    <w:rsid w:val="00691A20"/>
    <w:rsid w:val="00692F1D"/>
    <w:rsid w:val="00697648"/>
    <w:rsid w:val="006A00AA"/>
    <w:rsid w:val="006A0D4B"/>
    <w:rsid w:val="006A6BD3"/>
    <w:rsid w:val="006B6459"/>
    <w:rsid w:val="006C6220"/>
    <w:rsid w:val="006C62D9"/>
    <w:rsid w:val="006C777E"/>
    <w:rsid w:val="006D1CC3"/>
    <w:rsid w:val="006D2E26"/>
    <w:rsid w:val="006E15B0"/>
    <w:rsid w:val="006E2F83"/>
    <w:rsid w:val="006E30B3"/>
    <w:rsid w:val="006F493B"/>
    <w:rsid w:val="006F716F"/>
    <w:rsid w:val="007010C7"/>
    <w:rsid w:val="007022ED"/>
    <w:rsid w:val="00706719"/>
    <w:rsid w:val="0070682B"/>
    <w:rsid w:val="00711CA6"/>
    <w:rsid w:val="0071667D"/>
    <w:rsid w:val="00716ECB"/>
    <w:rsid w:val="0072409F"/>
    <w:rsid w:val="00724256"/>
    <w:rsid w:val="00725C0D"/>
    <w:rsid w:val="00727BAC"/>
    <w:rsid w:val="00727C9C"/>
    <w:rsid w:val="0073144E"/>
    <w:rsid w:val="00735620"/>
    <w:rsid w:val="00735D74"/>
    <w:rsid w:val="0074062A"/>
    <w:rsid w:val="00741E6B"/>
    <w:rsid w:val="00746B5C"/>
    <w:rsid w:val="00752DBA"/>
    <w:rsid w:val="00756460"/>
    <w:rsid w:val="00757200"/>
    <w:rsid w:val="00764E9A"/>
    <w:rsid w:val="00771775"/>
    <w:rsid w:val="007760FA"/>
    <w:rsid w:val="0077649B"/>
    <w:rsid w:val="00781940"/>
    <w:rsid w:val="00782458"/>
    <w:rsid w:val="00785802"/>
    <w:rsid w:val="0079121C"/>
    <w:rsid w:val="007924C4"/>
    <w:rsid w:val="0079651D"/>
    <w:rsid w:val="007A03E6"/>
    <w:rsid w:val="007A3582"/>
    <w:rsid w:val="007A5B8A"/>
    <w:rsid w:val="007B2B41"/>
    <w:rsid w:val="007B7697"/>
    <w:rsid w:val="007C2275"/>
    <w:rsid w:val="007D3871"/>
    <w:rsid w:val="007D52FD"/>
    <w:rsid w:val="007D6EEE"/>
    <w:rsid w:val="007E3214"/>
    <w:rsid w:val="007E4681"/>
    <w:rsid w:val="007E51C1"/>
    <w:rsid w:val="007E5FD3"/>
    <w:rsid w:val="007F050D"/>
    <w:rsid w:val="007F3136"/>
    <w:rsid w:val="007F3D65"/>
    <w:rsid w:val="00807950"/>
    <w:rsid w:val="008108B2"/>
    <w:rsid w:val="00813447"/>
    <w:rsid w:val="00816CCC"/>
    <w:rsid w:val="0082458F"/>
    <w:rsid w:val="00825E01"/>
    <w:rsid w:val="00825FFC"/>
    <w:rsid w:val="008305CB"/>
    <w:rsid w:val="0084298E"/>
    <w:rsid w:val="0084495E"/>
    <w:rsid w:val="00851D4A"/>
    <w:rsid w:val="0085683A"/>
    <w:rsid w:val="00860434"/>
    <w:rsid w:val="00861CCF"/>
    <w:rsid w:val="008649F3"/>
    <w:rsid w:val="00867554"/>
    <w:rsid w:val="00870C74"/>
    <w:rsid w:val="00871831"/>
    <w:rsid w:val="00885BAE"/>
    <w:rsid w:val="008926B8"/>
    <w:rsid w:val="00894EDB"/>
    <w:rsid w:val="00896065"/>
    <w:rsid w:val="00896688"/>
    <w:rsid w:val="008A448D"/>
    <w:rsid w:val="008A4B22"/>
    <w:rsid w:val="008A709D"/>
    <w:rsid w:val="008B101A"/>
    <w:rsid w:val="008B1CD2"/>
    <w:rsid w:val="008B1E0C"/>
    <w:rsid w:val="008B7B21"/>
    <w:rsid w:val="008B7D47"/>
    <w:rsid w:val="008B7EE1"/>
    <w:rsid w:val="008C1555"/>
    <w:rsid w:val="008C1EFE"/>
    <w:rsid w:val="008C5319"/>
    <w:rsid w:val="008C5E71"/>
    <w:rsid w:val="008D00A0"/>
    <w:rsid w:val="008D1275"/>
    <w:rsid w:val="008D4109"/>
    <w:rsid w:val="008D4CA2"/>
    <w:rsid w:val="008D7859"/>
    <w:rsid w:val="008E0313"/>
    <w:rsid w:val="008E1016"/>
    <w:rsid w:val="008E15E8"/>
    <w:rsid w:val="008E6C1B"/>
    <w:rsid w:val="008F0763"/>
    <w:rsid w:val="008F5625"/>
    <w:rsid w:val="008F5716"/>
    <w:rsid w:val="008F6420"/>
    <w:rsid w:val="008F69BC"/>
    <w:rsid w:val="008F726C"/>
    <w:rsid w:val="0090412D"/>
    <w:rsid w:val="009120C2"/>
    <w:rsid w:val="009205B2"/>
    <w:rsid w:val="00921999"/>
    <w:rsid w:val="00923E61"/>
    <w:rsid w:val="00923E79"/>
    <w:rsid w:val="00926F6F"/>
    <w:rsid w:val="00935443"/>
    <w:rsid w:val="0094215C"/>
    <w:rsid w:val="0094563C"/>
    <w:rsid w:val="00951358"/>
    <w:rsid w:val="009531DD"/>
    <w:rsid w:val="009612F1"/>
    <w:rsid w:val="00961BFB"/>
    <w:rsid w:val="00962D69"/>
    <w:rsid w:val="009753B3"/>
    <w:rsid w:val="0097760B"/>
    <w:rsid w:val="009817A4"/>
    <w:rsid w:val="009824CA"/>
    <w:rsid w:val="0098665F"/>
    <w:rsid w:val="00992B45"/>
    <w:rsid w:val="00994D25"/>
    <w:rsid w:val="00994DF0"/>
    <w:rsid w:val="009969EA"/>
    <w:rsid w:val="009A1A2D"/>
    <w:rsid w:val="009A287B"/>
    <w:rsid w:val="009B1901"/>
    <w:rsid w:val="009B2515"/>
    <w:rsid w:val="009B5EE9"/>
    <w:rsid w:val="009B7037"/>
    <w:rsid w:val="009C4E0D"/>
    <w:rsid w:val="009C5D82"/>
    <w:rsid w:val="009D1F46"/>
    <w:rsid w:val="009D29EE"/>
    <w:rsid w:val="009D71DC"/>
    <w:rsid w:val="009D7CEC"/>
    <w:rsid w:val="009E0091"/>
    <w:rsid w:val="009E27B5"/>
    <w:rsid w:val="009E57AA"/>
    <w:rsid w:val="009E5EAF"/>
    <w:rsid w:val="009F09E1"/>
    <w:rsid w:val="009F0B30"/>
    <w:rsid w:val="009F396F"/>
    <w:rsid w:val="009F5759"/>
    <w:rsid w:val="009F7882"/>
    <w:rsid w:val="00A01A02"/>
    <w:rsid w:val="00A069F1"/>
    <w:rsid w:val="00A16347"/>
    <w:rsid w:val="00A23D12"/>
    <w:rsid w:val="00A264F5"/>
    <w:rsid w:val="00A330B2"/>
    <w:rsid w:val="00A33F48"/>
    <w:rsid w:val="00A3665E"/>
    <w:rsid w:val="00A40F0D"/>
    <w:rsid w:val="00A451CC"/>
    <w:rsid w:val="00A45897"/>
    <w:rsid w:val="00A54865"/>
    <w:rsid w:val="00A66D44"/>
    <w:rsid w:val="00A755EC"/>
    <w:rsid w:val="00A776D4"/>
    <w:rsid w:val="00A81267"/>
    <w:rsid w:val="00A82E5B"/>
    <w:rsid w:val="00A86B96"/>
    <w:rsid w:val="00A9170F"/>
    <w:rsid w:val="00A92DCD"/>
    <w:rsid w:val="00A9516F"/>
    <w:rsid w:val="00A95547"/>
    <w:rsid w:val="00AB2D21"/>
    <w:rsid w:val="00AB3B4F"/>
    <w:rsid w:val="00AB3D14"/>
    <w:rsid w:val="00AB5C37"/>
    <w:rsid w:val="00AB667E"/>
    <w:rsid w:val="00AB7D4C"/>
    <w:rsid w:val="00AC0078"/>
    <w:rsid w:val="00AC3986"/>
    <w:rsid w:val="00AC4A05"/>
    <w:rsid w:val="00AD5871"/>
    <w:rsid w:val="00AD5A0A"/>
    <w:rsid w:val="00AD6AC7"/>
    <w:rsid w:val="00AE2CC0"/>
    <w:rsid w:val="00AE4FDD"/>
    <w:rsid w:val="00AF3CE3"/>
    <w:rsid w:val="00AF7BA9"/>
    <w:rsid w:val="00B01D87"/>
    <w:rsid w:val="00B02830"/>
    <w:rsid w:val="00B05556"/>
    <w:rsid w:val="00B16192"/>
    <w:rsid w:val="00B16A82"/>
    <w:rsid w:val="00B251D3"/>
    <w:rsid w:val="00B27FA9"/>
    <w:rsid w:val="00B32A5C"/>
    <w:rsid w:val="00B3739F"/>
    <w:rsid w:val="00B37896"/>
    <w:rsid w:val="00B408CA"/>
    <w:rsid w:val="00B42574"/>
    <w:rsid w:val="00B46866"/>
    <w:rsid w:val="00B57090"/>
    <w:rsid w:val="00B57262"/>
    <w:rsid w:val="00B57770"/>
    <w:rsid w:val="00B80205"/>
    <w:rsid w:val="00B80D19"/>
    <w:rsid w:val="00B82E8A"/>
    <w:rsid w:val="00B8660D"/>
    <w:rsid w:val="00B942EC"/>
    <w:rsid w:val="00B97B7B"/>
    <w:rsid w:val="00BA259F"/>
    <w:rsid w:val="00BB14AB"/>
    <w:rsid w:val="00BB1BCB"/>
    <w:rsid w:val="00BB3271"/>
    <w:rsid w:val="00BB39A7"/>
    <w:rsid w:val="00BC16E7"/>
    <w:rsid w:val="00BC1720"/>
    <w:rsid w:val="00BC2D65"/>
    <w:rsid w:val="00BC33F8"/>
    <w:rsid w:val="00BC4DC9"/>
    <w:rsid w:val="00BC594C"/>
    <w:rsid w:val="00BC6E86"/>
    <w:rsid w:val="00BE05F3"/>
    <w:rsid w:val="00BE14A7"/>
    <w:rsid w:val="00BE27A2"/>
    <w:rsid w:val="00BE7FC6"/>
    <w:rsid w:val="00C03972"/>
    <w:rsid w:val="00C058AE"/>
    <w:rsid w:val="00C06915"/>
    <w:rsid w:val="00C077DF"/>
    <w:rsid w:val="00C11E43"/>
    <w:rsid w:val="00C20798"/>
    <w:rsid w:val="00C268B3"/>
    <w:rsid w:val="00C26EC7"/>
    <w:rsid w:val="00C32154"/>
    <w:rsid w:val="00C34D65"/>
    <w:rsid w:val="00C44F7E"/>
    <w:rsid w:val="00C47310"/>
    <w:rsid w:val="00C528CE"/>
    <w:rsid w:val="00C56C10"/>
    <w:rsid w:val="00C60326"/>
    <w:rsid w:val="00C64989"/>
    <w:rsid w:val="00C712CD"/>
    <w:rsid w:val="00C75A2A"/>
    <w:rsid w:val="00C75A66"/>
    <w:rsid w:val="00C773D8"/>
    <w:rsid w:val="00C775EA"/>
    <w:rsid w:val="00C84C01"/>
    <w:rsid w:val="00C86510"/>
    <w:rsid w:val="00C87E75"/>
    <w:rsid w:val="00C90D39"/>
    <w:rsid w:val="00C949C0"/>
    <w:rsid w:val="00C9539B"/>
    <w:rsid w:val="00CA0F20"/>
    <w:rsid w:val="00CA106B"/>
    <w:rsid w:val="00CA4A24"/>
    <w:rsid w:val="00CA6417"/>
    <w:rsid w:val="00CB15A7"/>
    <w:rsid w:val="00CB65A3"/>
    <w:rsid w:val="00CB696D"/>
    <w:rsid w:val="00CC5FD8"/>
    <w:rsid w:val="00CC6151"/>
    <w:rsid w:val="00CD2B07"/>
    <w:rsid w:val="00CD6058"/>
    <w:rsid w:val="00CD670B"/>
    <w:rsid w:val="00CE07F1"/>
    <w:rsid w:val="00CE0BE7"/>
    <w:rsid w:val="00CE3409"/>
    <w:rsid w:val="00CF15BA"/>
    <w:rsid w:val="00CF369C"/>
    <w:rsid w:val="00CF395B"/>
    <w:rsid w:val="00CF4FE1"/>
    <w:rsid w:val="00D123A7"/>
    <w:rsid w:val="00D15731"/>
    <w:rsid w:val="00D279EE"/>
    <w:rsid w:val="00D31114"/>
    <w:rsid w:val="00D35DA3"/>
    <w:rsid w:val="00D37577"/>
    <w:rsid w:val="00D40874"/>
    <w:rsid w:val="00D408B9"/>
    <w:rsid w:val="00D40C69"/>
    <w:rsid w:val="00D42688"/>
    <w:rsid w:val="00D447B9"/>
    <w:rsid w:val="00D53F2F"/>
    <w:rsid w:val="00D630C0"/>
    <w:rsid w:val="00D654FB"/>
    <w:rsid w:val="00D67A5C"/>
    <w:rsid w:val="00D702DE"/>
    <w:rsid w:val="00D71B0F"/>
    <w:rsid w:val="00D75C5C"/>
    <w:rsid w:val="00D839D2"/>
    <w:rsid w:val="00D83D3B"/>
    <w:rsid w:val="00D85BDB"/>
    <w:rsid w:val="00D8602B"/>
    <w:rsid w:val="00D9013C"/>
    <w:rsid w:val="00D93417"/>
    <w:rsid w:val="00D946BB"/>
    <w:rsid w:val="00D95375"/>
    <w:rsid w:val="00D96D61"/>
    <w:rsid w:val="00DA48C8"/>
    <w:rsid w:val="00DA643C"/>
    <w:rsid w:val="00DB3B6E"/>
    <w:rsid w:val="00DC3F44"/>
    <w:rsid w:val="00DC4148"/>
    <w:rsid w:val="00DD3129"/>
    <w:rsid w:val="00DE138D"/>
    <w:rsid w:val="00DE27AC"/>
    <w:rsid w:val="00DE2B77"/>
    <w:rsid w:val="00DE7B4D"/>
    <w:rsid w:val="00DF2C2B"/>
    <w:rsid w:val="00E02A8A"/>
    <w:rsid w:val="00E04FBE"/>
    <w:rsid w:val="00E06BD6"/>
    <w:rsid w:val="00E077B7"/>
    <w:rsid w:val="00E07EA0"/>
    <w:rsid w:val="00E14E74"/>
    <w:rsid w:val="00E15739"/>
    <w:rsid w:val="00E16C70"/>
    <w:rsid w:val="00E2051E"/>
    <w:rsid w:val="00E2245B"/>
    <w:rsid w:val="00E22EFB"/>
    <w:rsid w:val="00E23263"/>
    <w:rsid w:val="00E24A1D"/>
    <w:rsid w:val="00E26F1F"/>
    <w:rsid w:val="00E325CA"/>
    <w:rsid w:val="00E341F3"/>
    <w:rsid w:val="00E4267C"/>
    <w:rsid w:val="00E54891"/>
    <w:rsid w:val="00E55517"/>
    <w:rsid w:val="00E601A3"/>
    <w:rsid w:val="00E658EA"/>
    <w:rsid w:val="00E66332"/>
    <w:rsid w:val="00E67545"/>
    <w:rsid w:val="00E72187"/>
    <w:rsid w:val="00E721F1"/>
    <w:rsid w:val="00E742DE"/>
    <w:rsid w:val="00E74967"/>
    <w:rsid w:val="00E74DDA"/>
    <w:rsid w:val="00E752A5"/>
    <w:rsid w:val="00E770DB"/>
    <w:rsid w:val="00E8566A"/>
    <w:rsid w:val="00E85BBB"/>
    <w:rsid w:val="00E86079"/>
    <w:rsid w:val="00E906AD"/>
    <w:rsid w:val="00E9109B"/>
    <w:rsid w:val="00E96F4D"/>
    <w:rsid w:val="00E977BF"/>
    <w:rsid w:val="00EA2952"/>
    <w:rsid w:val="00EA3B67"/>
    <w:rsid w:val="00EA3F26"/>
    <w:rsid w:val="00EA6D37"/>
    <w:rsid w:val="00EB04EA"/>
    <w:rsid w:val="00EB11D9"/>
    <w:rsid w:val="00EB3834"/>
    <w:rsid w:val="00EC3ECF"/>
    <w:rsid w:val="00ED02D8"/>
    <w:rsid w:val="00ED3464"/>
    <w:rsid w:val="00ED3D2D"/>
    <w:rsid w:val="00EE02D3"/>
    <w:rsid w:val="00EE1F03"/>
    <w:rsid w:val="00EE302C"/>
    <w:rsid w:val="00EE44DE"/>
    <w:rsid w:val="00EE66D8"/>
    <w:rsid w:val="00EF0AF3"/>
    <w:rsid w:val="00EF239D"/>
    <w:rsid w:val="00EF7664"/>
    <w:rsid w:val="00EF7814"/>
    <w:rsid w:val="00F034B3"/>
    <w:rsid w:val="00F11210"/>
    <w:rsid w:val="00F12110"/>
    <w:rsid w:val="00F14B7B"/>
    <w:rsid w:val="00F17551"/>
    <w:rsid w:val="00F20281"/>
    <w:rsid w:val="00F24884"/>
    <w:rsid w:val="00F321CC"/>
    <w:rsid w:val="00F3308F"/>
    <w:rsid w:val="00F33874"/>
    <w:rsid w:val="00F36F56"/>
    <w:rsid w:val="00F440D0"/>
    <w:rsid w:val="00F52074"/>
    <w:rsid w:val="00F52E6E"/>
    <w:rsid w:val="00F54C48"/>
    <w:rsid w:val="00F66C5D"/>
    <w:rsid w:val="00F72D38"/>
    <w:rsid w:val="00F72E9B"/>
    <w:rsid w:val="00F73397"/>
    <w:rsid w:val="00F75646"/>
    <w:rsid w:val="00F816AA"/>
    <w:rsid w:val="00F8506D"/>
    <w:rsid w:val="00F869A4"/>
    <w:rsid w:val="00F87273"/>
    <w:rsid w:val="00FB3635"/>
    <w:rsid w:val="00FB4B83"/>
    <w:rsid w:val="00FC0FFF"/>
    <w:rsid w:val="00FC4184"/>
    <w:rsid w:val="00FC478F"/>
    <w:rsid w:val="00FC7D99"/>
    <w:rsid w:val="00FD01FC"/>
    <w:rsid w:val="00FD35F7"/>
    <w:rsid w:val="00FD5B78"/>
    <w:rsid w:val="00FE591B"/>
    <w:rsid w:val="00FF063F"/>
    <w:rsid w:val="00FF2227"/>
    <w:rsid w:val="00FF4DBA"/>
    <w:rsid w:val="00FF5754"/>
    <w:rsid w:val="00FF5890"/>
    <w:rsid w:val="00FF5C5E"/>
    <w:rsid w:val="00FF6BE2"/>
    <w:rsid w:val="00FF758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7" fill="f" fillcolor="black" stroke="f" strokecolor="white">
      <v:fill color="black" on="f"/>
      <v:stroke color="white" weight="3e-5mm" on="f"/>
      <v:textbox inset="6.12pt,3.06pt,6.12pt,3.06pt"/>
    </o:shapedefaults>
    <o:shapelayout v:ext="edit">
      <o:idmap v:ext="edit" data="1"/>
    </o:shapelayout>
  </w:shapeDefaults>
  <w:decimalSymbol w:val=","/>
  <w:listSeparator w:val=";"/>
  <w15:chartTrackingRefBased/>
  <w15:docId w15:val="{97CF8667-C531-4DA6-BA07-D15D4A8A9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uiPriority="9" w:qFormat="1"/>
    <w:lsdException w:name="heading 5" w:uiPriority="9"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uiPriority="35" w:qFormat="1"/>
    <w:lsdException w:name="table of figures" w:uiPriority="99"/>
    <w:lsdException w:name="endnote reference" w:uiPriority="99"/>
    <w:lsdException w:name="endnote text" w:uiPriority="99"/>
    <w:lsdException w:name="Title" w:uiPriority="10" w:qFormat="1"/>
    <w:lsdException w:name="Body Text" w:qFormat="1"/>
    <w:lsdException w:name="Subtitle" w:uiPriority="11" w:qFormat="1"/>
    <w:lsdException w:name="Hyperlink" w:uiPriority="99"/>
    <w:lsdException w:name="FollowedHyperlink" w:uiPriority="99"/>
    <w:lsdException w:name="Strong" w:uiPriority="22"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A75"/>
    <w:rPr>
      <w:lang w:eastAsia="en-US"/>
    </w:rPr>
  </w:style>
  <w:style w:type="paragraph" w:styleId="Ttulo1">
    <w:name w:val="heading 1"/>
    <w:aliases w:val="Seções"/>
    <w:basedOn w:val="Normal"/>
    <w:next w:val="Normal"/>
    <w:link w:val="Ttulo1Char"/>
    <w:autoRedefine/>
    <w:qFormat/>
    <w:rsid w:val="00511A13"/>
    <w:pPr>
      <w:keepNext/>
      <w:tabs>
        <w:tab w:val="left" w:pos="142"/>
      </w:tabs>
      <w:spacing w:after="240"/>
      <w:outlineLvl w:val="0"/>
    </w:pPr>
    <w:rPr>
      <w:rFonts w:ascii="Arial Narrow" w:hAnsi="Arial Narrow"/>
      <w:b/>
      <w:snapToGrid w:val="0"/>
      <w:color w:val="1C6194" w:themeColor="accent2" w:themeShade="BF"/>
      <w:sz w:val="28"/>
      <w:lang w:eastAsia="pt-BR"/>
    </w:rPr>
  </w:style>
  <w:style w:type="paragraph" w:styleId="Ttulo2">
    <w:name w:val="heading 2"/>
    <w:aliases w:val="Subseções"/>
    <w:basedOn w:val="Normal"/>
    <w:next w:val="Normal"/>
    <w:link w:val="Ttulo2Char"/>
    <w:autoRedefine/>
    <w:qFormat/>
    <w:rsid w:val="0079121C"/>
    <w:pPr>
      <w:keepNext/>
      <w:tabs>
        <w:tab w:val="left" w:pos="142"/>
      </w:tabs>
      <w:spacing w:before="600" w:after="600" w:line="360" w:lineRule="auto"/>
      <w:outlineLvl w:val="1"/>
    </w:pPr>
    <w:rPr>
      <w:rFonts w:ascii="Arial Narrow" w:hAnsi="Arial Narrow" w:cs="Arial"/>
      <w:b/>
      <w:color w:val="1C6194" w:themeColor="accent2" w:themeShade="BF"/>
      <w:sz w:val="26"/>
    </w:rPr>
  </w:style>
  <w:style w:type="paragraph" w:styleId="Ttulo3">
    <w:name w:val="heading 3"/>
    <w:basedOn w:val="Normal"/>
    <w:next w:val="Normal"/>
    <w:link w:val="Ttulo3Char"/>
    <w:qFormat/>
    <w:pPr>
      <w:keepNext/>
      <w:outlineLvl w:val="2"/>
    </w:pPr>
    <w:rPr>
      <w:sz w:val="24"/>
    </w:rPr>
  </w:style>
  <w:style w:type="paragraph" w:styleId="Ttulo4">
    <w:name w:val="heading 4"/>
    <w:basedOn w:val="Normal"/>
    <w:next w:val="Normal"/>
    <w:link w:val="Ttulo4Char"/>
    <w:uiPriority w:val="9"/>
    <w:qFormat/>
    <w:pPr>
      <w:keepNext/>
      <w:jc w:val="both"/>
      <w:outlineLvl w:val="3"/>
    </w:pPr>
    <w:rPr>
      <w:sz w:val="24"/>
    </w:rPr>
  </w:style>
  <w:style w:type="paragraph" w:styleId="Ttulo5">
    <w:name w:val="heading 5"/>
    <w:aliases w:val="Figura"/>
    <w:basedOn w:val="Normal"/>
    <w:next w:val="Normal"/>
    <w:link w:val="Ttulo5Char"/>
    <w:uiPriority w:val="9"/>
    <w:qFormat/>
    <w:pPr>
      <w:keepNext/>
      <w:jc w:val="both"/>
      <w:outlineLvl w:val="4"/>
    </w:pPr>
    <w:rPr>
      <w:b/>
      <w:color w:val="000080"/>
      <w:sz w:val="24"/>
    </w:rPr>
  </w:style>
  <w:style w:type="paragraph" w:styleId="Ttulo6">
    <w:name w:val="heading 6"/>
    <w:basedOn w:val="Normal"/>
    <w:next w:val="Normal"/>
    <w:qFormat/>
    <w:pPr>
      <w:keepNext/>
      <w:jc w:val="both"/>
      <w:outlineLvl w:val="5"/>
    </w:pPr>
    <w:rPr>
      <w:b/>
      <w:sz w:val="24"/>
    </w:rPr>
  </w:style>
  <w:style w:type="paragraph" w:styleId="Ttulo7">
    <w:name w:val="heading 7"/>
    <w:basedOn w:val="Normal"/>
    <w:next w:val="Normal"/>
    <w:qFormat/>
    <w:pPr>
      <w:keepNext/>
      <w:ind w:left="708"/>
      <w:jc w:val="both"/>
      <w:outlineLvl w:val="6"/>
    </w:pPr>
    <w:rPr>
      <w:sz w:val="24"/>
    </w:rPr>
  </w:style>
  <w:style w:type="paragraph" w:styleId="Ttulo8">
    <w:name w:val="heading 8"/>
    <w:basedOn w:val="Normal"/>
    <w:next w:val="Normal"/>
    <w:qFormat/>
    <w:pPr>
      <w:keepNext/>
      <w:jc w:val="center"/>
      <w:outlineLvl w:val="7"/>
    </w:pPr>
    <w:rPr>
      <w:rFonts w:ascii="Verdana" w:hAnsi="Verdana"/>
      <w:b/>
      <w:color w:val="000080"/>
    </w:rPr>
  </w:style>
  <w:style w:type="paragraph" w:styleId="Ttulo9">
    <w:name w:val="heading 9"/>
    <w:basedOn w:val="Normal"/>
    <w:next w:val="Normal"/>
    <w:qFormat/>
    <w:pPr>
      <w:keepNext/>
      <w:outlineLvl w:val="8"/>
    </w:pPr>
    <w:rPr>
      <w: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qFormat/>
    <w:pPr>
      <w:jc w:val="both"/>
    </w:pPr>
    <w:rPr>
      <w:sz w:val="24"/>
    </w:rPr>
  </w:style>
  <w:style w:type="paragraph" w:styleId="Recuodecorpodetexto">
    <w:name w:val="Body Text Indent"/>
    <w:basedOn w:val="Normal"/>
    <w:link w:val="RecuodecorpodetextoChar"/>
    <w:pPr>
      <w:ind w:firstLine="708"/>
      <w:jc w:val="both"/>
    </w:pPr>
    <w:rPr>
      <w:sz w:val="24"/>
    </w:rPr>
  </w:style>
  <w:style w:type="paragraph" w:styleId="Corpodetexto2">
    <w:name w:val="Body Text 2"/>
    <w:basedOn w:val="Normal"/>
    <w:link w:val="Corpodetexto2Char"/>
    <w:rPr>
      <w:sz w:val="24"/>
    </w:rPr>
  </w:style>
  <w:style w:type="paragraph" w:styleId="Recuodecorpodetexto2">
    <w:name w:val="Body Text Indent 2"/>
    <w:basedOn w:val="Normal"/>
    <w:pPr>
      <w:ind w:firstLine="709"/>
      <w:jc w:val="both"/>
    </w:pPr>
    <w:rPr>
      <w:sz w:val="24"/>
    </w:rPr>
  </w:style>
  <w:style w:type="paragraph" w:styleId="Corpodetexto3">
    <w:name w:val="Body Text 3"/>
    <w:basedOn w:val="Normal"/>
    <w:link w:val="Corpodetexto3Char"/>
    <w:pPr>
      <w:jc w:val="center"/>
    </w:pPr>
    <w:rPr>
      <w:b/>
      <w:color w:val="000080"/>
      <w:sz w:val="24"/>
    </w:rPr>
  </w:style>
  <w:style w:type="paragraph" w:styleId="Recuodecorpodetexto3">
    <w:name w:val="Body Text Indent 3"/>
    <w:basedOn w:val="Normal"/>
    <w:pPr>
      <w:ind w:left="708"/>
      <w:jc w:val="both"/>
    </w:pPr>
    <w:rPr>
      <w:sz w:val="24"/>
    </w:rPr>
  </w:style>
  <w:style w:type="paragraph" w:styleId="Ttulo">
    <w:name w:val="Title"/>
    <w:aliases w:val="Gráficos"/>
    <w:basedOn w:val="Normal"/>
    <w:link w:val="TtuloChar"/>
    <w:autoRedefine/>
    <w:uiPriority w:val="10"/>
    <w:qFormat/>
    <w:rsid w:val="00403817"/>
    <w:pPr>
      <w:jc w:val="center"/>
    </w:pPr>
    <w:rPr>
      <w:b/>
      <w:snapToGrid w:val="0"/>
      <w:sz w:val="28"/>
      <w:lang w:eastAsia="pt-BR"/>
    </w:rPr>
  </w:style>
  <w:style w:type="paragraph" w:styleId="Sumrio1">
    <w:name w:val="toc 1"/>
    <w:basedOn w:val="Normal"/>
    <w:next w:val="Normal"/>
    <w:autoRedefine/>
    <w:uiPriority w:val="39"/>
    <w:pPr>
      <w:spacing w:before="120"/>
    </w:pPr>
    <w:rPr>
      <w:b/>
      <w:i/>
      <w:sz w:val="24"/>
    </w:rPr>
  </w:style>
  <w:style w:type="paragraph" w:styleId="Sumrio2">
    <w:name w:val="toc 2"/>
    <w:basedOn w:val="Normal"/>
    <w:next w:val="Normal"/>
    <w:autoRedefine/>
    <w:uiPriority w:val="39"/>
    <w:pPr>
      <w:spacing w:before="120"/>
      <w:ind w:left="200"/>
    </w:pPr>
    <w:rPr>
      <w:b/>
      <w:sz w:val="22"/>
    </w:rPr>
  </w:style>
  <w:style w:type="paragraph" w:styleId="Sumrio3">
    <w:name w:val="toc 3"/>
    <w:basedOn w:val="Normal"/>
    <w:next w:val="Normal"/>
    <w:autoRedefine/>
    <w:uiPriority w:val="39"/>
    <w:pPr>
      <w:ind w:left="400"/>
    </w:pPr>
  </w:style>
  <w:style w:type="paragraph" w:styleId="Sumrio4">
    <w:name w:val="toc 4"/>
    <w:basedOn w:val="Normal"/>
    <w:next w:val="Normal"/>
    <w:autoRedefine/>
    <w:uiPriority w:val="39"/>
    <w:pPr>
      <w:ind w:left="600"/>
    </w:pPr>
  </w:style>
  <w:style w:type="paragraph" w:styleId="Sumrio5">
    <w:name w:val="toc 5"/>
    <w:basedOn w:val="Normal"/>
    <w:next w:val="Normal"/>
    <w:autoRedefine/>
    <w:uiPriority w:val="39"/>
    <w:pPr>
      <w:ind w:left="800"/>
    </w:pPr>
  </w:style>
  <w:style w:type="paragraph" w:styleId="Sumrio6">
    <w:name w:val="toc 6"/>
    <w:basedOn w:val="Normal"/>
    <w:next w:val="Normal"/>
    <w:autoRedefine/>
    <w:uiPriority w:val="39"/>
    <w:pPr>
      <w:ind w:left="1000"/>
    </w:pPr>
  </w:style>
  <w:style w:type="paragraph" w:styleId="Sumrio7">
    <w:name w:val="toc 7"/>
    <w:basedOn w:val="Normal"/>
    <w:next w:val="Normal"/>
    <w:autoRedefine/>
    <w:uiPriority w:val="39"/>
    <w:pPr>
      <w:ind w:left="1200"/>
    </w:pPr>
  </w:style>
  <w:style w:type="paragraph" w:styleId="Sumrio8">
    <w:name w:val="toc 8"/>
    <w:basedOn w:val="Normal"/>
    <w:next w:val="Normal"/>
    <w:autoRedefine/>
    <w:uiPriority w:val="39"/>
    <w:pPr>
      <w:ind w:left="1400"/>
    </w:pPr>
  </w:style>
  <w:style w:type="paragraph" w:styleId="Sumrio9">
    <w:name w:val="toc 9"/>
    <w:basedOn w:val="Normal"/>
    <w:next w:val="Normal"/>
    <w:autoRedefine/>
    <w:uiPriority w:val="39"/>
    <w:pPr>
      <w:ind w:left="1600"/>
    </w:pPr>
  </w:style>
  <w:style w:type="paragraph" w:styleId="Rodap">
    <w:name w:val="footer"/>
    <w:basedOn w:val="Normal"/>
    <w:link w:val="RodapChar"/>
    <w:uiPriority w:val="99"/>
    <w:pPr>
      <w:tabs>
        <w:tab w:val="center" w:pos="4419"/>
        <w:tab w:val="right" w:pos="8838"/>
      </w:tabs>
    </w:pPr>
  </w:style>
  <w:style w:type="character" w:styleId="Nmerodepgina">
    <w:name w:val="page number"/>
    <w:basedOn w:val="Fontepargpadro"/>
  </w:style>
  <w:style w:type="paragraph" w:styleId="Textodenotaderodap">
    <w:name w:val="footnote text"/>
    <w:basedOn w:val="Normal"/>
    <w:link w:val="TextodenotaderodapChar"/>
    <w:uiPriority w:val="99"/>
  </w:style>
  <w:style w:type="character" w:styleId="Refdenotaderodap">
    <w:name w:val="footnote reference"/>
    <w:rPr>
      <w:vertAlign w:val="superscript"/>
    </w:rPr>
  </w:style>
  <w:style w:type="paragraph" w:styleId="Legenda">
    <w:name w:val="caption"/>
    <w:basedOn w:val="Normal"/>
    <w:next w:val="Normal"/>
    <w:link w:val="LegendaChar"/>
    <w:uiPriority w:val="35"/>
    <w:qFormat/>
    <w:rPr>
      <w:i/>
      <w:sz w:val="18"/>
    </w:rPr>
  </w:style>
  <w:style w:type="paragraph" w:styleId="Cabealho">
    <w:name w:val="header"/>
    <w:basedOn w:val="Normal"/>
    <w:link w:val="CabealhoChar"/>
    <w:uiPriority w:val="99"/>
    <w:pPr>
      <w:tabs>
        <w:tab w:val="center" w:pos="4419"/>
        <w:tab w:val="right" w:pos="8838"/>
      </w:tabs>
    </w:pPr>
  </w:style>
  <w:style w:type="paragraph" w:customStyle="1" w:styleId="Blockquote">
    <w:name w:val="Blockquote"/>
    <w:basedOn w:val="Normal"/>
    <w:pPr>
      <w:spacing w:before="100" w:after="100"/>
      <w:ind w:left="360" w:right="360"/>
    </w:pPr>
    <w:rPr>
      <w:snapToGrid w:val="0"/>
      <w:sz w:val="24"/>
      <w:lang w:eastAsia="pt-BR"/>
    </w:rPr>
  </w:style>
  <w:style w:type="paragraph" w:customStyle="1" w:styleId="FontesdeGrficoseTabelas">
    <w:name w:val="Fontes de Gráficos e Tabelas"/>
    <w:basedOn w:val="Normal"/>
    <w:rPr>
      <w:rFonts w:ascii="Arial" w:hAnsi="Arial"/>
      <w:i/>
    </w:rPr>
  </w:style>
  <w:style w:type="paragraph" w:customStyle="1" w:styleId="xl24">
    <w:name w:val="xl24"/>
    <w:basedOn w:val="Normal"/>
    <w:pPr>
      <w:spacing w:before="100" w:beforeAutospacing="1" w:after="100" w:afterAutospacing="1"/>
      <w:jc w:val="center"/>
    </w:pPr>
    <w:rPr>
      <w:sz w:val="24"/>
      <w:szCs w:val="24"/>
      <w:lang w:eastAsia="pt-BR"/>
    </w:rPr>
  </w:style>
  <w:style w:type="paragraph" w:customStyle="1" w:styleId="xl25">
    <w:name w:val="xl25"/>
    <w:basedOn w:val="Normal"/>
    <w:pPr>
      <w:pBdr>
        <w:bottom w:val="double" w:sz="6" w:space="0" w:color="auto"/>
      </w:pBdr>
      <w:spacing w:before="100" w:beforeAutospacing="1" w:after="100" w:afterAutospacing="1"/>
      <w:jc w:val="center"/>
      <w:textAlignment w:val="top"/>
    </w:pPr>
    <w:rPr>
      <w:sz w:val="24"/>
      <w:szCs w:val="24"/>
      <w:lang w:eastAsia="pt-BR"/>
    </w:rPr>
  </w:style>
  <w:style w:type="paragraph" w:customStyle="1" w:styleId="xl26">
    <w:name w:val="xl26"/>
    <w:basedOn w:val="Normal"/>
    <w:pPr>
      <w:pBdr>
        <w:bottom w:val="double" w:sz="6" w:space="0" w:color="auto"/>
      </w:pBdr>
      <w:spacing w:before="100" w:beforeAutospacing="1" w:after="100" w:afterAutospacing="1"/>
      <w:jc w:val="center"/>
    </w:pPr>
    <w:rPr>
      <w:rFonts w:ascii="Arial Narrow" w:hAnsi="Arial Narrow"/>
      <w:color w:val="000000"/>
      <w:sz w:val="24"/>
      <w:szCs w:val="24"/>
      <w:lang w:eastAsia="pt-BR"/>
    </w:rPr>
  </w:style>
  <w:style w:type="paragraph" w:customStyle="1" w:styleId="xl27">
    <w:name w:val="xl27"/>
    <w:basedOn w:val="Normal"/>
    <w:pPr>
      <w:pBdr>
        <w:bottom w:val="double" w:sz="6" w:space="0" w:color="auto"/>
      </w:pBdr>
      <w:spacing w:before="100" w:beforeAutospacing="1" w:after="100" w:afterAutospacing="1"/>
      <w:jc w:val="center"/>
    </w:pPr>
    <w:rPr>
      <w:sz w:val="24"/>
      <w:szCs w:val="24"/>
      <w:lang w:eastAsia="pt-BR"/>
    </w:rPr>
  </w:style>
  <w:style w:type="paragraph" w:customStyle="1" w:styleId="xl28">
    <w:name w:val="xl28"/>
    <w:basedOn w:val="Normal"/>
    <w:pPr>
      <w:spacing w:before="100" w:beforeAutospacing="1" w:after="100" w:afterAutospacing="1"/>
      <w:jc w:val="center"/>
    </w:pPr>
    <w:rPr>
      <w:color w:val="000000"/>
      <w:sz w:val="24"/>
      <w:szCs w:val="24"/>
      <w:lang w:eastAsia="pt-BR"/>
    </w:rPr>
  </w:style>
  <w:style w:type="paragraph" w:customStyle="1" w:styleId="xl29">
    <w:name w:val="xl29"/>
    <w:basedOn w:val="Normal"/>
    <w:pPr>
      <w:spacing w:before="100" w:beforeAutospacing="1" w:after="100" w:afterAutospacing="1"/>
      <w:jc w:val="center"/>
    </w:pPr>
    <w:rPr>
      <w:color w:val="000000"/>
      <w:sz w:val="24"/>
      <w:szCs w:val="24"/>
      <w:lang w:eastAsia="pt-BR"/>
    </w:rPr>
  </w:style>
  <w:style w:type="paragraph" w:customStyle="1" w:styleId="xl30">
    <w:name w:val="xl30"/>
    <w:basedOn w:val="Normal"/>
    <w:pPr>
      <w:pBdr>
        <w:bottom w:val="single" w:sz="4" w:space="0" w:color="auto"/>
      </w:pBdr>
      <w:spacing w:before="100" w:beforeAutospacing="1" w:after="100" w:afterAutospacing="1"/>
      <w:jc w:val="center"/>
    </w:pPr>
    <w:rPr>
      <w:color w:val="000000"/>
      <w:sz w:val="24"/>
      <w:szCs w:val="24"/>
      <w:lang w:eastAsia="pt-BR"/>
    </w:rPr>
  </w:style>
  <w:style w:type="paragraph" w:customStyle="1" w:styleId="xl31">
    <w:name w:val="xl31"/>
    <w:basedOn w:val="Normal"/>
    <w:pPr>
      <w:pBdr>
        <w:bottom w:val="single" w:sz="4" w:space="0" w:color="auto"/>
      </w:pBdr>
      <w:spacing w:before="100" w:beforeAutospacing="1" w:after="100" w:afterAutospacing="1"/>
      <w:jc w:val="center"/>
    </w:pPr>
    <w:rPr>
      <w:color w:val="000000"/>
      <w:sz w:val="24"/>
      <w:szCs w:val="24"/>
      <w:lang w:eastAsia="pt-BR"/>
    </w:rPr>
  </w:style>
  <w:style w:type="paragraph" w:customStyle="1" w:styleId="xl32">
    <w:name w:val="xl32"/>
    <w:basedOn w:val="Normal"/>
    <w:pPr>
      <w:pBdr>
        <w:bottom w:val="single" w:sz="4" w:space="0" w:color="auto"/>
      </w:pBdr>
      <w:spacing w:before="100" w:beforeAutospacing="1" w:after="100" w:afterAutospacing="1"/>
      <w:jc w:val="center"/>
    </w:pPr>
    <w:rPr>
      <w:sz w:val="24"/>
      <w:szCs w:val="24"/>
      <w:lang w:eastAsia="pt-BR"/>
    </w:rPr>
  </w:style>
  <w:style w:type="paragraph" w:customStyle="1" w:styleId="xl33">
    <w:name w:val="xl33"/>
    <w:basedOn w:val="Normal"/>
    <w:pPr>
      <w:pBdr>
        <w:top w:val="single" w:sz="12" w:space="0" w:color="auto"/>
      </w:pBdr>
      <w:spacing w:before="100" w:beforeAutospacing="1" w:after="100" w:afterAutospacing="1"/>
      <w:jc w:val="center"/>
    </w:pPr>
    <w:rPr>
      <w:rFonts w:ascii="Arial Narrow" w:hAnsi="Arial Narrow"/>
      <w:color w:val="000000"/>
      <w:sz w:val="24"/>
      <w:szCs w:val="24"/>
      <w:lang w:eastAsia="pt-BR"/>
    </w:rPr>
  </w:style>
  <w:style w:type="paragraph" w:customStyle="1" w:styleId="xl34">
    <w:name w:val="xl34"/>
    <w:basedOn w:val="Normal"/>
    <w:pPr>
      <w:pBdr>
        <w:bottom w:val="single" w:sz="4" w:space="0" w:color="auto"/>
      </w:pBdr>
      <w:spacing w:before="100" w:beforeAutospacing="1" w:after="100" w:afterAutospacing="1"/>
      <w:jc w:val="center"/>
    </w:pPr>
    <w:rPr>
      <w:rFonts w:ascii="Arial Narrow" w:hAnsi="Arial Narrow"/>
      <w:color w:val="000000"/>
      <w:sz w:val="24"/>
      <w:szCs w:val="24"/>
      <w:lang w:eastAsia="pt-BR"/>
    </w:rPr>
  </w:style>
  <w:style w:type="paragraph" w:customStyle="1" w:styleId="xl35">
    <w:name w:val="xl35"/>
    <w:basedOn w:val="Normal"/>
    <w:pPr>
      <w:pBdr>
        <w:top w:val="single" w:sz="12" w:space="0" w:color="auto"/>
      </w:pBdr>
      <w:spacing w:before="100" w:beforeAutospacing="1" w:after="100" w:afterAutospacing="1"/>
      <w:jc w:val="center"/>
    </w:pPr>
    <w:rPr>
      <w:rFonts w:ascii="Arial Narrow" w:hAnsi="Arial Narrow"/>
      <w:color w:val="000000"/>
      <w:sz w:val="24"/>
      <w:szCs w:val="24"/>
      <w:lang w:eastAsia="pt-BR"/>
    </w:rPr>
  </w:style>
  <w:style w:type="paragraph" w:customStyle="1" w:styleId="xl36">
    <w:name w:val="xl36"/>
    <w:basedOn w:val="Normal"/>
    <w:pPr>
      <w:pBdr>
        <w:bottom w:val="single" w:sz="4" w:space="0" w:color="auto"/>
      </w:pBdr>
      <w:spacing w:before="100" w:beforeAutospacing="1" w:after="100" w:afterAutospacing="1"/>
      <w:jc w:val="center"/>
    </w:pPr>
    <w:rPr>
      <w:rFonts w:ascii="Arial Narrow" w:hAnsi="Arial Narrow"/>
      <w:color w:val="000000"/>
      <w:sz w:val="24"/>
      <w:szCs w:val="24"/>
      <w:lang w:eastAsia="pt-BR"/>
    </w:rPr>
  </w:style>
  <w:style w:type="paragraph" w:styleId="NormalWeb">
    <w:name w:val="Normal (Web)"/>
    <w:basedOn w:val="Normal"/>
    <w:uiPriority w:val="99"/>
    <w:pPr>
      <w:spacing w:before="100" w:beforeAutospacing="1" w:after="100" w:afterAutospacing="1"/>
    </w:pPr>
    <w:rPr>
      <w:sz w:val="24"/>
      <w:szCs w:val="24"/>
      <w:lang w:eastAsia="pt-BR"/>
    </w:rPr>
  </w:style>
  <w:style w:type="paragraph" w:customStyle="1" w:styleId="xl37">
    <w:name w:val="xl37"/>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6"/>
      <w:szCs w:val="16"/>
      <w:lang w:eastAsia="pt-BR"/>
    </w:rPr>
  </w:style>
  <w:style w:type="paragraph" w:customStyle="1" w:styleId="xl38">
    <w:name w:val="xl38"/>
    <w:basedOn w:val="Normal"/>
    <w:pPr>
      <w:pBdr>
        <w:left w:val="single" w:sz="4" w:space="0" w:color="auto"/>
      </w:pBdr>
      <w:spacing w:before="100" w:beforeAutospacing="1" w:after="100" w:afterAutospacing="1"/>
      <w:jc w:val="center"/>
      <w:textAlignment w:val="center"/>
    </w:pPr>
    <w:rPr>
      <w:rFonts w:ascii="Arial" w:eastAsia="Arial Unicode MS" w:hAnsi="Arial" w:cs="Arial"/>
      <w:sz w:val="16"/>
      <w:szCs w:val="16"/>
      <w:lang w:eastAsia="pt-BR"/>
    </w:rPr>
  </w:style>
  <w:style w:type="paragraph" w:customStyle="1" w:styleId="xl39">
    <w:name w:val="xl39"/>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sz w:val="16"/>
      <w:szCs w:val="16"/>
      <w:lang w:eastAsia="pt-BR"/>
    </w:rPr>
  </w:style>
  <w:style w:type="paragraph" w:customStyle="1" w:styleId="xl40">
    <w:name w:val="xl40"/>
    <w:basedOn w:val="Normal"/>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6"/>
      <w:szCs w:val="16"/>
      <w:lang w:eastAsia="pt-BR"/>
    </w:rPr>
  </w:style>
  <w:style w:type="paragraph" w:customStyle="1" w:styleId="xl41">
    <w:name w:val="xl41"/>
    <w:basedOn w:val="Normal"/>
    <w:pPr>
      <w:spacing w:before="100" w:beforeAutospacing="1" w:after="100" w:afterAutospacing="1"/>
      <w:jc w:val="center"/>
      <w:textAlignment w:val="center"/>
    </w:pPr>
    <w:rPr>
      <w:rFonts w:ascii="Arial" w:eastAsia="Arial Unicode MS" w:hAnsi="Arial" w:cs="Arial"/>
      <w:sz w:val="18"/>
      <w:szCs w:val="18"/>
      <w:lang w:eastAsia="pt-BR"/>
    </w:rPr>
  </w:style>
  <w:style w:type="character" w:styleId="Refdecomentrio">
    <w:name w:val="annotation reference"/>
    <w:rsid w:val="0084298E"/>
    <w:rPr>
      <w:sz w:val="16"/>
      <w:szCs w:val="16"/>
    </w:rPr>
  </w:style>
  <w:style w:type="paragraph" w:styleId="Textodecomentrio">
    <w:name w:val="annotation text"/>
    <w:basedOn w:val="Normal"/>
    <w:link w:val="TextodecomentrioChar"/>
    <w:rsid w:val="0084298E"/>
  </w:style>
  <w:style w:type="paragraph" w:styleId="Assuntodocomentrio">
    <w:name w:val="annotation subject"/>
    <w:basedOn w:val="Textodecomentrio"/>
    <w:next w:val="Textodecomentrio"/>
    <w:link w:val="AssuntodocomentrioChar"/>
    <w:rsid w:val="0084298E"/>
    <w:rPr>
      <w:b/>
      <w:bCs/>
    </w:rPr>
  </w:style>
  <w:style w:type="paragraph" w:styleId="Textodebalo">
    <w:name w:val="Balloon Text"/>
    <w:basedOn w:val="Normal"/>
    <w:link w:val="TextodebaloChar"/>
    <w:uiPriority w:val="99"/>
    <w:rsid w:val="0084298E"/>
    <w:rPr>
      <w:rFonts w:ascii="Tahoma" w:hAnsi="Tahoma" w:cs="Tahoma"/>
      <w:sz w:val="16"/>
      <w:szCs w:val="16"/>
    </w:rPr>
  </w:style>
  <w:style w:type="character" w:customStyle="1" w:styleId="TtuloChar">
    <w:name w:val="Título Char"/>
    <w:aliases w:val="Gráficos Char"/>
    <w:link w:val="Ttulo"/>
    <w:uiPriority w:val="10"/>
    <w:rsid w:val="00403817"/>
    <w:rPr>
      <w:b/>
      <w:snapToGrid w:val="0"/>
      <w:sz w:val="28"/>
    </w:rPr>
  </w:style>
  <w:style w:type="table" w:styleId="Tabelacomgrade">
    <w:name w:val="Table Grid"/>
    <w:basedOn w:val="Tabelanormal"/>
    <w:uiPriority w:val="39"/>
    <w:rsid w:val="006A00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Fontepargpadro"/>
    <w:uiPriority w:val="99"/>
    <w:unhideWhenUsed/>
    <w:rsid w:val="00FF5C5E"/>
    <w:rPr>
      <w:color w:val="6B9F25" w:themeColor="hyperlink"/>
      <w:u w:val="single"/>
    </w:rPr>
  </w:style>
  <w:style w:type="paragraph" w:customStyle="1" w:styleId="Default">
    <w:name w:val="Default"/>
    <w:rsid w:val="00FF5C5E"/>
    <w:pPr>
      <w:autoSpaceDE w:val="0"/>
      <w:autoSpaceDN w:val="0"/>
      <w:adjustRightInd w:val="0"/>
    </w:pPr>
    <w:rPr>
      <w:rFonts w:ascii="IIDHEM+Calibri" w:eastAsiaTheme="minorHAnsi" w:hAnsi="IIDHEM+Calibri" w:cs="IIDHEM+Calibri"/>
      <w:color w:val="000000"/>
      <w:sz w:val="24"/>
      <w:szCs w:val="24"/>
      <w:lang w:val="en-GB" w:eastAsia="en-US"/>
    </w:rPr>
  </w:style>
  <w:style w:type="paragraph" w:styleId="PargrafodaLista">
    <w:name w:val="List Paragraph"/>
    <w:basedOn w:val="Normal"/>
    <w:uiPriority w:val="34"/>
    <w:qFormat/>
    <w:rsid w:val="00FF5C5E"/>
    <w:pPr>
      <w:spacing w:after="160" w:line="259" w:lineRule="auto"/>
      <w:ind w:left="720"/>
      <w:contextualSpacing/>
    </w:pPr>
    <w:rPr>
      <w:rFonts w:asciiTheme="minorHAnsi" w:eastAsiaTheme="minorHAnsi" w:hAnsiTheme="minorHAnsi" w:cstheme="minorBidi"/>
      <w:sz w:val="22"/>
      <w:szCs w:val="22"/>
    </w:rPr>
  </w:style>
  <w:style w:type="character" w:customStyle="1" w:styleId="TextodebaloChar">
    <w:name w:val="Texto de balão Char"/>
    <w:basedOn w:val="Fontepargpadro"/>
    <w:link w:val="Textodebalo"/>
    <w:uiPriority w:val="99"/>
    <w:rsid w:val="00FF5C5E"/>
    <w:rPr>
      <w:rFonts w:ascii="Tahoma" w:hAnsi="Tahoma" w:cs="Tahoma"/>
      <w:sz w:val="16"/>
      <w:szCs w:val="16"/>
      <w:lang w:eastAsia="en-US"/>
    </w:rPr>
  </w:style>
  <w:style w:type="character" w:customStyle="1" w:styleId="TextodecomentrioChar">
    <w:name w:val="Texto de comentário Char"/>
    <w:basedOn w:val="Fontepargpadro"/>
    <w:link w:val="Textodecomentrio"/>
    <w:rsid w:val="00FF5C5E"/>
    <w:rPr>
      <w:lang w:eastAsia="en-US"/>
    </w:rPr>
  </w:style>
  <w:style w:type="character" w:customStyle="1" w:styleId="AssuntodocomentrioChar">
    <w:name w:val="Assunto do comentário Char"/>
    <w:basedOn w:val="TextodecomentrioChar"/>
    <w:link w:val="Assuntodocomentrio"/>
    <w:rsid w:val="00FF5C5E"/>
    <w:rPr>
      <w:b/>
      <w:bCs/>
      <w:lang w:eastAsia="en-US"/>
    </w:rPr>
  </w:style>
  <w:style w:type="character" w:styleId="nfase">
    <w:name w:val="Emphasis"/>
    <w:basedOn w:val="Fontepargpadro"/>
    <w:uiPriority w:val="20"/>
    <w:qFormat/>
    <w:rsid w:val="00FF5C5E"/>
    <w:rPr>
      <w:i/>
      <w:iCs/>
    </w:rPr>
  </w:style>
  <w:style w:type="character" w:customStyle="1" w:styleId="Ttulo3Char">
    <w:name w:val="Título 3 Char"/>
    <w:basedOn w:val="Fontepargpadro"/>
    <w:link w:val="Ttulo3"/>
    <w:rsid w:val="00FF5C5E"/>
    <w:rPr>
      <w:sz w:val="24"/>
      <w:lang w:eastAsia="en-US"/>
    </w:rPr>
  </w:style>
  <w:style w:type="character" w:styleId="Forte">
    <w:name w:val="Strong"/>
    <w:basedOn w:val="Fontepargpadro"/>
    <w:uiPriority w:val="22"/>
    <w:qFormat/>
    <w:rsid w:val="00FF5C5E"/>
    <w:rPr>
      <w:b/>
      <w:bCs/>
    </w:rPr>
  </w:style>
  <w:style w:type="character" w:styleId="HiperlinkVisitado">
    <w:name w:val="FollowedHyperlink"/>
    <w:basedOn w:val="Fontepargpadro"/>
    <w:uiPriority w:val="99"/>
    <w:unhideWhenUsed/>
    <w:rsid w:val="00FF5C5E"/>
    <w:rPr>
      <w:color w:val="B26B02" w:themeColor="followedHyperlink"/>
      <w:u w:val="single"/>
    </w:rPr>
  </w:style>
  <w:style w:type="paragraph" w:customStyle="1" w:styleId="CM182">
    <w:name w:val="CM182"/>
    <w:basedOn w:val="Default"/>
    <w:next w:val="Default"/>
    <w:uiPriority w:val="99"/>
    <w:rsid w:val="00FF5C5E"/>
    <w:rPr>
      <w:rFonts w:ascii="GECDL I+ Times New" w:hAnsi="GECDL I+ Times New" w:cstheme="minorBidi"/>
      <w:color w:val="auto"/>
    </w:rPr>
  </w:style>
  <w:style w:type="paragraph" w:customStyle="1" w:styleId="CM13">
    <w:name w:val="CM13"/>
    <w:basedOn w:val="Default"/>
    <w:next w:val="Default"/>
    <w:uiPriority w:val="99"/>
    <w:rsid w:val="00FF5C5E"/>
    <w:pPr>
      <w:spacing w:line="176" w:lineRule="atLeast"/>
    </w:pPr>
    <w:rPr>
      <w:rFonts w:ascii="GECDL I+ Times New" w:hAnsi="GECDL I+ Times New" w:cstheme="minorBidi"/>
      <w:color w:val="auto"/>
    </w:rPr>
  </w:style>
  <w:style w:type="paragraph" w:styleId="Reviso">
    <w:name w:val="Revision"/>
    <w:hidden/>
    <w:uiPriority w:val="99"/>
    <w:semiHidden/>
    <w:rsid w:val="00FF5C5E"/>
    <w:rPr>
      <w:rFonts w:asciiTheme="minorHAnsi" w:eastAsiaTheme="minorHAnsi" w:hAnsiTheme="minorHAnsi" w:cstheme="minorBidi"/>
      <w:sz w:val="22"/>
      <w:szCs w:val="22"/>
      <w:lang w:eastAsia="en-US"/>
    </w:rPr>
  </w:style>
  <w:style w:type="paragraph" w:customStyle="1" w:styleId="Pa7">
    <w:name w:val="Pa7"/>
    <w:basedOn w:val="Default"/>
    <w:next w:val="Default"/>
    <w:uiPriority w:val="99"/>
    <w:rsid w:val="00FF5C5E"/>
    <w:pPr>
      <w:spacing w:line="201" w:lineRule="atLeast"/>
    </w:pPr>
    <w:rPr>
      <w:rFonts w:ascii="Stone Serif ITC" w:hAnsi="Stone Serif ITC" w:cstheme="minorBidi"/>
      <w:color w:val="auto"/>
    </w:rPr>
  </w:style>
  <w:style w:type="paragraph" w:customStyle="1" w:styleId="Pa18">
    <w:name w:val="Pa18"/>
    <w:basedOn w:val="Default"/>
    <w:next w:val="Default"/>
    <w:uiPriority w:val="99"/>
    <w:rsid w:val="00FF5C5E"/>
    <w:pPr>
      <w:spacing w:line="161" w:lineRule="atLeast"/>
    </w:pPr>
    <w:rPr>
      <w:rFonts w:ascii="Stone Serif ITC" w:hAnsi="Stone Serif ITC" w:cstheme="minorBidi"/>
      <w:color w:val="auto"/>
    </w:rPr>
  </w:style>
  <w:style w:type="paragraph" w:customStyle="1" w:styleId="Pa9">
    <w:name w:val="Pa9"/>
    <w:basedOn w:val="Default"/>
    <w:next w:val="Default"/>
    <w:uiPriority w:val="99"/>
    <w:rsid w:val="00FF5C5E"/>
    <w:pPr>
      <w:spacing w:line="201" w:lineRule="atLeast"/>
    </w:pPr>
    <w:rPr>
      <w:rFonts w:ascii="Minion Pro" w:hAnsi="Minion Pro" w:cstheme="minorBidi"/>
      <w:color w:val="auto"/>
    </w:rPr>
  </w:style>
  <w:style w:type="paragraph" w:customStyle="1" w:styleId="Pa11">
    <w:name w:val="Pa11"/>
    <w:basedOn w:val="Default"/>
    <w:next w:val="Default"/>
    <w:uiPriority w:val="99"/>
    <w:rsid w:val="00FF5C5E"/>
    <w:pPr>
      <w:spacing w:line="201" w:lineRule="atLeast"/>
    </w:pPr>
    <w:rPr>
      <w:rFonts w:ascii="Minion Pro" w:hAnsi="Minion Pro" w:cstheme="minorBidi"/>
      <w:color w:val="auto"/>
    </w:rPr>
  </w:style>
  <w:style w:type="character" w:customStyle="1" w:styleId="A9">
    <w:name w:val="A9"/>
    <w:uiPriority w:val="99"/>
    <w:rsid w:val="00FF5C5E"/>
    <w:rPr>
      <w:rFonts w:cs="Minion Pro"/>
      <w:color w:val="000000"/>
      <w:sz w:val="20"/>
      <w:szCs w:val="20"/>
    </w:rPr>
  </w:style>
  <w:style w:type="character" w:customStyle="1" w:styleId="TextodenotaderodapChar">
    <w:name w:val="Texto de nota de rodapé Char"/>
    <w:basedOn w:val="Fontepargpadro"/>
    <w:link w:val="Textodenotaderodap"/>
    <w:uiPriority w:val="99"/>
    <w:rsid w:val="00FF5C5E"/>
    <w:rPr>
      <w:lang w:eastAsia="en-US"/>
    </w:rPr>
  </w:style>
  <w:style w:type="paragraph" w:customStyle="1" w:styleId="TtuloPrincipal">
    <w:name w:val="Título Principal"/>
    <w:basedOn w:val="Normal"/>
    <w:qFormat/>
    <w:rsid w:val="00FF5C5E"/>
    <w:pPr>
      <w:spacing w:after="160" w:line="259" w:lineRule="auto"/>
      <w:jc w:val="both"/>
    </w:pPr>
    <w:rPr>
      <w:rFonts w:ascii="Arial Narrow" w:eastAsiaTheme="minorHAnsi" w:hAnsi="Arial Narrow" w:cstheme="minorBidi"/>
      <w:b/>
      <w:color w:val="264356" w:themeColor="text2" w:themeShade="BF"/>
      <w:sz w:val="32"/>
      <w:szCs w:val="32"/>
    </w:rPr>
  </w:style>
  <w:style w:type="character" w:customStyle="1" w:styleId="CabealhoChar">
    <w:name w:val="Cabeçalho Char"/>
    <w:basedOn w:val="Fontepargpadro"/>
    <w:link w:val="Cabealho"/>
    <w:uiPriority w:val="99"/>
    <w:rsid w:val="00FF5C5E"/>
    <w:rPr>
      <w:lang w:eastAsia="en-US"/>
    </w:rPr>
  </w:style>
  <w:style w:type="character" w:customStyle="1" w:styleId="RodapChar">
    <w:name w:val="Rodapé Char"/>
    <w:basedOn w:val="Fontepargpadro"/>
    <w:link w:val="Rodap"/>
    <w:uiPriority w:val="99"/>
    <w:rsid w:val="00FF5C5E"/>
    <w:rPr>
      <w:lang w:eastAsia="en-US"/>
    </w:rPr>
  </w:style>
  <w:style w:type="paragraph" w:customStyle="1" w:styleId="Corpoprincipal">
    <w:name w:val="Corpo principal"/>
    <w:basedOn w:val="Normal"/>
    <w:qFormat/>
    <w:rsid w:val="00FF5C5E"/>
    <w:pPr>
      <w:spacing w:after="160" w:line="340" w:lineRule="exact"/>
      <w:jc w:val="both"/>
    </w:pPr>
    <w:rPr>
      <w:rFonts w:ascii="Arial Narrow" w:eastAsiaTheme="minorHAnsi" w:hAnsi="Arial Narrow" w:cstheme="minorBidi"/>
      <w:sz w:val="22"/>
      <w:szCs w:val="24"/>
    </w:rPr>
  </w:style>
  <w:style w:type="paragraph" w:customStyle="1" w:styleId="Ttuloprincipal2">
    <w:name w:val="Título principal 2"/>
    <w:basedOn w:val="Normal"/>
    <w:qFormat/>
    <w:rsid w:val="00FF5C5E"/>
    <w:pPr>
      <w:spacing w:after="160" w:line="259" w:lineRule="auto"/>
      <w:jc w:val="both"/>
    </w:pPr>
    <w:rPr>
      <w:rFonts w:ascii="Arial Narrow" w:eastAsiaTheme="minorHAnsi" w:hAnsi="Arial Narrow" w:cstheme="minorBidi"/>
      <w:b/>
      <w:color w:val="264356" w:themeColor="text2" w:themeShade="BF"/>
      <w:sz w:val="28"/>
      <w:szCs w:val="28"/>
    </w:rPr>
  </w:style>
  <w:style w:type="paragraph" w:customStyle="1" w:styleId="Tabelas">
    <w:name w:val="Tabelas"/>
    <w:basedOn w:val="Corpoprincipal"/>
    <w:qFormat/>
    <w:rsid w:val="00FF5C5E"/>
    <w:pPr>
      <w:jc w:val="center"/>
    </w:pPr>
  </w:style>
  <w:style w:type="table" w:styleId="TabeladeGrade5Escura-nfase4">
    <w:name w:val="Grid Table 5 Dark Accent 4"/>
    <w:basedOn w:val="Tabelanormal"/>
    <w:uiPriority w:val="50"/>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8F1E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2BA97"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2BA97"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2BA97"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2BA97" w:themeFill="accent4"/>
      </w:tcPr>
    </w:tblStylePr>
    <w:tblStylePr w:type="band1Vert">
      <w:tblPr/>
      <w:tcPr>
        <w:shd w:val="clear" w:color="auto" w:fill="B2E4D5" w:themeFill="accent4" w:themeFillTint="66"/>
      </w:tcPr>
    </w:tblStylePr>
    <w:tblStylePr w:type="band1Horz">
      <w:tblPr/>
      <w:tcPr>
        <w:shd w:val="clear" w:color="auto" w:fill="B2E4D5" w:themeFill="accent4" w:themeFillTint="66"/>
      </w:tcPr>
    </w:tblStylePr>
  </w:style>
  <w:style w:type="table" w:styleId="TabeladeGrade5Escura-nfase5">
    <w:name w:val="Grid Table 5 Dark Accent 5"/>
    <w:basedOn w:val="Tabelanormal"/>
    <w:uiPriority w:val="50"/>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3EBDA"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E8853"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E8853"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E8853"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E8853" w:themeFill="accent5"/>
      </w:tcPr>
    </w:tblStylePr>
    <w:tblStylePr w:type="band1Vert">
      <w:tblPr/>
      <w:tcPr>
        <w:shd w:val="clear" w:color="auto" w:fill="A9D7B6" w:themeFill="accent5" w:themeFillTint="66"/>
      </w:tcPr>
    </w:tblStylePr>
    <w:tblStylePr w:type="band1Horz">
      <w:tblPr/>
      <w:tcPr>
        <w:shd w:val="clear" w:color="auto" w:fill="A9D7B6" w:themeFill="accent5" w:themeFillTint="66"/>
      </w:tcPr>
    </w:tblStylePr>
  </w:style>
  <w:style w:type="table" w:styleId="TabeladeGrade4-nfase5">
    <w:name w:val="Grid Table 4 Accent 5"/>
    <w:basedOn w:val="Tabelanormal"/>
    <w:uiPriority w:val="49"/>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7EC492" w:themeColor="accent5" w:themeTint="99"/>
        <w:left w:val="single" w:sz="4" w:space="0" w:color="7EC492" w:themeColor="accent5" w:themeTint="99"/>
        <w:bottom w:val="single" w:sz="4" w:space="0" w:color="7EC492" w:themeColor="accent5" w:themeTint="99"/>
        <w:right w:val="single" w:sz="4" w:space="0" w:color="7EC492" w:themeColor="accent5" w:themeTint="99"/>
        <w:insideH w:val="single" w:sz="4" w:space="0" w:color="7EC492" w:themeColor="accent5" w:themeTint="99"/>
        <w:insideV w:val="single" w:sz="4" w:space="0" w:color="7EC492"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3E8853" w:themeColor="accent5"/>
          <w:left w:val="single" w:sz="4" w:space="0" w:color="3E8853" w:themeColor="accent5"/>
          <w:bottom w:val="single" w:sz="4" w:space="0" w:color="3E8853" w:themeColor="accent5"/>
          <w:right w:val="single" w:sz="4" w:space="0" w:color="3E8853" w:themeColor="accent5"/>
          <w:insideH w:val="nil"/>
          <w:insideV w:val="nil"/>
        </w:tcBorders>
        <w:shd w:val="clear" w:color="auto" w:fill="3E8853" w:themeFill="accent5"/>
      </w:tcPr>
    </w:tblStylePr>
    <w:tblStylePr w:type="lastRow">
      <w:rPr>
        <w:b/>
        <w:bCs/>
      </w:rPr>
      <w:tblPr/>
      <w:tcPr>
        <w:tcBorders>
          <w:top w:val="double" w:sz="4" w:space="0" w:color="3E8853" w:themeColor="accent5"/>
        </w:tcBorders>
      </w:tcPr>
    </w:tblStylePr>
    <w:tblStylePr w:type="firstCol">
      <w:rPr>
        <w:b/>
        <w:bCs/>
      </w:rPr>
    </w:tblStylePr>
    <w:tblStylePr w:type="lastCol">
      <w:rPr>
        <w:b/>
        <w:bCs/>
      </w:rPr>
    </w:tblStylePr>
    <w:tblStylePr w:type="band1Vert">
      <w:tblPr/>
      <w:tcPr>
        <w:shd w:val="clear" w:color="auto" w:fill="D3EBDA" w:themeFill="accent5" w:themeFillTint="33"/>
      </w:tcPr>
    </w:tblStylePr>
    <w:tblStylePr w:type="band1Horz">
      <w:tblPr/>
      <w:tcPr>
        <w:shd w:val="clear" w:color="auto" w:fill="D3EBDA" w:themeFill="accent5" w:themeFillTint="33"/>
      </w:tcPr>
    </w:tblStylePr>
  </w:style>
  <w:style w:type="table" w:styleId="TabeladeGrade5Escura-nfase6">
    <w:name w:val="Grid Table 5 Dark Accent 6"/>
    <w:basedOn w:val="Tabelanormal"/>
    <w:uiPriority w:val="50"/>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ECE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2A39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2A39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2A39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2A39F" w:themeFill="accent6"/>
      </w:tcPr>
    </w:tblStylePr>
    <w:tblStylePr w:type="band1Vert">
      <w:tblPr/>
      <w:tcPr>
        <w:shd w:val="clear" w:color="auto" w:fill="C0DAD8" w:themeFill="accent6" w:themeFillTint="66"/>
      </w:tcPr>
    </w:tblStylePr>
    <w:tblStylePr w:type="band1Horz">
      <w:tblPr/>
      <w:tcPr>
        <w:shd w:val="clear" w:color="auto" w:fill="C0DAD8" w:themeFill="accent6" w:themeFillTint="66"/>
      </w:tcPr>
    </w:tblStylePr>
  </w:style>
  <w:style w:type="paragraph" w:customStyle="1" w:styleId="Ttuloprincipal3">
    <w:name w:val="Título principal 3"/>
    <w:basedOn w:val="Ttuloprincipal2"/>
    <w:qFormat/>
    <w:rsid w:val="00FF5C5E"/>
    <w:rPr>
      <w:color w:val="808080" w:themeColor="background1" w:themeShade="80"/>
    </w:rPr>
  </w:style>
  <w:style w:type="table" w:styleId="TabeladeGrade4-nfase6">
    <w:name w:val="Grid Table 4 Accent 6"/>
    <w:basedOn w:val="Tabelanormal"/>
    <w:uiPriority w:val="49"/>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A0C7C5" w:themeColor="accent6" w:themeTint="99"/>
        <w:left w:val="single" w:sz="4" w:space="0" w:color="A0C7C5" w:themeColor="accent6" w:themeTint="99"/>
        <w:bottom w:val="single" w:sz="4" w:space="0" w:color="A0C7C5" w:themeColor="accent6" w:themeTint="99"/>
        <w:right w:val="single" w:sz="4" w:space="0" w:color="A0C7C5" w:themeColor="accent6" w:themeTint="99"/>
        <w:insideH w:val="single" w:sz="4" w:space="0" w:color="A0C7C5" w:themeColor="accent6" w:themeTint="99"/>
        <w:insideV w:val="single" w:sz="4" w:space="0" w:color="A0C7C5"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62A39F" w:themeColor="accent6"/>
          <w:left w:val="single" w:sz="4" w:space="0" w:color="62A39F" w:themeColor="accent6"/>
          <w:bottom w:val="single" w:sz="4" w:space="0" w:color="62A39F" w:themeColor="accent6"/>
          <w:right w:val="single" w:sz="4" w:space="0" w:color="62A39F" w:themeColor="accent6"/>
          <w:insideH w:val="nil"/>
          <w:insideV w:val="nil"/>
        </w:tcBorders>
        <w:shd w:val="clear" w:color="auto" w:fill="62A39F" w:themeFill="accent6"/>
      </w:tcPr>
    </w:tblStylePr>
    <w:tblStylePr w:type="lastRow">
      <w:rPr>
        <w:b/>
        <w:bCs/>
      </w:rPr>
      <w:tblPr/>
      <w:tcPr>
        <w:tcBorders>
          <w:top w:val="double" w:sz="4" w:space="0" w:color="62A39F" w:themeColor="accent6"/>
        </w:tcBorders>
      </w:tcPr>
    </w:tblStylePr>
    <w:tblStylePr w:type="firstCol">
      <w:rPr>
        <w:b/>
        <w:bCs/>
      </w:rPr>
    </w:tblStylePr>
    <w:tblStylePr w:type="lastCol">
      <w:rPr>
        <w:b/>
        <w:bCs/>
      </w:rPr>
    </w:tblStylePr>
    <w:tblStylePr w:type="band1Vert">
      <w:tblPr/>
      <w:tcPr>
        <w:shd w:val="clear" w:color="auto" w:fill="DFECEB" w:themeFill="accent6" w:themeFillTint="33"/>
      </w:tcPr>
    </w:tblStylePr>
    <w:tblStylePr w:type="band1Horz">
      <w:tblPr/>
      <w:tcPr>
        <w:shd w:val="clear" w:color="auto" w:fill="DFECEB" w:themeFill="accent6" w:themeFillTint="33"/>
      </w:tcPr>
    </w:tblStylePr>
  </w:style>
  <w:style w:type="paragraph" w:styleId="Textodenotadefim">
    <w:name w:val="endnote text"/>
    <w:basedOn w:val="Normal"/>
    <w:link w:val="TextodenotadefimChar"/>
    <w:uiPriority w:val="99"/>
    <w:unhideWhenUsed/>
    <w:rsid w:val="00FF5C5E"/>
    <w:rPr>
      <w:rFonts w:asciiTheme="minorHAnsi" w:eastAsiaTheme="minorHAnsi" w:hAnsiTheme="minorHAnsi" w:cstheme="minorBidi"/>
    </w:rPr>
  </w:style>
  <w:style w:type="character" w:customStyle="1" w:styleId="TextodenotadefimChar">
    <w:name w:val="Texto de nota de fim Char"/>
    <w:basedOn w:val="Fontepargpadro"/>
    <w:link w:val="Textodenotadefim"/>
    <w:uiPriority w:val="99"/>
    <w:rsid w:val="00FF5C5E"/>
    <w:rPr>
      <w:rFonts w:asciiTheme="minorHAnsi" w:eastAsiaTheme="minorHAnsi" w:hAnsiTheme="minorHAnsi" w:cstheme="minorBidi"/>
      <w:lang w:eastAsia="en-US"/>
    </w:rPr>
  </w:style>
  <w:style w:type="character" w:styleId="Refdenotadefim">
    <w:name w:val="endnote reference"/>
    <w:basedOn w:val="Fontepargpadro"/>
    <w:uiPriority w:val="99"/>
    <w:unhideWhenUsed/>
    <w:rsid w:val="00FF5C5E"/>
    <w:rPr>
      <w:vertAlign w:val="superscript"/>
    </w:rPr>
  </w:style>
  <w:style w:type="character" w:customStyle="1" w:styleId="Ttulo1Char">
    <w:name w:val="Título 1 Char"/>
    <w:aliases w:val="Seções Char"/>
    <w:basedOn w:val="Fontepargpadro"/>
    <w:link w:val="Ttulo1"/>
    <w:rsid w:val="00511A13"/>
    <w:rPr>
      <w:rFonts w:ascii="Arial Narrow" w:hAnsi="Arial Narrow"/>
      <w:b/>
      <w:snapToGrid w:val="0"/>
      <w:color w:val="1C6194" w:themeColor="accent2" w:themeShade="BF"/>
      <w:sz w:val="28"/>
    </w:rPr>
  </w:style>
  <w:style w:type="character" w:customStyle="1" w:styleId="Ttulo2Char">
    <w:name w:val="Título 2 Char"/>
    <w:aliases w:val="Subseções Char"/>
    <w:basedOn w:val="Fontepargpadro"/>
    <w:link w:val="Ttulo2"/>
    <w:rsid w:val="0079121C"/>
    <w:rPr>
      <w:rFonts w:ascii="Arial Narrow" w:hAnsi="Arial Narrow" w:cs="Arial"/>
      <w:b/>
      <w:color w:val="1C6194" w:themeColor="accent2" w:themeShade="BF"/>
      <w:sz w:val="26"/>
      <w:lang w:eastAsia="en-US"/>
    </w:rPr>
  </w:style>
  <w:style w:type="character" w:styleId="TextodoEspaoReservado">
    <w:name w:val="Placeholder Text"/>
    <w:basedOn w:val="Fontepargpadro"/>
    <w:uiPriority w:val="99"/>
    <w:semiHidden/>
    <w:rsid w:val="00FF5C5E"/>
    <w:rPr>
      <w:color w:val="808080"/>
    </w:rPr>
  </w:style>
  <w:style w:type="character" w:customStyle="1" w:styleId="CorpodetextoChar">
    <w:name w:val="Corpo de texto Char"/>
    <w:basedOn w:val="Fontepargpadro"/>
    <w:link w:val="Corpodetexto"/>
    <w:rsid w:val="00FF5C5E"/>
    <w:rPr>
      <w:sz w:val="24"/>
      <w:lang w:eastAsia="en-US"/>
    </w:rPr>
  </w:style>
  <w:style w:type="paragraph" w:customStyle="1" w:styleId="Fonte">
    <w:name w:val="Fonte"/>
    <w:basedOn w:val="Corpodetexto"/>
    <w:qFormat/>
    <w:rsid w:val="00FF5C5E"/>
    <w:pPr>
      <w:tabs>
        <w:tab w:val="left" w:pos="1701"/>
      </w:tabs>
      <w:spacing w:after="120"/>
    </w:pPr>
    <w:rPr>
      <w:rFonts w:ascii="Arial Narrow" w:hAnsi="Arial Narrow"/>
      <w:sz w:val="18"/>
      <w:lang w:eastAsia="pt-BR"/>
    </w:rPr>
  </w:style>
  <w:style w:type="paragraph" w:customStyle="1" w:styleId="TtuloPrincipal20">
    <w:name w:val="Título Principal 2"/>
    <w:basedOn w:val="TtuloPrincipal"/>
    <w:qFormat/>
    <w:rsid w:val="00FF5C5E"/>
    <w:pPr>
      <w:tabs>
        <w:tab w:val="left" w:pos="1701"/>
      </w:tabs>
      <w:spacing w:after="120" w:line="360" w:lineRule="auto"/>
    </w:pPr>
    <w:rPr>
      <w:rFonts w:eastAsia="Times New Roman" w:cs="Times New Roman"/>
      <w:sz w:val="28"/>
      <w:szCs w:val="20"/>
      <w:lang w:eastAsia="pt-BR"/>
    </w:rPr>
  </w:style>
  <w:style w:type="character" w:customStyle="1" w:styleId="RecuodecorpodetextoChar">
    <w:name w:val="Recuo de corpo de texto Char"/>
    <w:basedOn w:val="Fontepargpadro"/>
    <w:link w:val="Recuodecorpodetexto"/>
    <w:rsid w:val="00FF5C5E"/>
    <w:rPr>
      <w:sz w:val="24"/>
      <w:lang w:eastAsia="en-US"/>
    </w:rPr>
  </w:style>
  <w:style w:type="paragraph" w:styleId="ndicedeilustraes">
    <w:name w:val="table of figures"/>
    <w:basedOn w:val="Normal"/>
    <w:next w:val="Normal"/>
    <w:uiPriority w:val="99"/>
    <w:unhideWhenUsed/>
    <w:rsid w:val="00FF5C5E"/>
    <w:pPr>
      <w:spacing w:line="259" w:lineRule="auto"/>
    </w:pPr>
    <w:rPr>
      <w:rFonts w:asciiTheme="minorHAnsi" w:eastAsiaTheme="minorHAnsi" w:hAnsiTheme="minorHAnsi" w:cstheme="minorBidi"/>
      <w:sz w:val="22"/>
      <w:szCs w:val="22"/>
    </w:rPr>
  </w:style>
  <w:style w:type="table" w:styleId="TabeladeGradeClara">
    <w:name w:val="Grid Table Light"/>
    <w:basedOn w:val="Tabelanormal"/>
    <w:uiPriority w:val="40"/>
    <w:rsid w:val="00FF5C5E"/>
    <w:rPr>
      <w:rFonts w:asciiTheme="minorHAnsi" w:eastAsiaTheme="minorHAnsi" w:hAnsiTheme="minorHAnsi" w:cstheme="minorBidi"/>
      <w:sz w:val="22"/>
      <w:szCs w:val="22"/>
      <w:lang w:val="en-GB" w:eastAsia="en-US"/>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apple-converted-space">
    <w:name w:val="apple-converted-space"/>
    <w:basedOn w:val="Fontepargpadro"/>
    <w:rsid w:val="00FF5C5E"/>
  </w:style>
  <w:style w:type="table" w:styleId="TabelaSimples2">
    <w:name w:val="Plain Table 2"/>
    <w:basedOn w:val="Tabelanormal"/>
    <w:uiPriority w:val="42"/>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tulo4Char">
    <w:name w:val="Título 4 Char"/>
    <w:basedOn w:val="Fontepargpadro"/>
    <w:link w:val="Ttulo4"/>
    <w:uiPriority w:val="9"/>
    <w:rsid w:val="00FF5C5E"/>
    <w:rPr>
      <w:sz w:val="24"/>
      <w:lang w:eastAsia="en-US"/>
    </w:rPr>
  </w:style>
  <w:style w:type="character" w:customStyle="1" w:styleId="Ttulo5Char">
    <w:name w:val="Título 5 Char"/>
    <w:aliases w:val="Figura Char"/>
    <w:basedOn w:val="Fontepargpadro"/>
    <w:link w:val="Ttulo5"/>
    <w:uiPriority w:val="9"/>
    <w:rsid w:val="00FF5C5E"/>
    <w:rPr>
      <w:b/>
      <w:color w:val="000080"/>
      <w:sz w:val="24"/>
      <w:lang w:eastAsia="en-US"/>
    </w:rPr>
  </w:style>
  <w:style w:type="character" w:customStyle="1" w:styleId="Corpodetexto3Char">
    <w:name w:val="Corpo de texto 3 Char"/>
    <w:basedOn w:val="Fontepargpadro"/>
    <w:link w:val="Corpodetexto3"/>
    <w:rsid w:val="00FF5C5E"/>
    <w:rPr>
      <w:b/>
      <w:color w:val="000080"/>
      <w:sz w:val="24"/>
      <w:lang w:eastAsia="en-US"/>
    </w:rPr>
  </w:style>
  <w:style w:type="character" w:customStyle="1" w:styleId="Corpodetexto2Char">
    <w:name w:val="Corpo de texto 2 Char"/>
    <w:basedOn w:val="Fontepargpadro"/>
    <w:link w:val="Corpodetexto2"/>
    <w:rsid w:val="00FF5C5E"/>
    <w:rPr>
      <w:sz w:val="24"/>
      <w:lang w:eastAsia="en-US"/>
    </w:rPr>
  </w:style>
  <w:style w:type="character" w:customStyle="1" w:styleId="hps">
    <w:name w:val="hps"/>
    <w:basedOn w:val="Fontepargpadro"/>
    <w:rsid w:val="00FF5C5E"/>
  </w:style>
  <w:style w:type="character" w:customStyle="1" w:styleId="email">
    <w:name w:val="email"/>
    <w:basedOn w:val="Fontepargpadro"/>
    <w:rsid w:val="00FF5C5E"/>
  </w:style>
  <w:style w:type="character" w:customStyle="1" w:styleId="st">
    <w:name w:val="st"/>
    <w:basedOn w:val="Fontepargpadro"/>
    <w:rsid w:val="00FF5C5E"/>
  </w:style>
  <w:style w:type="paragraph" w:styleId="Subttulo">
    <w:name w:val="Subtitle"/>
    <w:aliases w:val="Tabela"/>
    <w:basedOn w:val="Normal"/>
    <w:next w:val="Normal"/>
    <w:link w:val="SubttuloChar"/>
    <w:uiPriority w:val="11"/>
    <w:qFormat/>
    <w:rsid w:val="00FF5C5E"/>
    <w:pPr>
      <w:numPr>
        <w:ilvl w:val="1"/>
      </w:numPr>
      <w:spacing w:beforeLines="150"/>
      <w:ind w:firstLine="851"/>
      <w:jc w:val="both"/>
    </w:pPr>
    <w:rPr>
      <w:rFonts w:eastAsiaTheme="majorEastAsia" w:cstheme="majorBidi"/>
      <w:iCs/>
      <w:spacing w:val="15"/>
      <w:sz w:val="24"/>
      <w:szCs w:val="24"/>
    </w:rPr>
  </w:style>
  <w:style w:type="character" w:customStyle="1" w:styleId="SubttuloChar">
    <w:name w:val="Subtítulo Char"/>
    <w:aliases w:val="Tabela Char"/>
    <w:basedOn w:val="Fontepargpadro"/>
    <w:link w:val="Subttulo"/>
    <w:uiPriority w:val="11"/>
    <w:rsid w:val="00FF5C5E"/>
    <w:rPr>
      <w:rFonts w:eastAsiaTheme="majorEastAsia" w:cstheme="majorBidi"/>
      <w:iCs/>
      <w:spacing w:val="15"/>
      <w:sz w:val="24"/>
      <w:szCs w:val="24"/>
      <w:lang w:eastAsia="en-US"/>
    </w:rPr>
  </w:style>
  <w:style w:type="character" w:customStyle="1" w:styleId="shorttext">
    <w:name w:val="short_text"/>
    <w:basedOn w:val="Fontepargpadro"/>
    <w:rsid w:val="00FF5C5E"/>
  </w:style>
  <w:style w:type="paragraph" w:customStyle="1" w:styleId="Eq">
    <w:name w:val="Eq"/>
    <w:basedOn w:val="Legenda"/>
    <w:link w:val="EqChar"/>
    <w:qFormat/>
    <w:rsid w:val="00FF5C5E"/>
    <w:pPr>
      <w:spacing w:after="200"/>
    </w:pPr>
    <w:rPr>
      <w:rFonts w:ascii="Cambria Math" w:eastAsiaTheme="minorHAnsi" w:hAnsi="Cambria Math" w:cstheme="minorBidi"/>
      <w:i w:val="0"/>
      <w:sz w:val="22"/>
    </w:rPr>
  </w:style>
  <w:style w:type="character" w:customStyle="1" w:styleId="LegendaChar">
    <w:name w:val="Legenda Char"/>
    <w:basedOn w:val="Fontepargpadro"/>
    <w:link w:val="Legenda"/>
    <w:uiPriority w:val="35"/>
    <w:rsid w:val="00FF5C5E"/>
    <w:rPr>
      <w:i/>
      <w:sz w:val="18"/>
      <w:lang w:eastAsia="en-US"/>
    </w:rPr>
  </w:style>
  <w:style w:type="character" w:customStyle="1" w:styleId="EqChar">
    <w:name w:val="Eq Char"/>
    <w:basedOn w:val="LegendaChar"/>
    <w:link w:val="Eq"/>
    <w:rsid w:val="00FF5C5E"/>
    <w:rPr>
      <w:rFonts w:ascii="Cambria Math" w:eastAsiaTheme="minorHAnsi" w:hAnsi="Cambria Math" w:cstheme="minorBidi"/>
      <w:i w:val="0"/>
      <w:sz w:val="22"/>
      <w:lang w:eastAsia="en-US"/>
    </w:rPr>
  </w:style>
  <w:style w:type="table" w:styleId="TabeladeGrade4-nfase2">
    <w:name w:val="Grid Table 4 Accent 2"/>
    <w:basedOn w:val="Tabelanormal"/>
    <w:uiPriority w:val="49"/>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74B5E4" w:themeColor="accent2" w:themeTint="99"/>
        <w:left w:val="single" w:sz="4" w:space="0" w:color="74B5E4" w:themeColor="accent2" w:themeTint="99"/>
        <w:bottom w:val="single" w:sz="4" w:space="0" w:color="74B5E4" w:themeColor="accent2" w:themeTint="99"/>
        <w:right w:val="single" w:sz="4" w:space="0" w:color="74B5E4" w:themeColor="accent2" w:themeTint="99"/>
        <w:insideH w:val="single" w:sz="4" w:space="0" w:color="74B5E4" w:themeColor="accent2" w:themeTint="99"/>
        <w:insideV w:val="single" w:sz="4" w:space="0" w:color="74B5E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2683C6" w:themeColor="accent2"/>
          <w:left w:val="single" w:sz="4" w:space="0" w:color="2683C6" w:themeColor="accent2"/>
          <w:bottom w:val="single" w:sz="4" w:space="0" w:color="2683C6" w:themeColor="accent2"/>
          <w:right w:val="single" w:sz="4" w:space="0" w:color="2683C6" w:themeColor="accent2"/>
          <w:insideH w:val="nil"/>
          <w:insideV w:val="nil"/>
        </w:tcBorders>
        <w:shd w:val="clear" w:color="auto" w:fill="2683C6" w:themeFill="accent2"/>
      </w:tcPr>
    </w:tblStylePr>
    <w:tblStylePr w:type="lastRow">
      <w:rPr>
        <w:b/>
        <w:bCs/>
      </w:rPr>
      <w:tblPr/>
      <w:tcPr>
        <w:tcBorders>
          <w:top w:val="double" w:sz="4" w:space="0" w:color="2683C6" w:themeColor="accent2"/>
        </w:tcBorders>
      </w:tcPr>
    </w:tblStylePr>
    <w:tblStylePr w:type="firstCol">
      <w:rPr>
        <w:b/>
        <w:bCs/>
      </w:rPr>
    </w:tblStylePr>
    <w:tblStylePr w:type="lastCol">
      <w:rPr>
        <w:b/>
        <w:bCs/>
      </w:rPr>
    </w:tblStylePr>
    <w:tblStylePr w:type="band1Vert">
      <w:tblPr/>
      <w:tcPr>
        <w:shd w:val="clear" w:color="auto" w:fill="D0E6F6" w:themeFill="accent2" w:themeFillTint="33"/>
      </w:tcPr>
    </w:tblStylePr>
    <w:tblStylePr w:type="band1Horz">
      <w:tblPr/>
      <w:tcPr>
        <w:shd w:val="clear" w:color="auto" w:fill="D0E6F6" w:themeFill="accent2" w:themeFillTint="33"/>
      </w:tcPr>
    </w:tblStylePr>
  </w:style>
  <w:style w:type="table" w:styleId="TabeladeGrade4-nfase1">
    <w:name w:val="Grid Table 4 Accent 1"/>
    <w:basedOn w:val="Tabelanormal"/>
    <w:uiPriority w:val="49"/>
    <w:rsid w:val="00FF5C5E"/>
    <w:rPr>
      <w:rFonts w:asciiTheme="minorHAnsi" w:eastAsiaTheme="minorHAnsi" w:hAnsiTheme="minorHAnsi" w:cstheme="minorBidi"/>
      <w:sz w:val="22"/>
      <w:szCs w:val="22"/>
      <w:lang w:val="en-GB" w:eastAsia="en-US"/>
    </w:rPr>
    <w:tblPr>
      <w:tblStyleRowBandSize w:val="1"/>
      <w:tblStyleColBandSize w:val="1"/>
      <w:tblInd w:w="0" w:type="dxa"/>
      <w:tblBorders>
        <w:top w:val="single" w:sz="4" w:space="0" w:color="76CDEE" w:themeColor="accent1" w:themeTint="99"/>
        <w:left w:val="single" w:sz="4" w:space="0" w:color="76CDEE" w:themeColor="accent1" w:themeTint="99"/>
        <w:bottom w:val="single" w:sz="4" w:space="0" w:color="76CDEE" w:themeColor="accent1" w:themeTint="99"/>
        <w:right w:val="single" w:sz="4" w:space="0" w:color="76CDEE" w:themeColor="accent1" w:themeTint="99"/>
        <w:insideH w:val="single" w:sz="4" w:space="0" w:color="76CDEE" w:themeColor="accent1" w:themeTint="99"/>
        <w:insideV w:val="single" w:sz="4" w:space="0" w:color="76CDEE"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1CADE4" w:themeColor="accent1"/>
          <w:left w:val="single" w:sz="4" w:space="0" w:color="1CADE4" w:themeColor="accent1"/>
          <w:bottom w:val="single" w:sz="4" w:space="0" w:color="1CADE4" w:themeColor="accent1"/>
          <w:right w:val="single" w:sz="4" w:space="0" w:color="1CADE4" w:themeColor="accent1"/>
          <w:insideH w:val="nil"/>
          <w:insideV w:val="nil"/>
        </w:tcBorders>
        <w:shd w:val="clear" w:color="auto" w:fill="1CADE4" w:themeFill="accent1"/>
      </w:tcPr>
    </w:tblStylePr>
    <w:tblStylePr w:type="lastRow">
      <w:rPr>
        <w:b/>
        <w:bCs/>
      </w:rPr>
      <w:tblPr/>
      <w:tcPr>
        <w:tcBorders>
          <w:top w:val="double" w:sz="4" w:space="0" w:color="1CADE4" w:themeColor="accent1"/>
        </w:tcBorders>
      </w:tcPr>
    </w:tblStylePr>
    <w:tblStylePr w:type="firstCol">
      <w:rPr>
        <w:b/>
        <w:bCs/>
      </w:rPr>
    </w:tblStylePr>
    <w:tblStylePr w:type="lastCol">
      <w:rPr>
        <w:b/>
        <w:bCs/>
      </w:rPr>
    </w:tblStylePr>
    <w:tblStylePr w:type="band1Vert">
      <w:tblPr/>
      <w:tcPr>
        <w:shd w:val="clear" w:color="auto" w:fill="D1EEF9" w:themeFill="accent1" w:themeFillTint="33"/>
      </w:tcPr>
    </w:tblStylePr>
    <w:tblStylePr w:type="band1Horz">
      <w:tblPr/>
      <w:tcPr>
        <w:shd w:val="clear" w:color="auto" w:fill="D1EEF9" w:themeFill="accent1" w:themeFillTint="33"/>
      </w:tcPr>
    </w:tblStylePr>
  </w:style>
  <w:style w:type="paragraph" w:styleId="CabealhodoSumrio">
    <w:name w:val="TOC Heading"/>
    <w:basedOn w:val="Ttulo1"/>
    <w:next w:val="Normal"/>
    <w:uiPriority w:val="39"/>
    <w:unhideWhenUsed/>
    <w:qFormat/>
    <w:rsid w:val="00FF5C5E"/>
    <w:pPr>
      <w:keepLines/>
      <w:tabs>
        <w:tab w:val="clear" w:pos="142"/>
      </w:tabs>
      <w:spacing w:before="240" w:after="0" w:line="259" w:lineRule="auto"/>
      <w:outlineLvl w:val="9"/>
    </w:pPr>
    <w:rPr>
      <w:rFonts w:asciiTheme="majorHAnsi" w:eastAsiaTheme="majorEastAsia" w:hAnsiTheme="majorHAnsi" w:cstheme="majorBidi"/>
      <w:b w:val="0"/>
      <w:snapToGrid/>
      <w:color w:val="1481AB" w:themeColor="accent1" w:themeShade="BF"/>
      <w:sz w:val="32"/>
      <w:szCs w:val="32"/>
    </w:rPr>
  </w:style>
  <w:style w:type="table" w:styleId="TabeladeLista1Clara-nfase2">
    <w:name w:val="List Table 1 Light Accent 2"/>
    <w:basedOn w:val="Tabelanormal"/>
    <w:uiPriority w:val="46"/>
    <w:rsid w:val="00FF5C5E"/>
    <w:rPr>
      <w:rFonts w:asciiTheme="minorHAnsi" w:eastAsiaTheme="minorHAnsi" w:hAnsiTheme="minorHAnsi" w:cstheme="minorBidi"/>
      <w:sz w:val="22"/>
      <w:szCs w:val="22"/>
      <w:lang w:val="en-GB"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74B5E4" w:themeColor="accent2" w:themeTint="99"/>
        </w:tcBorders>
      </w:tcPr>
    </w:tblStylePr>
    <w:tblStylePr w:type="lastRow">
      <w:rPr>
        <w:b/>
        <w:bCs/>
      </w:rPr>
      <w:tblPr/>
      <w:tcPr>
        <w:tcBorders>
          <w:top w:val="single" w:sz="4" w:space="0" w:color="74B5E4" w:themeColor="accent2" w:themeTint="99"/>
        </w:tcBorders>
      </w:tcPr>
    </w:tblStylePr>
    <w:tblStylePr w:type="firstCol">
      <w:rPr>
        <w:b/>
        <w:bCs/>
      </w:rPr>
    </w:tblStylePr>
    <w:tblStylePr w:type="lastCol">
      <w:rPr>
        <w:b/>
        <w:bCs/>
      </w:rPr>
    </w:tblStylePr>
    <w:tblStylePr w:type="band1Vert">
      <w:tblPr/>
      <w:tcPr>
        <w:shd w:val="clear" w:color="auto" w:fill="D0E6F6" w:themeFill="accent2" w:themeFillTint="33"/>
      </w:tcPr>
    </w:tblStylePr>
    <w:tblStylePr w:type="band1Horz">
      <w:tblPr/>
      <w:tcPr>
        <w:shd w:val="clear" w:color="auto" w:fill="D0E6F6"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99719">
      <w:bodyDiv w:val="1"/>
      <w:marLeft w:val="0"/>
      <w:marRight w:val="0"/>
      <w:marTop w:val="0"/>
      <w:marBottom w:val="0"/>
      <w:divBdr>
        <w:top w:val="none" w:sz="0" w:space="0" w:color="auto"/>
        <w:left w:val="none" w:sz="0" w:space="0" w:color="auto"/>
        <w:bottom w:val="none" w:sz="0" w:space="0" w:color="auto"/>
        <w:right w:val="none" w:sz="0" w:space="0" w:color="auto"/>
      </w:divBdr>
    </w:div>
    <w:div w:id="57675332">
      <w:bodyDiv w:val="1"/>
      <w:marLeft w:val="0"/>
      <w:marRight w:val="0"/>
      <w:marTop w:val="0"/>
      <w:marBottom w:val="0"/>
      <w:divBdr>
        <w:top w:val="none" w:sz="0" w:space="0" w:color="auto"/>
        <w:left w:val="none" w:sz="0" w:space="0" w:color="auto"/>
        <w:bottom w:val="none" w:sz="0" w:space="0" w:color="auto"/>
        <w:right w:val="none" w:sz="0" w:space="0" w:color="auto"/>
      </w:divBdr>
    </w:div>
    <w:div w:id="72168453">
      <w:bodyDiv w:val="1"/>
      <w:marLeft w:val="0"/>
      <w:marRight w:val="0"/>
      <w:marTop w:val="0"/>
      <w:marBottom w:val="0"/>
      <w:divBdr>
        <w:top w:val="none" w:sz="0" w:space="0" w:color="auto"/>
        <w:left w:val="none" w:sz="0" w:space="0" w:color="auto"/>
        <w:bottom w:val="none" w:sz="0" w:space="0" w:color="auto"/>
        <w:right w:val="none" w:sz="0" w:space="0" w:color="auto"/>
      </w:divBdr>
    </w:div>
    <w:div w:id="82992633">
      <w:bodyDiv w:val="1"/>
      <w:marLeft w:val="0"/>
      <w:marRight w:val="0"/>
      <w:marTop w:val="0"/>
      <w:marBottom w:val="0"/>
      <w:divBdr>
        <w:top w:val="none" w:sz="0" w:space="0" w:color="auto"/>
        <w:left w:val="none" w:sz="0" w:space="0" w:color="auto"/>
        <w:bottom w:val="none" w:sz="0" w:space="0" w:color="auto"/>
        <w:right w:val="none" w:sz="0" w:space="0" w:color="auto"/>
      </w:divBdr>
    </w:div>
    <w:div w:id="95830609">
      <w:bodyDiv w:val="1"/>
      <w:marLeft w:val="0"/>
      <w:marRight w:val="0"/>
      <w:marTop w:val="0"/>
      <w:marBottom w:val="0"/>
      <w:divBdr>
        <w:top w:val="none" w:sz="0" w:space="0" w:color="auto"/>
        <w:left w:val="none" w:sz="0" w:space="0" w:color="auto"/>
        <w:bottom w:val="none" w:sz="0" w:space="0" w:color="auto"/>
        <w:right w:val="none" w:sz="0" w:space="0" w:color="auto"/>
      </w:divBdr>
    </w:div>
    <w:div w:id="125314451">
      <w:bodyDiv w:val="1"/>
      <w:marLeft w:val="0"/>
      <w:marRight w:val="0"/>
      <w:marTop w:val="0"/>
      <w:marBottom w:val="0"/>
      <w:divBdr>
        <w:top w:val="none" w:sz="0" w:space="0" w:color="auto"/>
        <w:left w:val="none" w:sz="0" w:space="0" w:color="auto"/>
        <w:bottom w:val="none" w:sz="0" w:space="0" w:color="auto"/>
        <w:right w:val="none" w:sz="0" w:space="0" w:color="auto"/>
      </w:divBdr>
    </w:div>
    <w:div w:id="148248888">
      <w:bodyDiv w:val="1"/>
      <w:marLeft w:val="0"/>
      <w:marRight w:val="0"/>
      <w:marTop w:val="0"/>
      <w:marBottom w:val="0"/>
      <w:divBdr>
        <w:top w:val="none" w:sz="0" w:space="0" w:color="auto"/>
        <w:left w:val="none" w:sz="0" w:space="0" w:color="auto"/>
        <w:bottom w:val="none" w:sz="0" w:space="0" w:color="auto"/>
        <w:right w:val="none" w:sz="0" w:space="0" w:color="auto"/>
      </w:divBdr>
    </w:div>
    <w:div w:id="165638879">
      <w:bodyDiv w:val="1"/>
      <w:marLeft w:val="0"/>
      <w:marRight w:val="0"/>
      <w:marTop w:val="0"/>
      <w:marBottom w:val="0"/>
      <w:divBdr>
        <w:top w:val="none" w:sz="0" w:space="0" w:color="auto"/>
        <w:left w:val="none" w:sz="0" w:space="0" w:color="auto"/>
        <w:bottom w:val="none" w:sz="0" w:space="0" w:color="auto"/>
        <w:right w:val="none" w:sz="0" w:space="0" w:color="auto"/>
      </w:divBdr>
    </w:div>
    <w:div w:id="213124120">
      <w:bodyDiv w:val="1"/>
      <w:marLeft w:val="0"/>
      <w:marRight w:val="0"/>
      <w:marTop w:val="0"/>
      <w:marBottom w:val="0"/>
      <w:divBdr>
        <w:top w:val="none" w:sz="0" w:space="0" w:color="auto"/>
        <w:left w:val="none" w:sz="0" w:space="0" w:color="auto"/>
        <w:bottom w:val="none" w:sz="0" w:space="0" w:color="auto"/>
        <w:right w:val="none" w:sz="0" w:space="0" w:color="auto"/>
      </w:divBdr>
    </w:div>
    <w:div w:id="215436197">
      <w:bodyDiv w:val="1"/>
      <w:marLeft w:val="0"/>
      <w:marRight w:val="0"/>
      <w:marTop w:val="0"/>
      <w:marBottom w:val="0"/>
      <w:divBdr>
        <w:top w:val="none" w:sz="0" w:space="0" w:color="auto"/>
        <w:left w:val="none" w:sz="0" w:space="0" w:color="auto"/>
        <w:bottom w:val="none" w:sz="0" w:space="0" w:color="auto"/>
        <w:right w:val="none" w:sz="0" w:space="0" w:color="auto"/>
      </w:divBdr>
    </w:div>
    <w:div w:id="252083627">
      <w:bodyDiv w:val="1"/>
      <w:marLeft w:val="0"/>
      <w:marRight w:val="0"/>
      <w:marTop w:val="0"/>
      <w:marBottom w:val="0"/>
      <w:divBdr>
        <w:top w:val="none" w:sz="0" w:space="0" w:color="auto"/>
        <w:left w:val="none" w:sz="0" w:space="0" w:color="auto"/>
        <w:bottom w:val="none" w:sz="0" w:space="0" w:color="auto"/>
        <w:right w:val="none" w:sz="0" w:space="0" w:color="auto"/>
      </w:divBdr>
    </w:div>
    <w:div w:id="252323417">
      <w:bodyDiv w:val="1"/>
      <w:marLeft w:val="0"/>
      <w:marRight w:val="0"/>
      <w:marTop w:val="0"/>
      <w:marBottom w:val="0"/>
      <w:divBdr>
        <w:top w:val="none" w:sz="0" w:space="0" w:color="auto"/>
        <w:left w:val="none" w:sz="0" w:space="0" w:color="auto"/>
        <w:bottom w:val="none" w:sz="0" w:space="0" w:color="auto"/>
        <w:right w:val="none" w:sz="0" w:space="0" w:color="auto"/>
      </w:divBdr>
    </w:div>
    <w:div w:id="314458422">
      <w:bodyDiv w:val="1"/>
      <w:marLeft w:val="0"/>
      <w:marRight w:val="0"/>
      <w:marTop w:val="0"/>
      <w:marBottom w:val="0"/>
      <w:divBdr>
        <w:top w:val="none" w:sz="0" w:space="0" w:color="auto"/>
        <w:left w:val="none" w:sz="0" w:space="0" w:color="auto"/>
        <w:bottom w:val="none" w:sz="0" w:space="0" w:color="auto"/>
        <w:right w:val="none" w:sz="0" w:space="0" w:color="auto"/>
      </w:divBdr>
    </w:div>
    <w:div w:id="322322432">
      <w:bodyDiv w:val="1"/>
      <w:marLeft w:val="0"/>
      <w:marRight w:val="0"/>
      <w:marTop w:val="0"/>
      <w:marBottom w:val="0"/>
      <w:divBdr>
        <w:top w:val="none" w:sz="0" w:space="0" w:color="auto"/>
        <w:left w:val="none" w:sz="0" w:space="0" w:color="auto"/>
        <w:bottom w:val="none" w:sz="0" w:space="0" w:color="auto"/>
        <w:right w:val="none" w:sz="0" w:space="0" w:color="auto"/>
      </w:divBdr>
    </w:div>
    <w:div w:id="385418062">
      <w:bodyDiv w:val="1"/>
      <w:marLeft w:val="0"/>
      <w:marRight w:val="0"/>
      <w:marTop w:val="0"/>
      <w:marBottom w:val="0"/>
      <w:divBdr>
        <w:top w:val="none" w:sz="0" w:space="0" w:color="auto"/>
        <w:left w:val="none" w:sz="0" w:space="0" w:color="auto"/>
        <w:bottom w:val="none" w:sz="0" w:space="0" w:color="auto"/>
        <w:right w:val="none" w:sz="0" w:space="0" w:color="auto"/>
      </w:divBdr>
    </w:div>
    <w:div w:id="426654831">
      <w:bodyDiv w:val="1"/>
      <w:marLeft w:val="0"/>
      <w:marRight w:val="0"/>
      <w:marTop w:val="0"/>
      <w:marBottom w:val="0"/>
      <w:divBdr>
        <w:top w:val="none" w:sz="0" w:space="0" w:color="auto"/>
        <w:left w:val="none" w:sz="0" w:space="0" w:color="auto"/>
        <w:bottom w:val="none" w:sz="0" w:space="0" w:color="auto"/>
        <w:right w:val="none" w:sz="0" w:space="0" w:color="auto"/>
      </w:divBdr>
    </w:div>
    <w:div w:id="432288028">
      <w:bodyDiv w:val="1"/>
      <w:marLeft w:val="0"/>
      <w:marRight w:val="0"/>
      <w:marTop w:val="0"/>
      <w:marBottom w:val="0"/>
      <w:divBdr>
        <w:top w:val="none" w:sz="0" w:space="0" w:color="auto"/>
        <w:left w:val="none" w:sz="0" w:space="0" w:color="auto"/>
        <w:bottom w:val="none" w:sz="0" w:space="0" w:color="auto"/>
        <w:right w:val="none" w:sz="0" w:space="0" w:color="auto"/>
      </w:divBdr>
    </w:div>
    <w:div w:id="452212662">
      <w:bodyDiv w:val="1"/>
      <w:marLeft w:val="0"/>
      <w:marRight w:val="0"/>
      <w:marTop w:val="0"/>
      <w:marBottom w:val="0"/>
      <w:divBdr>
        <w:top w:val="none" w:sz="0" w:space="0" w:color="auto"/>
        <w:left w:val="none" w:sz="0" w:space="0" w:color="auto"/>
        <w:bottom w:val="none" w:sz="0" w:space="0" w:color="auto"/>
        <w:right w:val="none" w:sz="0" w:space="0" w:color="auto"/>
      </w:divBdr>
    </w:div>
    <w:div w:id="475681360">
      <w:bodyDiv w:val="1"/>
      <w:marLeft w:val="0"/>
      <w:marRight w:val="0"/>
      <w:marTop w:val="0"/>
      <w:marBottom w:val="0"/>
      <w:divBdr>
        <w:top w:val="none" w:sz="0" w:space="0" w:color="auto"/>
        <w:left w:val="none" w:sz="0" w:space="0" w:color="auto"/>
        <w:bottom w:val="none" w:sz="0" w:space="0" w:color="auto"/>
        <w:right w:val="none" w:sz="0" w:space="0" w:color="auto"/>
      </w:divBdr>
    </w:div>
    <w:div w:id="519200700">
      <w:bodyDiv w:val="1"/>
      <w:marLeft w:val="0"/>
      <w:marRight w:val="0"/>
      <w:marTop w:val="0"/>
      <w:marBottom w:val="0"/>
      <w:divBdr>
        <w:top w:val="none" w:sz="0" w:space="0" w:color="auto"/>
        <w:left w:val="none" w:sz="0" w:space="0" w:color="auto"/>
        <w:bottom w:val="none" w:sz="0" w:space="0" w:color="auto"/>
        <w:right w:val="none" w:sz="0" w:space="0" w:color="auto"/>
      </w:divBdr>
    </w:div>
    <w:div w:id="561673657">
      <w:bodyDiv w:val="1"/>
      <w:marLeft w:val="0"/>
      <w:marRight w:val="0"/>
      <w:marTop w:val="0"/>
      <w:marBottom w:val="0"/>
      <w:divBdr>
        <w:top w:val="none" w:sz="0" w:space="0" w:color="auto"/>
        <w:left w:val="none" w:sz="0" w:space="0" w:color="auto"/>
        <w:bottom w:val="none" w:sz="0" w:space="0" w:color="auto"/>
        <w:right w:val="none" w:sz="0" w:space="0" w:color="auto"/>
      </w:divBdr>
    </w:div>
    <w:div w:id="684551796">
      <w:bodyDiv w:val="1"/>
      <w:marLeft w:val="0"/>
      <w:marRight w:val="0"/>
      <w:marTop w:val="0"/>
      <w:marBottom w:val="0"/>
      <w:divBdr>
        <w:top w:val="none" w:sz="0" w:space="0" w:color="auto"/>
        <w:left w:val="none" w:sz="0" w:space="0" w:color="auto"/>
        <w:bottom w:val="none" w:sz="0" w:space="0" w:color="auto"/>
        <w:right w:val="none" w:sz="0" w:space="0" w:color="auto"/>
      </w:divBdr>
    </w:div>
    <w:div w:id="695740424">
      <w:bodyDiv w:val="1"/>
      <w:marLeft w:val="0"/>
      <w:marRight w:val="0"/>
      <w:marTop w:val="0"/>
      <w:marBottom w:val="0"/>
      <w:divBdr>
        <w:top w:val="none" w:sz="0" w:space="0" w:color="auto"/>
        <w:left w:val="none" w:sz="0" w:space="0" w:color="auto"/>
        <w:bottom w:val="none" w:sz="0" w:space="0" w:color="auto"/>
        <w:right w:val="none" w:sz="0" w:space="0" w:color="auto"/>
      </w:divBdr>
    </w:div>
    <w:div w:id="703291323">
      <w:bodyDiv w:val="1"/>
      <w:marLeft w:val="0"/>
      <w:marRight w:val="0"/>
      <w:marTop w:val="0"/>
      <w:marBottom w:val="0"/>
      <w:divBdr>
        <w:top w:val="none" w:sz="0" w:space="0" w:color="auto"/>
        <w:left w:val="none" w:sz="0" w:space="0" w:color="auto"/>
        <w:bottom w:val="none" w:sz="0" w:space="0" w:color="auto"/>
        <w:right w:val="none" w:sz="0" w:space="0" w:color="auto"/>
      </w:divBdr>
    </w:div>
    <w:div w:id="757598257">
      <w:bodyDiv w:val="1"/>
      <w:marLeft w:val="0"/>
      <w:marRight w:val="0"/>
      <w:marTop w:val="0"/>
      <w:marBottom w:val="0"/>
      <w:divBdr>
        <w:top w:val="none" w:sz="0" w:space="0" w:color="auto"/>
        <w:left w:val="none" w:sz="0" w:space="0" w:color="auto"/>
        <w:bottom w:val="none" w:sz="0" w:space="0" w:color="auto"/>
        <w:right w:val="none" w:sz="0" w:space="0" w:color="auto"/>
      </w:divBdr>
    </w:div>
    <w:div w:id="789280513">
      <w:bodyDiv w:val="1"/>
      <w:marLeft w:val="0"/>
      <w:marRight w:val="0"/>
      <w:marTop w:val="0"/>
      <w:marBottom w:val="0"/>
      <w:divBdr>
        <w:top w:val="none" w:sz="0" w:space="0" w:color="auto"/>
        <w:left w:val="none" w:sz="0" w:space="0" w:color="auto"/>
        <w:bottom w:val="none" w:sz="0" w:space="0" w:color="auto"/>
        <w:right w:val="none" w:sz="0" w:space="0" w:color="auto"/>
      </w:divBdr>
    </w:div>
    <w:div w:id="844127432">
      <w:bodyDiv w:val="1"/>
      <w:marLeft w:val="0"/>
      <w:marRight w:val="0"/>
      <w:marTop w:val="0"/>
      <w:marBottom w:val="0"/>
      <w:divBdr>
        <w:top w:val="none" w:sz="0" w:space="0" w:color="auto"/>
        <w:left w:val="none" w:sz="0" w:space="0" w:color="auto"/>
        <w:bottom w:val="none" w:sz="0" w:space="0" w:color="auto"/>
        <w:right w:val="none" w:sz="0" w:space="0" w:color="auto"/>
      </w:divBdr>
    </w:div>
    <w:div w:id="900289238">
      <w:bodyDiv w:val="1"/>
      <w:marLeft w:val="0"/>
      <w:marRight w:val="0"/>
      <w:marTop w:val="0"/>
      <w:marBottom w:val="0"/>
      <w:divBdr>
        <w:top w:val="none" w:sz="0" w:space="0" w:color="auto"/>
        <w:left w:val="none" w:sz="0" w:space="0" w:color="auto"/>
        <w:bottom w:val="none" w:sz="0" w:space="0" w:color="auto"/>
        <w:right w:val="none" w:sz="0" w:space="0" w:color="auto"/>
      </w:divBdr>
    </w:div>
    <w:div w:id="957443462">
      <w:bodyDiv w:val="1"/>
      <w:marLeft w:val="0"/>
      <w:marRight w:val="0"/>
      <w:marTop w:val="0"/>
      <w:marBottom w:val="0"/>
      <w:divBdr>
        <w:top w:val="none" w:sz="0" w:space="0" w:color="auto"/>
        <w:left w:val="none" w:sz="0" w:space="0" w:color="auto"/>
        <w:bottom w:val="none" w:sz="0" w:space="0" w:color="auto"/>
        <w:right w:val="none" w:sz="0" w:space="0" w:color="auto"/>
      </w:divBdr>
    </w:div>
    <w:div w:id="1044524708">
      <w:bodyDiv w:val="1"/>
      <w:marLeft w:val="0"/>
      <w:marRight w:val="0"/>
      <w:marTop w:val="0"/>
      <w:marBottom w:val="0"/>
      <w:divBdr>
        <w:top w:val="none" w:sz="0" w:space="0" w:color="auto"/>
        <w:left w:val="none" w:sz="0" w:space="0" w:color="auto"/>
        <w:bottom w:val="none" w:sz="0" w:space="0" w:color="auto"/>
        <w:right w:val="none" w:sz="0" w:space="0" w:color="auto"/>
      </w:divBdr>
    </w:div>
    <w:div w:id="1047144999">
      <w:bodyDiv w:val="1"/>
      <w:marLeft w:val="0"/>
      <w:marRight w:val="0"/>
      <w:marTop w:val="0"/>
      <w:marBottom w:val="0"/>
      <w:divBdr>
        <w:top w:val="none" w:sz="0" w:space="0" w:color="auto"/>
        <w:left w:val="none" w:sz="0" w:space="0" w:color="auto"/>
        <w:bottom w:val="none" w:sz="0" w:space="0" w:color="auto"/>
        <w:right w:val="none" w:sz="0" w:space="0" w:color="auto"/>
      </w:divBdr>
    </w:div>
    <w:div w:id="1094324630">
      <w:bodyDiv w:val="1"/>
      <w:marLeft w:val="0"/>
      <w:marRight w:val="0"/>
      <w:marTop w:val="0"/>
      <w:marBottom w:val="0"/>
      <w:divBdr>
        <w:top w:val="none" w:sz="0" w:space="0" w:color="auto"/>
        <w:left w:val="none" w:sz="0" w:space="0" w:color="auto"/>
        <w:bottom w:val="none" w:sz="0" w:space="0" w:color="auto"/>
        <w:right w:val="none" w:sz="0" w:space="0" w:color="auto"/>
      </w:divBdr>
    </w:div>
    <w:div w:id="1107653402">
      <w:bodyDiv w:val="1"/>
      <w:marLeft w:val="0"/>
      <w:marRight w:val="0"/>
      <w:marTop w:val="0"/>
      <w:marBottom w:val="0"/>
      <w:divBdr>
        <w:top w:val="none" w:sz="0" w:space="0" w:color="auto"/>
        <w:left w:val="none" w:sz="0" w:space="0" w:color="auto"/>
        <w:bottom w:val="none" w:sz="0" w:space="0" w:color="auto"/>
        <w:right w:val="none" w:sz="0" w:space="0" w:color="auto"/>
      </w:divBdr>
    </w:div>
    <w:div w:id="1132091675">
      <w:bodyDiv w:val="1"/>
      <w:marLeft w:val="0"/>
      <w:marRight w:val="0"/>
      <w:marTop w:val="0"/>
      <w:marBottom w:val="0"/>
      <w:divBdr>
        <w:top w:val="none" w:sz="0" w:space="0" w:color="auto"/>
        <w:left w:val="none" w:sz="0" w:space="0" w:color="auto"/>
        <w:bottom w:val="none" w:sz="0" w:space="0" w:color="auto"/>
        <w:right w:val="none" w:sz="0" w:space="0" w:color="auto"/>
      </w:divBdr>
    </w:div>
    <w:div w:id="1214779946">
      <w:bodyDiv w:val="1"/>
      <w:marLeft w:val="0"/>
      <w:marRight w:val="0"/>
      <w:marTop w:val="0"/>
      <w:marBottom w:val="0"/>
      <w:divBdr>
        <w:top w:val="none" w:sz="0" w:space="0" w:color="auto"/>
        <w:left w:val="none" w:sz="0" w:space="0" w:color="auto"/>
        <w:bottom w:val="none" w:sz="0" w:space="0" w:color="auto"/>
        <w:right w:val="none" w:sz="0" w:space="0" w:color="auto"/>
      </w:divBdr>
    </w:div>
    <w:div w:id="1258709915">
      <w:bodyDiv w:val="1"/>
      <w:marLeft w:val="0"/>
      <w:marRight w:val="0"/>
      <w:marTop w:val="0"/>
      <w:marBottom w:val="0"/>
      <w:divBdr>
        <w:top w:val="none" w:sz="0" w:space="0" w:color="auto"/>
        <w:left w:val="none" w:sz="0" w:space="0" w:color="auto"/>
        <w:bottom w:val="none" w:sz="0" w:space="0" w:color="auto"/>
        <w:right w:val="none" w:sz="0" w:space="0" w:color="auto"/>
      </w:divBdr>
    </w:div>
    <w:div w:id="1271358020">
      <w:bodyDiv w:val="1"/>
      <w:marLeft w:val="0"/>
      <w:marRight w:val="0"/>
      <w:marTop w:val="0"/>
      <w:marBottom w:val="0"/>
      <w:divBdr>
        <w:top w:val="none" w:sz="0" w:space="0" w:color="auto"/>
        <w:left w:val="none" w:sz="0" w:space="0" w:color="auto"/>
        <w:bottom w:val="none" w:sz="0" w:space="0" w:color="auto"/>
        <w:right w:val="none" w:sz="0" w:space="0" w:color="auto"/>
      </w:divBdr>
    </w:div>
    <w:div w:id="1313296202">
      <w:bodyDiv w:val="1"/>
      <w:marLeft w:val="0"/>
      <w:marRight w:val="0"/>
      <w:marTop w:val="0"/>
      <w:marBottom w:val="0"/>
      <w:divBdr>
        <w:top w:val="none" w:sz="0" w:space="0" w:color="auto"/>
        <w:left w:val="none" w:sz="0" w:space="0" w:color="auto"/>
        <w:bottom w:val="none" w:sz="0" w:space="0" w:color="auto"/>
        <w:right w:val="none" w:sz="0" w:space="0" w:color="auto"/>
      </w:divBdr>
    </w:div>
    <w:div w:id="1354185681">
      <w:bodyDiv w:val="1"/>
      <w:marLeft w:val="0"/>
      <w:marRight w:val="0"/>
      <w:marTop w:val="0"/>
      <w:marBottom w:val="0"/>
      <w:divBdr>
        <w:top w:val="none" w:sz="0" w:space="0" w:color="auto"/>
        <w:left w:val="none" w:sz="0" w:space="0" w:color="auto"/>
        <w:bottom w:val="none" w:sz="0" w:space="0" w:color="auto"/>
        <w:right w:val="none" w:sz="0" w:space="0" w:color="auto"/>
      </w:divBdr>
    </w:div>
    <w:div w:id="1367098625">
      <w:bodyDiv w:val="1"/>
      <w:marLeft w:val="0"/>
      <w:marRight w:val="0"/>
      <w:marTop w:val="0"/>
      <w:marBottom w:val="0"/>
      <w:divBdr>
        <w:top w:val="none" w:sz="0" w:space="0" w:color="auto"/>
        <w:left w:val="none" w:sz="0" w:space="0" w:color="auto"/>
        <w:bottom w:val="none" w:sz="0" w:space="0" w:color="auto"/>
        <w:right w:val="none" w:sz="0" w:space="0" w:color="auto"/>
      </w:divBdr>
    </w:div>
    <w:div w:id="1398170752">
      <w:bodyDiv w:val="1"/>
      <w:marLeft w:val="0"/>
      <w:marRight w:val="0"/>
      <w:marTop w:val="0"/>
      <w:marBottom w:val="0"/>
      <w:divBdr>
        <w:top w:val="none" w:sz="0" w:space="0" w:color="auto"/>
        <w:left w:val="none" w:sz="0" w:space="0" w:color="auto"/>
        <w:bottom w:val="none" w:sz="0" w:space="0" w:color="auto"/>
        <w:right w:val="none" w:sz="0" w:space="0" w:color="auto"/>
      </w:divBdr>
    </w:div>
    <w:div w:id="1400130422">
      <w:bodyDiv w:val="1"/>
      <w:marLeft w:val="0"/>
      <w:marRight w:val="0"/>
      <w:marTop w:val="0"/>
      <w:marBottom w:val="0"/>
      <w:divBdr>
        <w:top w:val="none" w:sz="0" w:space="0" w:color="auto"/>
        <w:left w:val="none" w:sz="0" w:space="0" w:color="auto"/>
        <w:bottom w:val="none" w:sz="0" w:space="0" w:color="auto"/>
        <w:right w:val="none" w:sz="0" w:space="0" w:color="auto"/>
      </w:divBdr>
    </w:div>
    <w:div w:id="1402676870">
      <w:bodyDiv w:val="1"/>
      <w:marLeft w:val="0"/>
      <w:marRight w:val="0"/>
      <w:marTop w:val="0"/>
      <w:marBottom w:val="0"/>
      <w:divBdr>
        <w:top w:val="none" w:sz="0" w:space="0" w:color="auto"/>
        <w:left w:val="none" w:sz="0" w:space="0" w:color="auto"/>
        <w:bottom w:val="none" w:sz="0" w:space="0" w:color="auto"/>
        <w:right w:val="none" w:sz="0" w:space="0" w:color="auto"/>
      </w:divBdr>
    </w:div>
    <w:div w:id="1414887421">
      <w:bodyDiv w:val="1"/>
      <w:marLeft w:val="0"/>
      <w:marRight w:val="0"/>
      <w:marTop w:val="0"/>
      <w:marBottom w:val="0"/>
      <w:divBdr>
        <w:top w:val="none" w:sz="0" w:space="0" w:color="auto"/>
        <w:left w:val="none" w:sz="0" w:space="0" w:color="auto"/>
        <w:bottom w:val="none" w:sz="0" w:space="0" w:color="auto"/>
        <w:right w:val="none" w:sz="0" w:space="0" w:color="auto"/>
      </w:divBdr>
    </w:div>
    <w:div w:id="1428964738">
      <w:bodyDiv w:val="1"/>
      <w:marLeft w:val="0"/>
      <w:marRight w:val="0"/>
      <w:marTop w:val="0"/>
      <w:marBottom w:val="0"/>
      <w:divBdr>
        <w:top w:val="none" w:sz="0" w:space="0" w:color="auto"/>
        <w:left w:val="none" w:sz="0" w:space="0" w:color="auto"/>
        <w:bottom w:val="none" w:sz="0" w:space="0" w:color="auto"/>
        <w:right w:val="none" w:sz="0" w:space="0" w:color="auto"/>
      </w:divBdr>
    </w:div>
    <w:div w:id="1498808656">
      <w:bodyDiv w:val="1"/>
      <w:marLeft w:val="0"/>
      <w:marRight w:val="0"/>
      <w:marTop w:val="0"/>
      <w:marBottom w:val="0"/>
      <w:divBdr>
        <w:top w:val="none" w:sz="0" w:space="0" w:color="auto"/>
        <w:left w:val="none" w:sz="0" w:space="0" w:color="auto"/>
        <w:bottom w:val="none" w:sz="0" w:space="0" w:color="auto"/>
        <w:right w:val="none" w:sz="0" w:space="0" w:color="auto"/>
      </w:divBdr>
    </w:div>
    <w:div w:id="1523671076">
      <w:bodyDiv w:val="1"/>
      <w:marLeft w:val="0"/>
      <w:marRight w:val="0"/>
      <w:marTop w:val="0"/>
      <w:marBottom w:val="0"/>
      <w:divBdr>
        <w:top w:val="none" w:sz="0" w:space="0" w:color="auto"/>
        <w:left w:val="none" w:sz="0" w:space="0" w:color="auto"/>
        <w:bottom w:val="none" w:sz="0" w:space="0" w:color="auto"/>
        <w:right w:val="none" w:sz="0" w:space="0" w:color="auto"/>
      </w:divBdr>
    </w:div>
    <w:div w:id="1537278976">
      <w:bodyDiv w:val="1"/>
      <w:marLeft w:val="0"/>
      <w:marRight w:val="0"/>
      <w:marTop w:val="0"/>
      <w:marBottom w:val="0"/>
      <w:divBdr>
        <w:top w:val="none" w:sz="0" w:space="0" w:color="auto"/>
        <w:left w:val="none" w:sz="0" w:space="0" w:color="auto"/>
        <w:bottom w:val="none" w:sz="0" w:space="0" w:color="auto"/>
        <w:right w:val="none" w:sz="0" w:space="0" w:color="auto"/>
      </w:divBdr>
    </w:div>
    <w:div w:id="1557424869">
      <w:bodyDiv w:val="1"/>
      <w:marLeft w:val="0"/>
      <w:marRight w:val="0"/>
      <w:marTop w:val="0"/>
      <w:marBottom w:val="0"/>
      <w:divBdr>
        <w:top w:val="none" w:sz="0" w:space="0" w:color="auto"/>
        <w:left w:val="none" w:sz="0" w:space="0" w:color="auto"/>
        <w:bottom w:val="none" w:sz="0" w:space="0" w:color="auto"/>
        <w:right w:val="none" w:sz="0" w:space="0" w:color="auto"/>
      </w:divBdr>
    </w:div>
    <w:div w:id="1625768592">
      <w:bodyDiv w:val="1"/>
      <w:marLeft w:val="0"/>
      <w:marRight w:val="0"/>
      <w:marTop w:val="0"/>
      <w:marBottom w:val="0"/>
      <w:divBdr>
        <w:top w:val="none" w:sz="0" w:space="0" w:color="auto"/>
        <w:left w:val="none" w:sz="0" w:space="0" w:color="auto"/>
        <w:bottom w:val="none" w:sz="0" w:space="0" w:color="auto"/>
        <w:right w:val="none" w:sz="0" w:space="0" w:color="auto"/>
      </w:divBdr>
    </w:div>
    <w:div w:id="1657219709">
      <w:bodyDiv w:val="1"/>
      <w:marLeft w:val="0"/>
      <w:marRight w:val="0"/>
      <w:marTop w:val="0"/>
      <w:marBottom w:val="0"/>
      <w:divBdr>
        <w:top w:val="none" w:sz="0" w:space="0" w:color="auto"/>
        <w:left w:val="none" w:sz="0" w:space="0" w:color="auto"/>
        <w:bottom w:val="none" w:sz="0" w:space="0" w:color="auto"/>
        <w:right w:val="none" w:sz="0" w:space="0" w:color="auto"/>
      </w:divBdr>
    </w:div>
    <w:div w:id="1707634060">
      <w:bodyDiv w:val="1"/>
      <w:marLeft w:val="0"/>
      <w:marRight w:val="0"/>
      <w:marTop w:val="0"/>
      <w:marBottom w:val="0"/>
      <w:divBdr>
        <w:top w:val="none" w:sz="0" w:space="0" w:color="auto"/>
        <w:left w:val="none" w:sz="0" w:space="0" w:color="auto"/>
        <w:bottom w:val="none" w:sz="0" w:space="0" w:color="auto"/>
        <w:right w:val="none" w:sz="0" w:space="0" w:color="auto"/>
      </w:divBdr>
    </w:div>
    <w:div w:id="1775054493">
      <w:bodyDiv w:val="1"/>
      <w:marLeft w:val="0"/>
      <w:marRight w:val="0"/>
      <w:marTop w:val="0"/>
      <w:marBottom w:val="0"/>
      <w:divBdr>
        <w:top w:val="none" w:sz="0" w:space="0" w:color="auto"/>
        <w:left w:val="none" w:sz="0" w:space="0" w:color="auto"/>
        <w:bottom w:val="none" w:sz="0" w:space="0" w:color="auto"/>
        <w:right w:val="none" w:sz="0" w:space="0" w:color="auto"/>
      </w:divBdr>
    </w:div>
    <w:div w:id="1792630725">
      <w:bodyDiv w:val="1"/>
      <w:marLeft w:val="0"/>
      <w:marRight w:val="0"/>
      <w:marTop w:val="0"/>
      <w:marBottom w:val="0"/>
      <w:divBdr>
        <w:top w:val="none" w:sz="0" w:space="0" w:color="auto"/>
        <w:left w:val="none" w:sz="0" w:space="0" w:color="auto"/>
        <w:bottom w:val="none" w:sz="0" w:space="0" w:color="auto"/>
        <w:right w:val="none" w:sz="0" w:space="0" w:color="auto"/>
      </w:divBdr>
    </w:div>
    <w:div w:id="1808935073">
      <w:bodyDiv w:val="1"/>
      <w:marLeft w:val="0"/>
      <w:marRight w:val="0"/>
      <w:marTop w:val="0"/>
      <w:marBottom w:val="0"/>
      <w:divBdr>
        <w:top w:val="none" w:sz="0" w:space="0" w:color="auto"/>
        <w:left w:val="none" w:sz="0" w:space="0" w:color="auto"/>
        <w:bottom w:val="none" w:sz="0" w:space="0" w:color="auto"/>
        <w:right w:val="none" w:sz="0" w:space="0" w:color="auto"/>
      </w:divBdr>
    </w:div>
    <w:div w:id="1829250311">
      <w:bodyDiv w:val="1"/>
      <w:marLeft w:val="0"/>
      <w:marRight w:val="0"/>
      <w:marTop w:val="0"/>
      <w:marBottom w:val="0"/>
      <w:divBdr>
        <w:top w:val="none" w:sz="0" w:space="0" w:color="auto"/>
        <w:left w:val="none" w:sz="0" w:space="0" w:color="auto"/>
        <w:bottom w:val="none" w:sz="0" w:space="0" w:color="auto"/>
        <w:right w:val="none" w:sz="0" w:space="0" w:color="auto"/>
      </w:divBdr>
    </w:div>
    <w:div w:id="1848933758">
      <w:bodyDiv w:val="1"/>
      <w:marLeft w:val="0"/>
      <w:marRight w:val="0"/>
      <w:marTop w:val="0"/>
      <w:marBottom w:val="0"/>
      <w:divBdr>
        <w:top w:val="none" w:sz="0" w:space="0" w:color="auto"/>
        <w:left w:val="none" w:sz="0" w:space="0" w:color="auto"/>
        <w:bottom w:val="none" w:sz="0" w:space="0" w:color="auto"/>
        <w:right w:val="none" w:sz="0" w:space="0" w:color="auto"/>
      </w:divBdr>
    </w:div>
    <w:div w:id="1857621735">
      <w:bodyDiv w:val="1"/>
      <w:marLeft w:val="0"/>
      <w:marRight w:val="0"/>
      <w:marTop w:val="0"/>
      <w:marBottom w:val="0"/>
      <w:divBdr>
        <w:top w:val="none" w:sz="0" w:space="0" w:color="auto"/>
        <w:left w:val="none" w:sz="0" w:space="0" w:color="auto"/>
        <w:bottom w:val="none" w:sz="0" w:space="0" w:color="auto"/>
        <w:right w:val="none" w:sz="0" w:space="0" w:color="auto"/>
      </w:divBdr>
    </w:div>
    <w:div w:id="1898664077">
      <w:bodyDiv w:val="1"/>
      <w:marLeft w:val="0"/>
      <w:marRight w:val="0"/>
      <w:marTop w:val="0"/>
      <w:marBottom w:val="0"/>
      <w:divBdr>
        <w:top w:val="none" w:sz="0" w:space="0" w:color="auto"/>
        <w:left w:val="none" w:sz="0" w:space="0" w:color="auto"/>
        <w:bottom w:val="none" w:sz="0" w:space="0" w:color="auto"/>
        <w:right w:val="none" w:sz="0" w:space="0" w:color="auto"/>
      </w:divBdr>
    </w:div>
    <w:div w:id="1924098035">
      <w:bodyDiv w:val="1"/>
      <w:marLeft w:val="0"/>
      <w:marRight w:val="0"/>
      <w:marTop w:val="0"/>
      <w:marBottom w:val="0"/>
      <w:divBdr>
        <w:top w:val="none" w:sz="0" w:space="0" w:color="auto"/>
        <w:left w:val="none" w:sz="0" w:space="0" w:color="auto"/>
        <w:bottom w:val="none" w:sz="0" w:space="0" w:color="auto"/>
        <w:right w:val="none" w:sz="0" w:space="0" w:color="auto"/>
      </w:divBdr>
    </w:div>
    <w:div w:id="1954821617">
      <w:bodyDiv w:val="1"/>
      <w:marLeft w:val="0"/>
      <w:marRight w:val="0"/>
      <w:marTop w:val="0"/>
      <w:marBottom w:val="0"/>
      <w:divBdr>
        <w:top w:val="none" w:sz="0" w:space="0" w:color="auto"/>
        <w:left w:val="none" w:sz="0" w:space="0" w:color="auto"/>
        <w:bottom w:val="none" w:sz="0" w:space="0" w:color="auto"/>
        <w:right w:val="none" w:sz="0" w:space="0" w:color="auto"/>
      </w:divBdr>
    </w:div>
    <w:div w:id="2091537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e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wmf"/><Relationship Id="rId25" Type="http://schemas.openxmlformats.org/officeDocument/2006/relationships/image" Target="media/image11.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Documents%20and%20Settings\DOCUME~1\ADRIAN~1.RFR\CONFIG~1\2003\02_01_14.htm" TargetMode="External"/><Relationship Id="rId20" Type="http://schemas.openxmlformats.org/officeDocument/2006/relationships/image" Target="media/image6.emf"/><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header" Target="header2.xml"/><Relationship Id="rId19" Type="http://schemas.openxmlformats.org/officeDocument/2006/relationships/image" Target="media/image5.png"/><Relationship Id="rId31" Type="http://schemas.openxmlformats.org/officeDocument/2006/relationships/image" Target="media/image17.em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wmf"/><Relationship Id="rId22" Type="http://schemas.openxmlformats.org/officeDocument/2006/relationships/image" Target="media/image8.emf"/><Relationship Id="rId27" Type="http://schemas.openxmlformats.org/officeDocument/2006/relationships/image" Target="media/image13.emf"/><Relationship Id="rId30" Type="http://schemas.openxmlformats.org/officeDocument/2006/relationships/image" Target="media/image16.emf"/><Relationship Id="rId8"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18.jpeg"/></Relationships>
</file>

<file path=word/theme/theme1.xml><?xml version="1.0" encoding="utf-8"?>
<a:theme xmlns:a="http://schemas.openxmlformats.org/drawingml/2006/main" name="Integral">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117D58-C736-4965-B2D3-DFAC3A48B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58</Pages>
  <Words>11935</Words>
  <Characters>75958</Characters>
  <Application>Microsoft Office Word</Application>
  <DocSecurity>0</DocSecurity>
  <Lines>632</Lines>
  <Paragraphs>175</Paragraphs>
  <ScaleCrop>false</ScaleCrop>
  <HeadingPairs>
    <vt:vector size="2" baseType="variant">
      <vt:variant>
        <vt:lpstr>Título</vt:lpstr>
      </vt:variant>
      <vt:variant>
        <vt:i4>1</vt:i4>
      </vt:variant>
    </vt:vector>
  </HeadingPairs>
  <TitlesOfParts>
    <vt:vector size="1" baseType="lpstr">
      <vt:lpstr>Projeção RGPS para LDO 2008</vt:lpstr>
    </vt:vector>
  </TitlesOfParts>
  <Company>SPS/MPS</Company>
  <LinksUpToDate>false</LinksUpToDate>
  <CharactersWithSpaces>87718</CharactersWithSpaces>
  <SharedDoc>false</SharedDoc>
  <HLinks>
    <vt:vector size="6" baseType="variant">
      <vt:variant>
        <vt:i4>4784215</vt:i4>
      </vt:variant>
      <vt:variant>
        <vt:i4>75</vt:i4>
      </vt:variant>
      <vt:variant>
        <vt:i4>0</vt:i4>
      </vt:variant>
      <vt:variant>
        <vt:i4>5</vt:i4>
      </vt:variant>
      <vt:variant>
        <vt:lpwstr>../../../../../../Documents and Settings/DOCUME~1/ADRIAN~1.RFR/CONFIG~1/2003/02_01_14.htm</vt:lpwstr>
      </vt:variant>
      <vt:variant>
        <vt:lpwstr>tabela</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Projeção RGPS para LDO 2008</dc:title>
  <dc:subject>Relatório com projeção do RGPS para subsidiar LDO 2008 conforme solicitação da SOF/MP</dc:subject>
  <dc:creator>Otavio Jose Guerci Sidone - MPS</dc:creator>
  <cp:keywords/>
  <cp:lastModifiedBy>Carolina Magalhães Tenorio Brito</cp:lastModifiedBy>
  <cp:revision>5</cp:revision>
  <cp:lastPrinted>2017-05-29T11:57:00Z</cp:lastPrinted>
  <dcterms:created xsi:type="dcterms:W3CDTF">2018-03-26T17:58:00Z</dcterms:created>
  <dcterms:modified xsi:type="dcterms:W3CDTF">2018-03-27T17:21:00Z</dcterms:modified>
</cp:coreProperties>
</file>