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5AED" w:rsidRPr="00DC0DAE" w:rsidRDefault="00395AED" w:rsidP="00395AED">
      <w:pPr>
        <w:pStyle w:val="Ttulo"/>
        <w:rPr>
          <w:rFonts w:asciiTheme="minorHAnsi" w:hAnsiTheme="minorHAnsi" w:cstheme="minorHAnsi"/>
          <w:sz w:val="28"/>
          <w:szCs w:val="28"/>
        </w:rPr>
      </w:pPr>
      <w:r w:rsidRPr="00DC0DAE">
        <w:rPr>
          <w:rFonts w:asciiTheme="minorHAnsi" w:hAnsiTheme="minorHAnsi" w:cstheme="minorHAnsi"/>
          <w:sz w:val="28"/>
          <w:szCs w:val="28"/>
        </w:rPr>
        <w:t>Anexo IV</w:t>
      </w:r>
    </w:p>
    <w:p w:rsidR="00395AED" w:rsidRPr="00DC0DAE" w:rsidRDefault="00395AED" w:rsidP="00395AED">
      <w:pPr>
        <w:pStyle w:val="Ttulo"/>
        <w:rPr>
          <w:rFonts w:asciiTheme="minorHAnsi" w:hAnsiTheme="minorHAnsi" w:cstheme="minorHAnsi"/>
          <w:sz w:val="28"/>
          <w:szCs w:val="28"/>
        </w:rPr>
      </w:pPr>
      <w:r w:rsidRPr="00DC0DAE">
        <w:rPr>
          <w:rFonts w:asciiTheme="minorHAnsi" w:hAnsiTheme="minorHAnsi" w:cstheme="minorHAnsi"/>
          <w:sz w:val="28"/>
          <w:szCs w:val="28"/>
        </w:rPr>
        <w:t>Metas Fiscais</w:t>
      </w:r>
    </w:p>
    <w:p w:rsidR="00395AED" w:rsidRPr="00DC0DAE" w:rsidRDefault="00395AED" w:rsidP="00395AED">
      <w:pPr>
        <w:pStyle w:val="Ttulo"/>
        <w:rPr>
          <w:rFonts w:asciiTheme="minorHAnsi" w:hAnsiTheme="minorHAnsi" w:cstheme="minorHAnsi"/>
          <w:sz w:val="28"/>
          <w:szCs w:val="28"/>
        </w:rPr>
      </w:pPr>
      <w:r w:rsidRPr="00DC0DAE">
        <w:rPr>
          <w:rFonts w:asciiTheme="minorHAnsi" w:hAnsiTheme="minorHAnsi" w:cstheme="minorHAnsi"/>
          <w:sz w:val="28"/>
          <w:szCs w:val="28"/>
        </w:rPr>
        <w:t>IV.4. Evolução do Patrimônio Líquido</w:t>
      </w:r>
    </w:p>
    <w:p w:rsidR="00395AED" w:rsidRPr="00DC0DAE" w:rsidRDefault="00395AED" w:rsidP="00395AED">
      <w:pPr>
        <w:pBdr>
          <w:bottom w:val="single" w:sz="4" w:space="1" w:color="auto"/>
        </w:pBdr>
        <w:autoSpaceDE w:val="0"/>
        <w:autoSpaceDN w:val="0"/>
        <w:adjustRightInd w:val="0"/>
        <w:jc w:val="center"/>
        <w:rPr>
          <w:rFonts w:asciiTheme="minorHAnsi" w:hAnsiTheme="minorHAnsi" w:cstheme="minorHAnsi"/>
          <w:szCs w:val="24"/>
        </w:rPr>
      </w:pPr>
      <w:r w:rsidRPr="00DC0DAE">
        <w:rPr>
          <w:rFonts w:asciiTheme="minorHAnsi" w:hAnsiTheme="minorHAnsi" w:cstheme="minorHAnsi"/>
          <w:szCs w:val="24"/>
        </w:rPr>
        <w:t xml:space="preserve"> (Art. 4</w:t>
      </w:r>
      <w:r w:rsidRPr="00DC0DAE">
        <w:rPr>
          <w:rFonts w:asciiTheme="minorHAnsi" w:hAnsiTheme="minorHAnsi" w:cstheme="minorHAnsi"/>
          <w:szCs w:val="24"/>
          <w:u w:val="single"/>
          <w:vertAlign w:val="superscript"/>
        </w:rPr>
        <w:t>o</w:t>
      </w:r>
      <w:r w:rsidRPr="00DC0DAE">
        <w:rPr>
          <w:rFonts w:asciiTheme="minorHAnsi" w:hAnsiTheme="minorHAnsi" w:cstheme="minorHAnsi"/>
          <w:szCs w:val="24"/>
        </w:rPr>
        <w:t>, § 2</w:t>
      </w:r>
      <w:r w:rsidRPr="00DC0DAE">
        <w:rPr>
          <w:rFonts w:asciiTheme="minorHAnsi" w:hAnsiTheme="minorHAnsi" w:cstheme="minorHAnsi"/>
          <w:szCs w:val="24"/>
          <w:u w:val="single"/>
          <w:vertAlign w:val="superscript"/>
        </w:rPr>
        <w:t>o</w:t>
      </w:r>
      <w:r w:rsidRPr="00DC0DAE">
        <w:rPr>
          <w:rFonts w:asciiTheme="minorHAnsi" w:hAnsiTheme="minorHAnsi" w:cstheme="minorHAnsi"/>
          <w:szCs w:val="24"/>
        </w:rPr>
        <w:t>, inciso III, da Lei Complementar n</w:t>
      </w:r>
      <w:r w:rsidRPr="00DC0DAE">
        <w:rPr>
          <w:rFonts w:asciiTheme="minorHAnsi" w:hAnsiTheme="minorHAnsi" w:cstheme="minorHAnsi"/>
          <w:szCs w:val="24"/>
          <w:u w:val="single"/>
          <w:vertAlign w:val="superscript"/>
        </w:rPr>
        <w:t>o</w:t>
      </w:r>
      <w:r w:rsidRPr="00DC0DAE">
        <w:rPr>
          <w:rFonts w:asciiTheme="minorHAnsi" w:hAnsiTheme="minorHAnsi" w:cstheme="minorHAnsi"/>
          <w:szCs w:val="24"/>
        </w:rPr>
        <w:t xml:space="preserve"> 101, de 4 de maio de 2000)</w:t>
      </w:r>
    </w:p>
    <w:p w:rsidR="00395AED" w:rsidRPr="00DC0DAE" w:rsidRDefault="00395AED" w:rsidP="00395AED">
      <w:pPr>
        <w:jc w:val="right"/>
        <w:rPr>
          <w:rFonts w:asciiTheme="minorHAnsi" w:hAnsiTheme="minorHAnsi" w:cstheme="minorHAnsi"/>
          <w:sz w:val="23"/>
          <w:szCs w:val="23"/>
        </w:rPr>
      </w:pPr>
    </w:p>
    <w:p w:rsidR="001057B3" w:rsidRPr="00DC0DAE" w:rsidRDefault="001057B3" w:rsidP="00C566E5">
      <w:pPr>
        <w:pStyle w:val="PargrafodaLista"/>
        <w:tabs>
          <w:tab w:val="left" w:pos="851"/>
        </w:tabs>
        <w:autoSpaceDE w:val="0"/>
        <w:autoSpaceDN w:val="0"/>
        <w:adjustRightInd w:val="0"/>
        <w:ind w:left="0"/>
        <w:jc w:val="both"/>
        <w:rPr>
          <w:rFonts w:asciiTheme="minorHAnsi" w:eastAsiaTheme="minorHAnsi" w:hAnsiTheme="minorHAnsi" w:cstheme="minorHAnsi"/>
          <w:szCs w:val="24"/>
          <w:lang w:eastAsia="en-US"/>
        </w:rPr>
      </w:pPr>
    </w:p>
    <w:p w:rsidR="00375E48" w:rsidRPr="00DC0DAE" w:rsidRDefault="00375E48" w:rsidP="00C566E5">
      <w:pPr>
        <w:pStyle w:val="PargrafodaLista"/>
        <w:tabs>
          <w:tab w:val="left" w:pos="851"/>
        </w:tabs>
        <w:autoSpaceDE w:val="0"/>
        <w:autoSpaceDN w:val="0"/>
        <w:adjustRightInd w:val="0"/>
        <w:ind w:left="0"/>
        <w:jc w:val="both"/>
        <w:rPr>
          <w:rFonts w:asciiTheme="minorHAnsi" w:eastAsiaTheme="minorHAnsi" w:hAnsiTheme="minorHAnsi" w:cstheme="minorHAnsi"/>
          <w:szCs w:val="24"/>
          <w:lang w:eastAsia="en-US"/>
        </w:rPr>
      </w:pPr>
    </w:p>
    <w:p w:rsidR="00DC0DAE" w:rsidRPr="00DC0DAE" w:rsidRDefault="00DC0DAE" w:rsidP="00DC0DAE">
      <w:pPr>
        <w:pStyle w:val="textojustificado"/>
        <w:ind w:firstLine="709"/>
        <w:jc w:val="both"/>
        <w:rPr>
          <w:rFonts w:asciiTheme="minorHAnsi" w:hAnsiTheme="minorHAnsi" w:cstheme="minorHAnsi"/>
        </w:rPr>
      </w:pPr>
      <w:r w:rsidRPr="00DC0DAE">
        <w:rPr>
          <w:rFonts w:asciiTheme="minorHAnsi" w:hAnsiTheme="minorHAnsi" w:cstheme="minorHAnsi"/>
        </w:rPr>
        <w:t>O Patrimônio Líquido – PL reflete, em termos monetários, a situação patrimonial líquida da União, ou seja, representa a diferença entre o “Ativo” e o “Passivo”. Integram o patrimônio líquido: patrimônio/capital social, reservas, resultados acumulados e outros desdobramentos do saldo patrimonial. Conforme a 7ª Edição do Manual de Contabilidade Aplicado ao Setor Público (MCASP), as contas que compõem o PL são as seguintes:</w:t>
      </w:r>
    </w:p>
    <w:p w:rsidR="00DC0DAE" w:rsidRPr="00DC0DAE" w:rsidRDefault="00DC0DAE" w:rsidP="00DC0DAE">
      <w:pPr>
        <w:pStyle w:val="textojustificado"/>
        <w:jc w:val="both"/>
        <w:rPr>
          <w:rFonts w:asciiTheme="minorHAnsi" w:hAnsiTheme="minorHAnsi" w:cstheme="minorHAnsi"/>
        </w:rPr>
      </w:pPr>
      <w:r w:rsidRPr="00DC0DAE">
        <w:rPr>
          <w:rFonts w:asciiTheme="minorHAnsi" w:hAnsiTheme="minorHAnsi" w:cstheme="minorHAnsi"/>
        </w:rPr>
        <w:t>a) Patrimônio/Capital Social: Compreende o patrimônio social das autarquias, fundações e fundos e o capital social das demais entidades da administração indireta.</w:t>
      </w:r>
    </w:p>
    <w:p w:rsidR="00DC0DAE" w:rsidRPr="00DC0DAE" w:rsidRDefault="00DC0DAE" w:rsidP="00DC0DAE">
      <w:pPr>
        <w:pStyle w:val="textojustificado"/>
        <w:jc w:val="both"/>
        <w:rPr>
          <w:rFonts w:asciiTheme="minorHAnsi" w:hAnsiTheme="minorHAnsi" w:cstheme="minorHAnsi"/>
        </w:rPr>
      </w:pPr>
      <w:r w:rsidRPr="00DC0DAE">
        <w:rPr>
          <w:rFonts w:asciiTheme="minorHAnsi" w:hAnsiTheme="minorHAnsi" w:cstheme="minorHAnsi"/>
        </w:rPr>
        <w:t>b) Reservas: Compreende os valores acrescidos ao patrimônio que não transitaram pelo resultado, as reservas constituídas com parcelas do lucro líquido das entidades para finalidades específicas e as demais reservas, inclusive aquelas que terão seus saldos realizados por terem sido extintas pela legislação.</w:t>
      </w:r>
    </w:p>
    <w:p w:rsidR="00DC0DAE" w:rsidRPr="00DC0DAE" w:rsidRDefault="00DC0DAE" w:rsidP="00DC0DAE">
      <w:pPr>
        <w:pStyle w:val="textojustificado"/>
        <w:jc w:val="both"/>
        <w:rPr>
          <w:rFonts w:asciiTheme="minorHAnsi" w:hAnsiTheme="minorHAnsi" w:cstheme="minorHAnsi"/>
        </w:rPr>
      </w:pPr>
      <w:r w:rsidRPr="00DC0DAE">
        <w:rPr>
          <w:rFonts w:asciiTheme="minorHAnsi" w:hAnsiTheme="minorHAnsi" w:cstheme="minorHAnsi"/>
        </w:rPr>
        <w:t>c) Resultados Acumulados: Compreende o saldo remanescente dos lucros ou prejuízos líquidos das empresas e os superávits ou déficits acumulados da administração direta, autarquias, fundações e fundos. Também integra a conta de Resultados Acumulados a conta Ajustes de Exercícios Anteriores, que registra os efeitos da mudança de critério contábil ou da retificação de erro imputável a exercício anterior que não possam ser a</w:t>
      </w:r>
      <w:r>
        <w:rPr>
          <w:rFonts w:asciiTheme="minorHAnsi" w:hAnsiTheme="minorHAnsi" w:cstheme="minorHAnsi"/>
        </w:rPr>
        <w:t>tribuídos a fatos subsequentes.</w:t>
      </w:r>
    </w:p>
    <w:p w:rsidR="00DC0DAE" w:rsidRDefault="00DC0DAE" w:rsidP="00DC0DAE">
      <w:pPr>
        <w:pStyle w:val="textojustificado"/>
        <w:ind w:firstLine="709"/>
        <w:jc w:val="both"/>
        <w:rPr>
          <w:rFonts w:asciiTheme="minorHAnsi" w:hAnsiTheme="minorHAnsi" w:cstheme="minorHAnsi"/>
        </w:rPr>
      </w:pPr>
      <w:r w:rsidRPr="00DC0DAE">
        <w:rPr>
          <w:rFonts w:asciiTheme="minorHAnsi" w:hAnsiTheme="minorHAnsi" w:cstheme="minorHAnsi"/>
        </w:rPr>
        <w:t>A evolução do Patrimônio Líquido da União vem apresentando uma tendência de decrescimento ao longo dos três exercícios em análise (2015 a 2017). Quando comparados os exercícios de 2015 e 2016, a redução foi de 42,4%, aproximadamente. Quando comparados os exercícios de 2016 e 2017, a redução foi de 19,74%, aproximad</w:t>
      </w:r>
      <w:r>
        <w:rPr>
          <w:rFonts w:asciiTheme="minorHAnsi" w:hAnsiTheme="minorHAnsi" w:cstheme="minorHAnsi"/>
        </w:rPr>
        <w:t>amente, como mostra a Tabela 1.</w:t>
      </w:r>
    </w:p>
    <w:p w:rsidR="00DC0DAE" w:rsidRPr="00DC0DAE" w:rsidRDefault="00DC0DAE" w:rsidP="00DC0DAE">
      <w:pPr>
        <w:pStyle w:val="textojustificado"/>
        <w:ind w:firstLine="709"/>
        <w:jc w:val="both"/>
        <w:rPr>
          <w:rFonts w:asciiTheme="minorHAnsi" w:hAnsiTheme="minorHAnsi" w:cstheme="minorHAnsi"/>
          <w:sz w:val="22"/>
          <w:szCs w:val="22"/>
        </w:rPr>
      </w:pPr>
      <w:r w:rsidRPr="00DC0DAE">
        <w:rPr>
          <w:rStyle w:val="Forte"/>
          <w:rFonts w:asciiTheme="minorHAnsi" w:hAnsiTheme="minorHAnsi" w:cstheme="minorHAnsi"/>
          <w:sz w:val="22"/>
          <w:szCs w:val="22"/>
        </w:rPr>
        <w:t xml:space="preserve">Tabela 1 - </w:t>
      </w:r>
      <w:r w:rsidRPr="00DC0DAE">
        <w:rPr>
          <w:rFonts w:asciiTheme="minorHAnsi" w:hAnsiTheme="minorHAnsi" w:cstheme="minorHAnsi"/>
          <w:sz w:val="22"/>
          <w:szCs w:val="22"/>
        </w:rPr>
        <w:t>Anexo de Metas Fiscais – Demonstrativo da evolução do patrimônio líquido da União nos últimos três exercícios: (LRF, art. 4º, § 2º, inciso III) (em R$)</w:t>
      </w:r>
      <w:r w:rsidRPr="00DC0DAE">
        <w:rPr>
          <w:rFonts w:asciiTheme="minorHAnsi" w:hAnsiTheme="minorHAnsi" w:cstheme="minorHAnsi"/>
          <w:sz w:val="22"/>
          <w:szCs w:val="22"/>
        </w:rPr>
        <w:tab/>
      </w:r>
    </w:p>
    <w:tbl>
      <w:tblPr>
        <w:tblW w:w="10024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01"/>
        <w:gridCol w:w="2129"/>
        <w:gridCol w:w="552"/>
        <w:gridCol w:w="2064"/>
        <w:gridCol w:w="552"/>
        <w:gridCol w:w="2162"/>
        <w:gridCol w:w="564"/>
      </w:tblGrid>
      <w:tr w:rsidR="00DC0DAE" w:rsidRPr="00DC0DAE" w:rsidTr="00504E58">
        <w:trPr>
          <w:trHeight w:val="211"/>
          <w:tblCellSpacing w:w="0" w:type="dxa"/>
          <w:jc w:val="center"/>
        </w:trPr>
        <w:tc>
          <w:tcPr>
            <w:tcW w:w="1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DC0DAE" w:rsidRPr="00DC0DAE" w:rsidRDefault="00DC0DAE" w:rsidP="00504E58">
            <w:pPr>
              <w:spacing w:before="100" w:beforeAutospacing="1" w:after="100" w:afterAutospacing="1"/>
              <w:ind w:left="261"/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r w:rsidRPr="00DC0DAE">
              <w:rPr>
                <w:rFonts w:asciiTheme="minorHAnsi" w:hAnsiTheme="minorHAnsi" w:cstheme="minorHAnsi"/>
                <w:b/>
                <w:sz w:val="20"/>
              </w:rPr>
              <w:t>PATRIMÔNIO LÍQUIDO</w:t>
            </w:r>
          </w:p>
        </w:tc>
        <w:tc>
          <w:tcPr>
            <w:tcW w:w="21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DC0DAE" w:rsidRPr="00DC0DAE" w:rsidRDefault="00DC0DAE" w:rsidP="00504E58">
            <w:pPr>
              <w:spacing w:before="100" w:beforeAutospacing="1" w:after="100" w:afterAutospacing="1"/>
              <w:jc w:val="center"/>
              <w:rPr>
                <w:rFonts w:asciiTheme="minorHAnsi" w:hAnsiTheme="minorHAnsi" w:cstheme="minorHAnsi"/>
                <w:b/>
              </w:rPr>
            </w:pPr>
            <w:r w:rsidRPr="00DC0DAE">
              <w:rPr>
                <w:rFonts w:asciiTheme="minorHAnsi" w:hAnsiTheme="minorHAnsi" w:cstheme="minorHAnsi"/>
                <w:b/>
              </w:rPr>
              <w:t>2017</w:t>
            </w:r>
          </w:p>
        </w:tc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DC0DAE" w:rsidRPr="00DC0DAE" w:rsidRDefault="00DC0DAE" w:rsidP="00504E58">
            <w:pPr>
              <w:spacing w:before="100" w:beforeAutospacing="1" w:after="100" w:afterAutospacing="1"/>
              <w:jc w:val="center"/>
              <w:rPr>
                <w:rFonts w:asciiTheme="minorHAnsi" w:hAnsiTheme="minorHAnsi" w:cstheme="minorHAnsi"/>
              </w:rPr>
            </w:pPr>
            <w:r w:rsidRPr="00DC0DAE">
              <w:rPr>
                <w:rFonts w:asciiTheme="minorHAnsi" w:hAnsiTheme="minorHAnsi" w:cstheme="minorHAnsi"/>
              </w:rPr>
              <w:t>(%)</w:t>
            </w:r>
          </w:p>
        </w:tc>
        <w:tc>
          <w:tcPr>
            <w:tcW w:w="2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DC0DAE" w:rsidRPr="00DC0DAE" w:rsidRDefault="00DC0DAE" w:rsidP="00504E58">
            <w:pPr>
              <w:spacing w:before="100" w:beforeAutospacing="1" w:after="100" w:afterAutospacing="1"/>
              <w:jc w:val="center"/>
              <w:rPr>
                <w:rFonts w:asciiTheme="minorHAnsi" w:hAnsiTheme="minorHAnsi" w:cstheme="minorHAnsi"/>
                <w:b/>
              </w:rPr>
            </w:pPr>
            <w:r w:rsidRPr="00DC0DAE">
              <w:rPr>
                <w:rFonts w:asciiTheme="minorHAnsi" w:hAnsiTheme="minorHAnsi" w:cstheme="minorHAnsi"/>
                <w:b/>
              </w:rPr>
              <w:t>2016</w:t>
            </w:r>
          </w:p>
        </w:tc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DC0DAE" w:rsidRPr="00DC0DAE" w:rsidRDefault="00DC0DAE" w:rsidP="00504E58">
            <w:pPr>
              <w:spacing w:before="100" w:beforeAutospacing="1" w:after="100" w:afterAutospacing="1"/>
              <w:jc w:val="center"/>
              <w:rPr>
                <w:rFonts w:asciiTheme="minorHAnsi" w:hAnsiTheme="minorHAnsi" w:cstheme="minorHAnsi"/>
              </w:rPr>
            </w:pPr>
            <w:r w:rsidRPr="00DC0DAE">
              <w:rPr>
                <w:rFonts w:asciiTheme="minorHAnsi" w:hAnsiTheme="minorHAnsi" w:cstheme="minorHAnsi"/>
              </w:rPr>
              <w:t>(%)</w:t>
            </w:r>
          </w:p>
        </w:tc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DC0DAE" w:rsidRPr="00DC0DAE" w:rsidRDefault="00DC0DAE" w:rsidP="00504E58">
            <w:pPr>
              <w:spacing w:before="100" w:beforeAutospacing="1" w:after="100" w:afterAutospacing="1"/>
              <w:jc w:val="center"/>
              <w:rPr>
                <w:rFonts w:asciiTheme="minorHAnsi" w:hAnsiTheme="minorHAnsi" w:cstheme="minorHAnsi"/>
                <w:b/>
              </w:rPr>
            </w:pPr>
            <w:r w:rsidRPr="00DC0DAE">
              <w:rPr>
                <w:rFonts w:asciiTheme="minorHAnsi" w:hAnsiTheme="minorHAnsi" w:cstheme="minorHAnsi"/>
                <w:b/>
              </w:rPr>
              <w:t>2015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DC0DAE" w:rsidRPr="00DC0DAE" w:rsidRDefault="00DC0DAE" w:rsidP="00504E58">
            <w:pPr>
              <w:spacing w:before="100" w:beforeAutospacing="1" w:after="100" w:afterAutospacing="1"/>
              <w:jc w:val="center"/>
              <w:rPr>
                <w:rFonts w:asciiTheme="minorHAnsi" w:hAnsiTheme="minorHAnsi" w:cstheme="minorHAnsi"/>
              </w:rPr>
            </w:pPr>
            <w:r w:rsidRPr="00DC0DAE">
              <w:rPr>
                <w:rFonts w:asciiTheme="minorHAnsi" w:hAnsiTheme="minorHAnsi" w:cstheme="minorHAnsi"/>
              </w:rPr>
              <w:t>(%)</w:t>
            </w:r>
          </w:p>
        </w:tc>
      </w:tr>
      <w:tr w:rsidR="00DC0DAE" w:rsidRPr="00DC0DAE" w:rsidTr="00504E58">
        <w:trPr>
          <w:trHeight w:val="211"/>
          <w:tblCellSpacing w:w="0" w:type="dxa"/>
          <w:jc w:val="center"/>
        </w:trPr>
        <w:tc>
          <w:tcPr>
            <w:tcW w:w="1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0DAE" w:rsidRPr="00DC0DAE" w:rsidRDefault="00DC0DAE" w:rsidP="00504E58">
            <w:pPr>
              <w:spacing w:before="100" w:beforeAutospacing="1" w:after="100" w:afterAutospacing="1"/>
              <w:ind w:left="119"/>
              <w:rPr>
                <w:rFonts w:asciiTheme="minorHAnsi" w:hAnsiTheme="minorHAnsi" w:cstheme="minorHAnsi"/>
              </w:rPr>
            </w:pPr>
            <w:r w:rsidRPr="00DC0DAE">
              <w:rPr>
                <w:rFonts w:asciiTheme="minorHAnsi" w:hAnsiTheme="minorHAnsi" w:cstheme="minorHAnsi"/>
              </w:rPr>
              <w:t>Patrimônio/Capital</w:t>
            </w:r>
          </w:p>
        </w:tc>
        <w:tc>
          <w:tcPr>
            <w:tcW w:w="21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0DAE" w:rsidRPr="00DC0DAE" w:rsidRDefault="00DC0DAE" w:rsidP="00504E58">
            <w:pPr>
              <w:spacing w:before="100" w:beforeAutospacing="1" w:after="100" w:afterAutospacing="1"/>
              <w:jc w:val="center"/>
              <w:rPr>
                <w:rFonts w:asciiTheme="minorHAnsi" w:hAnsiTheme="minorHAnsi" w:cstheme="minorHAnsi"/>
                <w:sz w:val="18"/>
              </w:rPr>
            </w:pPr>
            <w:r w:rsidRPr="00DC0DAE">
              <w:rPr>
                <w:rFonts w:asciiTheme="minorHAnsi" w:hAnsiTheme="minorHAnsi" w:cstheme="minorHAnsi"/>
                <w:sz w:val="18"/>
              </w:rPr>
              <w:t>45.740.059.980,66</w:t>
            </w:r>
          </w:p>
        </w:tc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0DAE" w:rsidRPr="00DC0DAE" w:rsidRDefault="00DC0DAE" w:rsidP="00504E58">
            <w:pPr>
              <w:spacing w:before="100" w:beforeAutospacing="1" w:after="100" w:afterAutospacing="1"/>
              <w:jc w:val="center"/>
              <w:rPr>
                <w:rFonts w:asciiTheme="minorHAnsi" w:hAnsiTheme="minorHAnsi" w:cstheme="minorHAnsi"/>
                <w:sz w:val="18"/>
              </w:rPr>
            </w:pPr>
            <w:r w:rsidRPr="00DC0DAE">
              <w:rPr>
                <w:rFonts w:asciiTheme="minorHAnsi" w:hAnsiTheme="minorHAnsi" w:cstheme="minorHAnsi"/>
                <w:sz w:val="18"/>
              </w:rPr>
              <w:t>-1,9</w:t>
            </w:r>
          </w:p>
        </w:tc>
        <w:tc>
          <w:tcPr>
            <w:tcW w:w="2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0DAE" w:rsidRPr="00DC0DAE" w:rsidRDefault="00DC0DAE" w:rsidP="00504E58">
            <w:pPr>
              <w:spacing w:before="100" w:beforeAutospacing="1" w:after="100" w:afterAutospacing="1"/>
              <w:jc w:val="center"/>
              <w:rPr>
                <w:rFonts w:asciiTheme="minorHAnsi" w:hAnsiTheme="minorHAnsi" w:cstheme="minorHAnsi"/>
                <w:sz w:val="18"/>
              </w:rPr>
            </w:pPr>
            <w:r w:rsidRPr="00DC0DAE">
              <w:rPr>
                <w:rFonts w:asciiTheme="minorHAnsi" w:hAnsiTheme="minorHAnsi" w:cstheme="minorHAnsi"/>
                <w:sz w:val="18"/>
              </w:rPr>
              <w:t>20.966.269.713,57</w:t>
            </w:r>
          </w:p>
        </w:tc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0DAE" w:rsidRPr="00DC0DAE" w:rsidRDefault="00DC0DAE" w:rsidP="00504E58">
            <w:pPr>
              <w:spacing w:before="100" w:beforeAutospacing="1" w:after="100" w:afterAutospacing="1"/>
              <w:jc w:val="center"/>
              <w:rPr>
                <w:rFonts w:asciiTheme="minorHAnsi" w:hAnsiTheme="minorHAnsi" w:cstheme="minorHAnsi"/>
                <w:sz w:val="18"/>
              </w:rPr>
            </w:pPr>
            <w:r w:rsidRPr="00DC0DAE">
              <w:rPr>
                <w:rFonts w:asciiTheme="minorHAnsi" w:hAnsiTheme="minorHAnsi" w:cstheme="minorHAnsi"/>
                <w:sz w:val="18"/>
              </w:rPr>
              <w:t>-1,0</w:t>
            </w:r>
          </w:p>
        </w:tc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0DAE" w:rsidRPr="00DC0DAE" w:rsidRDefault="00DC0DAE" w:rsidP="00504E58">
            <w:pPr>
              <w:spacing w:before="100" w:beforeAutospacing="1" w:after="100" w:afterAutospacing="1"/>
              <w:jc w:val="center"/>
              <w:rPr>
                <w:rFonts w:asciiTheme="minorHAnsi" w:hAnsiTheme="minorHAnsi" w:cstheme="minorHAnsi"/>
                <w:sz w:val="18"/>
              </w:rPr>
            </w:pPr>
            <w:r w:rsidRPr="00DC0DAE">
              <w:rPr>
                <w:rFonts w:asciiTheme="minorHAnsi" w:hAnsiTheme="minorHAnsi" w:cstheme="minorHAnsi"/>
                <w:sz w:val="18"/>
              </w:rPr>
              <w:t>41.918.893.770,54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0DAE" w:rsidRPr="00DC0DAE" w:rsidRDefault="00DC0DAE" w:rsidP="00504E58">
            <w:pPr>
              <w:spacing w:before="100" w:beforeAutospacing="1" w:after="100" w:afterAutospacing="1"/>
              <w:jc w:val="center"/>
              <w:rPr>
                <w:rFonts w:asciiTheme="minorHAnsi" w:hAnsiTheme="minorHAnsi" w:cstheme="minorHAnsi"/>
                <w:sz w:val="18"/>
              </w:rPr>
            </w:pPr>
            <w:r w:rsidRPr="00DC0DAE">
              <w:rPr>
                <w:rFonts w:asciiTheme="minorHAnsi" w:hAnsiTheme="minorHAnsi" w:cstheme="minorHAnsi"/>
                <w:sz w:val="18"/>
              </w:rPr>
              <w:t>-3,0</w:t>
            </w:r>
          </w:p>
        </w:tc>
      </w:tr>
      <w:tr w:rsidR="00DC0DAE" w:rsidRPr="00DC0DAE" w:rsidTr="00504E58">
        <w:trPr>
          <w:trHeight w:val="211"/>
          <w:tblCellSpacing w:w="0" w:type="dxa"/>
          <w:jc w:val="center"/>
        </w:trPr>
        <w:tc>
          <w:tcPr>
            <w:tcW w:w="1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0DAE" w:rsidRPr="00DC0DAE" w:rsidRDefault="00DC0DAE" w:rsidP="00504E58">
            <w:pPr>
              <w:spacing w:before="100" w:beforeAutospacing="1" w:after="100" w:afterAutospacing="1"/>
              <w:ind w:left="119"/>
              <w:rPr>
                <w:rFonts w:asciiTheme="minorHAnsi" w:hAnsiTheme="minorHAnsi" w:cstheme="minorHAnsi"/>
              </w:rPr>
            </w:pPr>
            <w:r w:rsidRPr="00DC0DAE">
              <w:rPr>
                <w:rFonts w:asciiTheme="minorHAnsi" w:hAnsiTheme="minorHAnsi" w:cstheme="minorHAnsi"/>
              </w:rPr>
              <w:t>Reservas</w:t>
            </w:r>
          </w:p>
        </w:tc>
        <w:tc>
          <w:tcPr>
            <w:tcW w:w="21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0DAE" w:rsidRPr="00DC0DAE" w:rsidRDefault="00DC0DAE" w:rsidP="00504E58">
            <w:pPr>
              <w:spacing w:before="100" w:beforeAutospacing="1" w:after="100" w:afterAutospacing="1"/>
              <w:jc w:val="center"/>
              <w:rPr>
                <w:rFonts w:asciiTheme="minorHAnsi" w:hAnsiTheme="minorHAnsi" w:cstheme="minorHAnsi"/>
                <w:sz w:val="18"/>
              </w:rPr>
            </w:pPr>
            <w:r w:rsidRPr="00DC0DAE">
              <w:rPr>
                <w:rFonts w:asciiTheme="minorHAnsi" w:hAnsiTheme="minorHAnsi" w:cstheme="minorHAnsi"/>
                <w:sz w:val="18"/>
              </w:rPr>
              <w:t>1.593.474.131,82</w:t>
            </w:r>
          </w:p>
        </w:tc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0DAE" w:rsidRPr="00DC0DAE" w:rsidRDefault="00DC0DAE" w:rsidP="00504E58">
            <w:pPr>
              <w:spacing w:before="100" w:beforeAutospacing="1" w:after="100" w:afterAutospacing="1"/>
              <w:jc w:val="center"/>
              <w:rPr>
                <w:rFonts w:asciiTheme="minorHAnsi" w:hAnsiTheme="minorHAnsi" w:cstheme="minorHAnsi"/>
                <w:sz w:val="18"/>
              </w:rPr>
            </w:pPr>
            <w:r w:rsidRPr="00DC0DAE">
              <w:rPr>
                <w:rFonts w:asciiTheme="minorHAnsi" w:hAnsiTheme="minorHAnsi" w:cstheme="minorHAnsi"/>
                <w:sz w:val="18"/>
              </w:rPr>
              <w:t>-0,1</w:t>
            </w:r>
          </w:p>
        </w:tc>
        <w:tc>
          <w:tcPr>
            <w:tcW w:w="2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0DAE" w:rsidRPr="00DC0DAE" w:rsidRDefault="00DC0DAE" w:rsidP="00504E58">
            <w:pPr>
              <w:spacing w:before="100" w:beforeAutospacing="1" w:after="100" w:afterAutospacing="1"/>
              <w:jc w:val="center"/>
              <w:rPr>
                <w:rFonts w:asciiTheme="minorHAnsi" w:hAnsiTheme="minorHAnsi" w:cstheme="minorHAnsi"/>
                <w:sz w:val="18"/>
              </w:rPr>
            </w:pPr>
            <w:r w:rsidRPr="00DC0DAE">
              <w:rPr>
                <w:rFonts w:asciiTheme="minorHAnsi" w:hAnsiTheme="minorHAnsi" w:cstheme="minorHAnsi"/>
                <w:sz w:val="18"/>
              </w:rPr>
              <w:t>7.384.140.791,82</w:t>
            </w:r>
          </w:p>
        </w:tc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0DAE" w:rsidRPr="00DC0DAE" w:rsidRDefault="00DC0DAE" w:rsidP="00504E58">
            <w:pPr>
              <w:spacing w:before="100" w:beforeAutospacing="1" w:after="100" w:afterAutospacing="1"/>
              <w:jc w:val="center"/>
              <w:rPr>
                <w:rFonts w:asciiTheme="minorHAnsi" w:hAnsiTheme="minorHAnsi" w:cstheme="minorHAnsi"/>
                <w:sz w:val="18"/>
              </w:rPr>
            </w:pPr>
            <w:r w:rsidRPr="00DC0DAE">
              <w:rPr>
                <w:rFonts w:asciiTheme="minorHAnsi" w:hAnsiTheme="minorHAnsi" w:cstheme="minorHAnsi"/>
                <w:sz w:val="18"/>
              </w:rPr>
              <w:t>-0,4</w:t>
            </w:r>
          </w:p>
        </w:tc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0DAE" w:rsidRPr="00DC0DAE" w:rsidRDefault="00DC0DAE" w:rsidP="00504E58">
            <w:pPr>
              <w:spacing w:before="100" w:beforeAutospacing="1" w:after="100" w:afterAutospacing="1"/>
              <w:jc w:val="center"/>
              <w:rPr>
                <w:rFonts w:asciiTheme="minorHAnsi" w:hAnsiTheme="minorHAnsi" w:cstheme="minorHAnsi"/>
                <w:sz w:val="18"/>
              </w:rPr>
            </w:pPr>
            <w:r w:rsidRPr="00DC0DAE">
              <w:rPr>
                <w:rFonts w:asciiTheme="minorHAnsi" w:hAnsiTheme="minorHAnsi" w:cstheme="minorHAnsi"/>
                <w:sz w:val="18"/>
              </w:rPr>
              <w:t>7.300.831.278,30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0DAE" w:rsidRPr="00DC0DAE" w:rsidRDefault="00DC0DAE" w:rsidP="00504E58">
            <w:pPr>
              <w:spacing w:before="100" w:beforeAutospacing="1" w:after="100" w:afterAutospacing="1"/>
              <w:jc w:val="center"/>
              <w:rPr>
                <w:rFonts w:asciiTheme="minorHAnsi" w:hAnsiTheme="minorHAnsi" w:cstheme="minorHAnsi"/>
                <w:sz w:val="18"/>
              </w:rPr>
            </w:pPr>
            <w:r w:rsidRPr="00DC0DAE">
              <w:rPr>
                <w:rFonts w:asciiTheme="minorHAnsi" w:hAnsiTheme="minorHAnsi" w:cstheme="minorHAnsi"/>
                <w:sz w:val="18"/>
              </w:rPr>
              <w:t>-0,5</w:t>
            </w:r>
          </w:p>
        </w:tc>
      </w:tr>
      <w:tr w:rsidR="00DC0DAE" w:rsidRPr="00DC0DAE" w:rsidTr="00504E58">
        <w:trPr>
          <w:trHeight w:val="223"/>
          <w:tblCellSpacing w:w="0" w:type="dxa"/>
          <w:jc w:val="center"/>
        </w:trPr>
        <w:tc>
          <w:tcPr>
            <w:tcW w:w="1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0DAE" w:rsidRPr="00DC0DAE" w:rsidRDefault="00DC0DAE" w:rsidP="00504E58">
            <w:pPr>
              <w:spacing w:before="100" w:beforeAutospacing="1" w:after="100" w:afterAutospacing="1"/>
              <w:ind w:left="119"/>
              <w:rPr>
                <w:rFonts w:asciiTheme="minorHAnsi" w:hAnsiTheme="minorHAnsi" w:cstheme="minorHAnsi"/>
              </w:rPr>
            </w:pPr>
            <w:r w:rsidRPr="00DC0DAE">
              <w:rPr>
                <w:rFonts w:asciiTheme="minorHAnsi" w:hAnsiTheme="minorHAnsi" w:cstheme="minorHAnsi"/>
              </w:rPr>
              <w:t>Resultados Acumulados</w:t>
            </w:r>
          </w:p>
        </w:tc>
        <w:tc>
          <w:tcPr>
            <w:tcW w:w="21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0DAE" w:rsidRPr="00DC0DAE" w:rsidRDefault="00DC0DAE" w:rsidP="00504E58">
            <w:pPr>
              <w:spacing w:before="100" w:beforeAutospacing="1" w:after="100" w:afterAutospacing="1"/>
              <w:jc w:val="center"/>
              <w:rPr>
                <w:rFonts w:asciiTheme="minorHAnsi" w:hAnsiTheme="minorHAnsi" w:cstheme="minorHAnsi"/>
                <w:sz w:val="18"/>
              </w:rPr>
            </w:pPr>
            <w:r w:rsidRPr="00DC0DAE">
              <w:rPr>
                <w:rFonts w:asciiTheme="minorHAnsi" w:hAnsiTheme="minorHAnsi" w:cstheme="minorHAnsi"/>
                <w:sz w:val="18"/>
              </w:rPr>
              <w:t>-2.458.129.335.338,75</w:t>
            </w:r>
          </w:p>
        </w:tc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0DAE" w:rsidRPr="00DC0DAE" w:rsidRDefault="00DC0DAE" w:rsidP="00504E58">
            <w:pPr>
              <w:spacing w:before="100" w:beforeAutospacing="1" w:after="100" w:afterAutospacing="1"/>
              <w:jc w:val="center"/>
              <w:rPr>
                <w:rFonts w:asciiTheme="minorHAnsi" w:hAnsiTheme="minorHAnsi" w:cstheme="minorHAnsi"/>
                <w:sz w:val="18"/>
              </w:rPr>
            </w:pPr>
            <w:r w:rsidRPr="00DC0DAE">
              <w:rPr>
                <w:rFonts w:asciiTheme="minorHAnsi" w:hAnsiTheme="minorHAnsi" w:cstheme="minorHAnsi"/>
                <w:sz w:val="18"/>
              </w:rPr>
              <w:t>102,0</w:t>
            </w:r>
          </w:p>
        </w:tc>
        <w:tc>
          <w:tcPr>
            <w:tcW w:w="2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0DAE" w:rsidRPr="00DC0DAE" w:rsidRDefault="00DC0DAE" w:rsidP="00504E58">
            <w:pPr>
              <w:spacing w:before="100" w:beforeAutospacing="1" w:after="100" w:afterAutospacing="1"/>
              <w:jc w:val="center"/>
              <w:rPr>
                <w:rFonts w:asciiTheme="minorHAnsi" w:hAnsiTheme="minorHAnsi" w:cstheme="minorHAnsi"/>
                <w:sz w:val="18"/>
              </w:rPr>
            </w:pPr>
            <w:r w:rsidRPr="00DC0DAE">
              <w:rPr>
                <w:rFonts w:asciiTheme="minorHAnsi" w:hAnsiTheme="minorHAnsi" w:cstheme="minorHAnsi"/>
                <w:sz w:val="18"/>
              </w:rPr>
              <w:t>-2.041.627.235.060,69</w:t>
            </w:r>
          </w:p>
        </w:tc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0DAE" w:rsidRPr="00DC0DAE" w:rsidRDefault="00DC0DAE" w:rsidP="00504E58">
            <w:pPr>
              <w:spacing w:before="100" w:beforeAutospacing="1" w:after="100" w:afterAutospacing="1"/>
              <w:jc w:val="center"/>
              <w:rPr>
                <w:rFonts w:asciiTheme="minorHAnsi" w:hAnsiTheme="minorHAnsi" w:cstheme="minorHAnsi"/>
                <w:sz w:val="18"/>
              </w:rPr>
            </w:pPr>
            <w:r w:rsidRPr="00DC0DAE">
              <w:rPr>
                <w:rFonts w:asciiTheme="minorHAnsi" w:hAnsiTheme="minorHAnsi" w:cstheme="minorHAnsi"/>
                <w:sz w:val="18"/>
              </w:rPr>
              <w:t>101,4</w:t>
            </w:r>
          </w:p>
        </w:tc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0DAE" w:rsidRPr="00DC0DAE" w:rsidRDefault="00DC0DAE" w:rsidP="00504E58">
            <w:pPr>
              <w:spacing w:before="100" w:beforeAutospacing="1" w:after="100" w:afterAutospacing="1"/>
              <w:jc w:val="center"/>
              <w:rPr>
                <w:rFonts w:asciiTheme="minorHAnsi" w:hAnsiTheme="minorHAnsi" w:cstheme="minorHAnsi"/>
                <w:sz w:val="18"/>
              </w:rPr>
            </w:pPr>
            <w:r w:rsidRPr="00DC0DAE">
              <w:rPr>
                <w:rFonts w:asciiTheme="minorHAnsi" w:hAnsiTheme="minorHAnsi" w:cstheme="minorHAnsi"/>
                <w:sz w:val="18"/>
              </w:rPr>
              <w:t>-1.463.148.321.806,08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0DAE" w:rsidRPr="00DC0DAE" w:rsidRDefault="00DC0DAE" w:rsidP="00504E58">
            <w:pPr>
              <w:spacing w:before="100" w:beforeAutospacing="1" w:after="100" w:afterAutospacing="1"/>
              <w:jc w:val="center"/>
              <w:rPr>
                <w:rFonts w:asciiTheme="minorHAnsi" w:hAnsiTheme="minorHAnsi" w:cstheme="minorHAnsi"/>
                <w:sz w:val="18"/>
              </w:rPr>
            </w:pPr>
            <w:r w:rsidRPr="00DC0DAE">
              <w:rPr>
                <w:rFonts w:asciiTheme="minorHAnsi" w:hAnsiTheme="minorHAnsi" w:cstheme="minorHAnsi"/>
                <w:sz w:val="18"/>
              </w:rPr>
              <w:t>103,5</w:t>
            </w:r>
          </w:p>
        </w:tc>
      </w:tr>
      <w:tr w:rsidR="00DC0DAE" w:rsidRPr="00DC0DAE" w:rsidTr="00504E58">
        <w:trPr>
          <w:trHeight w:val="211"/>
          <w:tblCellSpacing w:w="0" w:type="dxa"/>
          <w:jc w:val="center"/>
        </w:trPr>
        <w:tc>
          <w:tcPr>
            <w:tcW w:w="1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DC0DAE" w:rsidRPr="00DC0DAE" w:rsidRDefault="00DC0DAE" w:rsidP="00504E58">
            <w:pPr>
              <w:spacing w:before="100" w:beforeAutospacing="1" w:after="100" w:afterAutospacing="1"/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r w:rsidRPr="00DC0DAE">
              <w:rPr>
                <w:rFonts w:asciiTheme="minorHAnsi" w:hAnsiTheme="minorHAnsi" w:cstheme="minorHAnsi"/>
                <w:b/>
                <w:sz w:val="20"/>
              </w:rPr>
              <w:t>TOTAL</w:t>
            </w:r>
          </w:p>
        </w:tc>
        <w:tc>
          <w:tcPr>
            <w:tcW w:w="21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DC0DAE" w:rsidRPr="00DC0DAE" w:rsidRDefault="00DC0DAE" w:rsidP="00504E58">
            <w:pPr>
              <w:spacing w:before="100" w:beforeAutospacing="1" w:after="100" w:afterAutospacing="1"/>
              <w:jc w:val="center"/>
              <w:rPr>
                <w:rFonts w:asciiTheme="minorHAnsi" w:hAnsiTheme="minorHAnsi" w:cstheme="minorHAnsi"/>
                <w:sz w:val="18"/>
              </w:rPr>
            </w:pPr>
            <w:r w:rsidRPr="00DC0DAE">
              <w:rPr>
                <w:rFonts w:asciiTheme="minorHAnsi" w:hAnsiTheme="minorHAnsi" w:cstheme="minorHAnsi"/>
                <w:sz w:val="18"/>
              </w:rPr>
              <w:t>-2.410.795.801.226,27</w:t>
            </w:r>
          </w:p>
        </w:tc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DC0DAE" w:rsidRPr="00DC0DAE" w:rsidRDefault="00DC0DAE" w:rsidP="00504E58">
            <w:pPr>
              <w:spacing w:before="100" w:beforeAutospacing="1" w:after="100" w:afterAutospacing="1"/>
              <w:jc w:val="center"/>
              <w:rPr>
                <w:rFonts w:asciiTheme="minorHAnsi" w:hAnsiTheme="minorHAnsi" w:cstheme="minorHAnsi"/>
                <w:sz w:val="18"/>
              </w:rPr>
            </w:pPr>
            <w:r w:rsidRPr="00DC0DAE">
              <w:rPr>
                <w:rFonts w:asciiTheme="minorHAnsi" w:hAnsiTheme="minorHAnsi" w:cstheme="minorHAnsi"/>
                <w:sz w:val="18"/>
              </w:rPr>
              <w:t>100,0</w:t>
            </w:r>
          </w:p>
        </w:tc>
        <w:tc>
          <w:tcPr>
            <w:tcW w:w="2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DC0DAE" w:rsidRPr="00DC0DAE" w:rsidRDefault="00DC0DAE" w:rsidP="00504E58">
            <w:pPr>
              <w:spacing w:before="100" w:beforeAutospacing="1" w:after="100" w:afterAutospacing="1"/>
              <w:jc w:val="center"/>
              <w:rPr>
                <w:rFonts w:asciiTheme="minorHAnsi" w:hAnsiTheme="minorHAnsi" w:cstheme="minorHAnsi"/>
                <w:sz w:val="18"/>
              </w:rPr>
            </w:pPr>
            <w:r w:rsidRPr="00DC0DAE">
              <w:rPr>
                <w:rFonts w:asciiTheme="minorHAnsi" w:hAnsiTheme="minorHAnsi" w:cstheme="minorHAnsi"/>
                <w:sz w:val="18"/>
              </w:rPr>
              <w:t>-2.013.276.824.555,30</w:t>
            </w:r>
          </w:p>
        </w:tc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DC0DAE" w:rsidRPr="00DC0DAE" w:rsidRDefault="00DC0DAE" w:rsidP="00504E58">
            <w:pPr>
              <w:spacing w:before="100" w:beforeAutospacing="1" w:after="100" w:afterAutospacing="1"/>
              <w:jc w:val="center"/>
              <w:rPr>
                <w:rFonts w:asciiTheme="minorHAnsi" w:hAnsiTheme="minorHAnsi" w:cstheme="minorHAnsi"/>
                <w:sz w:val="18"/>
              </w:rPr>
            </w:pPr>
            <w:r w:rsidRPr="00DC0DAE">
              <w:rPr>
                <w:rFonts w:asciiTheme="minorHAnsi" w:hAnsiTheme="minorHAnsi" w:cstheme="minorHAnsi"/>
                <w:sz w:val="18"/>
              </w:rPr>
              <w:t>100,0</w:t>
            </w:r>
          </w:p>
        </w:tc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DC0DAE" w:rsidRPr="00DC0DAE" w:rsidRDefault="00DC0DAE" w:rsidP="00504E58">
            <w:pPr>
              <w:spacing w:before="100" w:beforeAutospacing="1" w:after="100" w:afterAutospacing="1"/>
              <w:jc w:val="center"/>
              <w:rPr>
                <w:rFonts w:asciiTheme="minorHAnsi" w:hAnsiTheme="minorHAnsi" w:cstheme="minorHAnsi"/>
                <w:sz w:val="18"/>
              </w:rPr>
            </w:pPr>
            <w:r w:rsidRPr="00DC0DAE">
              <w:rPr>
                <w:rFonts w:asciiTheme="minorHAnsi" w:hAnsiTheme="minorHAnsi" w:cstheme="minorHAnsi"/>
                <w:sz w:val="18"/>
              </w:rPr>
              <w:t>-1.413.928.596.757,24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DC0DAE" w:rsidRPr="00DC0DAE" w:rsidRDefault="00DC0DAE" w:rsidP="00504E58">
            <w:pPr>
              <w:spacing w:before="100" w:beforeAutospacing="1" w:after="100" w:afterAutospacing="1"/>
              <w:jc w:val="center"/>
              <w:rPr>
                <w:rFonts w:asciiTheme="minorHAnsi" w:hAnsiTheme="minorHAnsi" w:cstheme="minorHAnsi"/>
                <w:sz w:val="18"/>
              </w:rPr>
            </w:pPr>
            <w:r w:rsidRPr="00DC0DAE">
              <w:rPr>
                <w:rFonts w:asciiTheme="minorHAnsi" w:hAnsiTheme="minorHAnsi" w:cstheme="minorHAnsi"/>
                <w:sz w:val="18"/>
              </w:rPr>
              <w:t>100,0</w:t>
            </w:r>
          </w:p>
        </w:tc>
      </w:tr>
    </w:tbl>
    <w:p w:rsidR="00DC0DAE" w:rsidRPr="00DC0DAE" w:rsidRDefault="00DC0DAE" w:rsidP="00DC0DAE">
      <w:pPr>
        <w:pStyle w:val="textoalinhadoesquerdaespacamentosimples"/>
        <w:rPr>
          <w:rFonts w:asciiTheme="minorHAnsi" w:hAnsiTheme="minorHAnsi" w:cstheme="minorHAnsi"/>
          <w:sz w:val="20"/>
          <w:szCs w:val="20"/>
        </w:rPr>
      </w:pPr>
      <w:r w:rsidRPr="00DC0DAE">
        <w:rPr>
          <w:rFonts w:asciiTheme="minorHAnsi" w:hAnsiTheme="minorHAnsi" w:cstheme="minorHAnsi"/>
          <w:sz w:val="20"/>
          <w:szCs w:val="20"/>
        </w:rPr>
        <w:t>FONTE: Novo SIAFI.</w:t>
      </w:r>
    </w:p>
    <w:p w:rsidR="00DC0DAE" w:rsidRPr="00DC0DAE" w:rsidRDefault="00DC0DAE" w:rsidP="00DC0DAE">
      <w:pPr>
        <w:pStyle w:val="textojustificado"/>
        <w:ind w:firstLine="709"/>
        <w:jc w:val="both"/>
        <w:rPr>
          <w:rFonts w:asciiTheme="minorHAnsi" w:hAnsiTheme="minorHAnsi" w:cstheme="minorHAnsi"/>
        </w:rPr>
      </w:pPr>
      <w:r w:rsidRPr="00DC0DAE">
        <w:rPr>
          <w:rFonts w:asciiTheme="minorHAnsi" w:hAnsiTheme="minorHAnsi" w:cstheme="minorHAnsi"/>
        </w:rPr>
        <w:lastRenderedPageBreak/>
        <w:t>No exercício de 2015, as principais movimentações que afetaram o Patrimônio Líquido (PL) foram:</w:t>
      </w:r>
    </w:p>
    <w:p w:rsidR="00DC0DAE" w:rsidRPr="00DC0DAE" w:rsidRDefault="00DC0DAE" w:rsidP="00DC0DAE">
      <w:pPr>
        <w:pStyle w:val="textojustificado"/>
        <w:jc w:val="both"/>
        <w:rPr>
          <w:rFonts w:asciiTheme="minorHAnsi" w:hAnsiTheme="minorHAnsi" w:cstheme="minorHAnsi"/>
        </w:rPr>
      </w:pPr>
      <w:r w:rsidRPr="00DC0DAE">
        <w:rPr>
          <w:rFonts w:asciiTheme="minorHAnsi" w:hAnsiTheme="minorHAnsi" w:cstheme="minorHAnsi"/>
        </w:rPr>
        <w:t xml:space="preserve">(a) </w:t>
      </w:r>
      <w:proofErr w:type="spellStart"/>
      <w:r w:rsidRPr="00DC0DAE">
        <w:rPr>
          <w:rFonts w:asciiTheme="minorHAnsi" w:hAnsiTheme="minorHAnsi" w:cstheme="minorHAnsi"/>
        </w:rPr>
        <w:t>Desreconhecimento</w:t>
      </w:r>
      <w:proofErr w:type="spellEnd"/>
      <w:r w:rsidRPr="00DC0DAE">
        <w:rPr>
          <w:rFonts w:asciiTheme="minorHAnsi" w:hAnsiTheme="minorHAnsi" w:cstheme="minorHAnsi"/>
        </w:rPr>
        <w:t xml:space="preserve"> dos créditos tributários com exigibilidade suspensa sob a supervisão da Receita Federal do Brasil, cerca de R$ 1 trilhão (redução do PL);</w:t>
      </w:r>
    </w:p>
    <w:p w:rsidR="00DC0DAE" w:rsidRPr="00DC0DAE" w:rsidRDefault="00DC0DAE" w:rsidP="00DC0DAE">
      <w:pPr>
        <w:pStyle w:val="textojustificado"/>
        <w:jc w:val="both"/>
        <w:rPr>
          <w:rFonts w:asciiTheme="minorHAnsi" w:hAnsiTheme="minorHAnsi" w:cstheme="minorHAnsi"/>
        </w:rPr>
      </w:pPr>
      <w:r w:rsidRPr="00DC0DAE">
        <w:rPr>
          <w:rFonts w:asciiTheme="minorHAnsi" w:hAnsiTheme="minorHAnsi" w:cstheme="minorHAnsi"/>
        </w:rPr>
        <w:t>(b) Mudança da metodologia para o cálculo do ajuste para perdas referente aos créditos tributários de curto prazo, R$ 148,7 bilhões, aproximadamente (redução do PL);</w:t>
      </w:r>
    </w:p>
    <w:p w:rsidR="00DC0DAE" w:rsidRPr="00DC0DAE" w:rsidRDefault="00DC0DAE" w:rsidP="00DC0DAE">
      <w:pPr>
        <w:pStyle w:val="textojustificado"/>
        <w:jc w:val="both"/>
        <w:rPr>
          <w:rFonts w:asciiTheme="minorHAnsi" w:hAnsiTheme="minorHAnsi" w:cstheme="minorHAnsi"/>
        </w:rPr>
      </w:pPr>
      <w:r w:rsidRPr="00DC0DAE">
        <w:rPr>
          <w:rFonts w:asciiTheme="minorHAnsi" w:hAnsiTheme="minorHAnsi" w:cstheme="minorHAnsi"/>
        </w:rPr>
        <w:t>(c) Reconhecimento do ajuste para perdas dos créditos a receber de Estados e Municípios relacionados com a Lei Complementar nº 148/2014, cerca de 60,3 bilhões (redução do PL);</w:t>
      </w:r>
    </w:p>
    <w:p w:rsidR="00DC0DAE" w:rsidRPr="00DC0DAE" w:rsidRDefault="00DC0DAE" w:rsidP="00DC0DAE">
      <w:pPr>
        <w:pStyle w:val="textojustificado"/>
        <w:jc w:val="both"/>
        <w:rPr>
          <w:rFonts w:asciiTheme="minorHAnsi" w:hAnsiTheme="minorHAnsi" w:cstheme="minorHAnsi"/>
        </w:rPr>
      </w:pPr>
      <w:r w:rsidRPr="00DC0DAE">
        <w:rPr>
          <w:rFonts w:asciiTheme="minorHAnsi" w:hAnsiTheme="minorHAnsi" w:cstheme="minorHAnsi"/>
        </w:rPr>
        <w:t>(d) Baixa do ajuste para perdas relativas a empréstimos e financiamentos, cerca de R$ 33,9 bilhões (aumento de PL);</w:t>
      </w:r>
    </w:p>
    <w:p w:rsidR="00DC0DAE" w:rsidRPr="00DC0DAE" w:rsidRDefault="00DC0DAE" w:rsidP="00DC0DAE">
      <w:pPr>
        <w:pStyle w:val="textojustificado"/>
        <w:jc w:val="both"/>
        <w:rPr>
          <w:rFonts w:asciiTheme="minorHAnsi" w:hAnsiTheme="minorHAnsi" w:cstheme="minorHAnsi"/>
        </w:rPr>
      </w:pPr>
      <w:r w:rsidRPr="00DC0DAE">
        <w:rPr>
          <w:rFonts w:asciiTheme="minorHAnsi" w:hAnsiTheme="minorHAnsi" w:cstheme="minorHAnsi"/>
        </w:rPr>
        <w:t>(e) Reclassificação do Adiantamento para Futuro Aumento de Capital (AFAC) do PL para o Passivo Não Circulante, R$ 1,8 bilhão, aproximadamente (redução do PL);</w:t>
      </w:r>
    </w:p>
    <w:p w:rsidR="00DC0DAE" w:rsidRPr="00DC0DAE" w:rsidRDefault="00DC0DAE" w:rsidP="00DC0DAE">
      <w:pPr>
        <w:pStyle w:val="textojustificado"/>
        <w:jc w:val="both"/>
        <w:rPr>
          <w:rFonts w:asciiTheme="minorHAnsi" w:hAnsiTheme="minorHAnsi" w:cstheme="minorHAnsi"/>
        </w:rPr>
      </w:pPr>
      <w:r w:rsidRPr="00DC0DAE">
        <w:rPr>
          <w:rFonts w:asciiTheme="minorHAnsi" w:hAnsiTheme="minorHAnsi" w:cstheme="minorHAnsi"/>
        </w:rPr>
        <w:t>(f) Aumento das provisões a curto e longo prazo, com causas diversas (repartição tributária, oriundos da Lei Complementar nº 148/2014, ações judiciais com probabilidade provável de perda), no montante de cerca de R$ 75,5 bilhões (redução do PL);</w:t>
      </w:r>
    </w:p>
    <w:p w:rsidR="00DC0DAE" w:rsidRPr="00DC0DAE" w:rsidRDefault="00DC0DAE" w:rsidP="00DC0DAE">
      <w:pPr>
        <w:pStyle w:val="textojustificado"/>
        <w:jc w:val="both"/>
        <w:rPr>
          <w:rFonts w:asciiTheme="minorHAnsi" w:hAnsiTheme="minorHAnsi" w:cstheme="minorHAnsi"/>
        </w:rPr>
      </w:pPr>
      <w:r w:rsidRPr="00DC0DAE">
        <w:rPr>
          <w:rFonts w:asciiTheme="minorHAnsi" w:hAnsiTheme="minorHAnsi" w:cstheme="minorHAnsi"/>
        </w:rPr>
        <w:t>(g) Reconhecimento de obrigação da União em repassar ao Fundo de Garantia por Tempo de Serviços (FGTS), R$ 10,7 bilhões, aproximadamente (redução do PL); e</w:t>
      </w:r>
    </w:p>
    <w:p w:rsidR="00DC0DAE" w:rsidRPr="00DC0DAE" w:rsidRDefault="00DC0DAE" w:rsidP="00DC0DAE">
      <w:pPr>
        <w:pStyle w:val="textojustificado"/>
        <w:jc w:val="both"/>
        <w:rPr>
          <w:rFonts w:asciiTheme="minorHAnsi" w:hAnsiTheme="minorHAnsi" w:cstheme="minorHAnsi"/>
        </w:rPr>
      </w:pPr>
      <w:r w:rsidRPr="00DC0DAE">
        <w:rPr>
          <w:rFonts w:asciiTheme="minorHAnsi" w:hAnsiTheme="minorHAnsi" w:cstheme="minorHAnsi"/>
        </w:rPr>
        <w:t>(h) Apuração do resultado patrimonial do exercício, cerca de R$ 245,2 bilhões negativos (redução do PL).</w:t>
      </w:r>
    </w:p>
    <w:p w:rsidR="00DC0DAE" w:rsidRPr="00DC0DAE" w:rsidRDefault="00DC0DAE" w:rsidP="00DC0DAE">
      <w:pPr>
        <w:pStyle w:val="textojustificado"/>
        <w:ind w:firstLine="709"/>
        <w:jc w:val="both"/>
        <w:rPr>
          <w:rFonts w:asciiTheme="minorHAnsi" w:hAnsiTheme="minorHAnsi" w:cstheme="minorHAnsi"/>
        </w:rPr>
      </w:pPr>
      <w:r w:rsidRPr="00DC0DAE">
        <w:rPr>
          <w:rFonts w:asciiTheme="minorHAnsi" w:hAnsiTheme="minorHAnsi" w:cstheme="minorHAnsi"/>
        </w:rPr>
        <w:t>Ainda em relação as movimentações ocorridas no PL no exercício de 2015, destaca-se que ao final do exercício de 2014 ocorreu a adoção do novo Plano de Contas da Administração Pública Federal, na União e em suas entidades. Todavia, somente no exercício de 2015, todas as operações econômico-financeiras que impactaram o patrimônio da União foram registradas com o uso do respectivo plano de contas. Tal fato é de grande relevância para a análise da evolução do PL e das mutações relativas ao exercício de 2015.</w:t>
      </w:r>
    </w:p>
    <w:p w:rsidR="00DC0DAE" w:rsidRPr="00DC0DAE" w:rsidRDefault="00DC0DAE" w:rsidP="00DC0DAE">
      <w:pPr>
        <w:pStyle w:val="textojustificado"/>
        <w:ind w:firstLine="709"/>
        <w:jc w:val="both"/>
        <w:rPr>
          <w:rFonts w:asciiTheme="minorHAnsi" w:hAnsiTheme="minorHAnsi" w:cstheme="minorHAnsi"/>
        </w:rPr>
      </w:pPr>
      <w:r w:rsidRPr="00DC0DAE">
        <w:rPr>
          <w:rFonts w:asciiTheme="minorHAnsi" w:hAnsiTheme="minorHAnsi" w:cstheme="minorHAnsi"/>
        </w:rPr>
        <w:t>Além das mudanças quantitativas, como a reclassificação do AFAC (anteriormente descrita), houve, no exercício de 2015, algumas mudanças qualitativas na composição do PL. A principal mudança se refere a reclassificação de cerca de R$ 105,1 bilhões que compunham o grupo Patrimônio/Capital no exercício de 2014 e passaram a compor o grupo Resultados Acumulados, no exercício de 2015, de acordo com o descrito no Manual de Contabilidade Aplicado ao Setor Público, 6ª edição.</w:t>
      </w:r>
    </w:p>
    <w:p w:rsidR="00DC0DAE" w:rsidRPr="00DC0DAE" w:rsidRDefault="00DC0DAE" w:rsidP="00DC0DAE">
      <w:pPr>
        <w:pStyle w:val="textojustificado"/>
        <w:ind w:firstLine="709"/>
        <w:jc w:val="both"/>
        <w:rPr>
          <w:rFonts w:asciiTheme="minorHAnsi" w:hAnsiTheme="minorHAnsi" w:cstheme="minorHAnsi"/>
        </w:rPr>
      </w:pPr>
      <w:r w:rsidRPr="00DC0DAE">
        <w:rPr>
          <w:rFonts w:asciiTheme="minorHAnsi" w:hAnsiTheme="minorHAnsi" w:cstheme="minorHAnsi"/>
        </w:rPr>
        <w:t>No exercício de 2016, a variação total do PL representou uma redução de aproximadamente R$ 599 bilhões negativos, cujas principais movimentações foram:</w:t>
      </w:r>
    </w:p>
    <w:p w:rsidR="00DC0DAE" w:rsidRPr="00DC0DAE" w:rsidRDefault="00DC0DAE" w:rsidP="00DC0DAE">
      <w:pPr>
        <w:pStyle w:val="textojustificado"/>
        <w:jc w:val="both"/>
        <w:rPr>
          <w:rFonts w:asciiTheme="minorHAnsi" w:hAnsiTheme="minorHAnsi" w:cstheme="minorHAnsi"/>
        </w:rPr>
      </w:pPr>
      <w:r w:rsidRPr="00DC0DAE">
        <w:rPr>
          <w:rFonts w:asciiTheme="minorHAnsi" w:hAnsiTheme="minorHAnsi" w:cstheme="minorHAnsi"/>
        </w:rPr>
        <w:t>(a) Apuração do resultado patrimonial do exercício, cerca de R$ 549 bilhões negativos (redução do PL);</w:t>
      </w:r>
    </w:p>
    <w:p w:rsidR="00DC0DAE" w:rsidRPr="00DC0DAE" w:rsidRDefault="00DC0DAE" w:rsidP="00DC0DAE">
      <w:pPr>
        <w:pStyle w:val="textojustificado"/>
        <w:jc w:val="both"/>
        <w:rPr>
          <w:rFonts w:asciiTheme="minorHAnsi" w:hAnsiTheme="minorHAnsi" w:cstheme="minorHAnsi"/>
        </w:rPr>
      </w:pPr>
      <w:r w:rsidRPr="00DC0DAE">
        <w:rPr>
          <w:rFonts w:asciiTheme="minorHAnsi" w:hAnsiTheme="minorHAnsi" w:cstheme="minorHAnsi"/>
        </w:rPr>
        <w:lastRenderedPageBreak/>
        <w:t>(b) Ajuste para acerto contábil do FCVS (Fundo de Compensação das Variações Salariais) em ajustes de exercícios anteriores em cerca de R$ 5,28 bilhões para compatibilização com o balanço SICOF referência dez/2015 (redução do PL);</w:t>
      </w:r>
    </w:p>
    <w:p w:rsidR="00DC0DAE" w:rsidRPr="00DC0DAE" w:rsidRDefault="00DC0DAE" w:rsidP="00DC0DAE">
      <w:pPr>
        <w:pStyle w:val="textojustificado"/>
        <w:jc w:val="both"/>
        <w:rPr>
          <w:rFonts w:asciiTheme="minorHAnsi" w:hAnsiTheme="minorHAnsi" w:cstheme="minorHAnsi"/>
        </w:rPr>
      </w:pPr>
      <w:r w:rsidRPr="00DC0DAE">
        <w:rPr>
          <w:rFonts w:asciiTheme="minorHAnsi" w:hAnsiTheme="minorHAnsi" w:cstheme="minorHAnsi"/>
        </w:rPr>
        <w:t>(c) Ajuste de R$ 4,11 bilhões da equivalência patrimonial da participação acionária da União no Banco do Brasil (Posição de 30/09/2015), considerando o demonstrativo contábil detalhado do Patrimônio Líquido, excluindo-se o instrumento elegível ao capital principal (redução PL);</w:t>
      </w:r>
    </w:p>
    <w:p w:rsidR="00DC0DAE" w:rsidRPr="00DC0DAE" w:rsidRDefault="00DC0DAE" w:rsidP="00DC0DAE">
      <w:pPr>
        <w:pStyle w:val="textojustificado"/>
        <w:jc w:val="both"/>
        <w:rPr>
          <w:rFonts w:asciiTheme="minorHAnsi" w:hAnsiTheme="minorHAnsi" w:cstheme="minorHAnsi"/>
        </w:rPr>
      </w:pPr>
      <w:r w:rsidRPr="00DC0DAE">
        <w:rPr>
          <w:rFonts w:asciiTheme="minorHAnsi" w:hAnsiTheme="minorHAnsi" w:cstheme="minorHAnsi"/>
        </w:rPr>
        <w:t>(d) Ajuste de empréstimos e financiamentos a receber de longo prazo relativo aos contratos junto ao Banco do Brasil -PESBB001 (R$ 3,12 bilhões) e P PO71M 001 (R$ 1,067 bilhão), ambos geridos na COFIS/STN (aumento PL);</w:t>
      </w:r>
    </w:p>
    <w:p w:rsidR="00DC0DAE" w:rsidRPr="00DC0DAE" w:rsidRDefault="00DC0DAE" w:rsidP="00DC0DAE">
      <w:pPr>
        <w:pStyle w:val="textojustificado"/>
        <w:jc w:val="both"/>
        <w:rPr>
          <w:rFonts w:asciiTheme="minorHAnsi" w:hAnsiTheme="minorHAnsi" w:cstheme="minorHAnsi"/>
        </w:rPr>
      </w:pPr>
      <w:r w:rsidRPr="00DC0DAE">
        <w:rPr>
          <w:rFonts w:asciiTheme="minorHAnsi" w:hAnsiTheme="minorHAnsi" w:cstheme="minorHAnsi"/>
        </w:rPr>
        <w:t>(e) Ajustes de exercícios anteriores do Fundo de Desenvolvimento da Amazônia – FDA em cerca de R$ 4,24 bilhões, impactado principalmente por cancelamento de documentos registrados a maior (R$ 3,61 bilhões) e amortização de projetos (R$ 599 milhões) (redução PL);</w:t>
      </w:r>
    </w:p>
    <w:p w:rsidR="00DC0DAE" w:rsidRPr="00DC0DAE" w:rsidRDefault="00DC0DAE" w:rsidP="00DC0DAE">
      <w:pPr>
        <w:pStyle w:val="textojustificado"/>
        <w:jc w:val="both"/>
        <w:rPr>
          <w:rFonts w:asciiTheme="minorHAnsi" w:hAnsiTheme="minorHAnsi" w:cstheme="minorHAnsi"/>
        </w:rPr>
      </w:pPr>
      <w:r w:rsidRPr="00DC0DAE">
        <w:rPr>
          <w:rFonts w:asciiTheme="minorHAnsi" w:hAnsiTheme="minorHAnsi" w:cstheme="minorHAnsi"/>
        </w:rPr>
        <w:t>(f) Ajustes de regularização de transferências voluntárias no Fundo Nacional de Desenvolvimento da Educação – FNDE em cerca de R$ 3,19 bilhões (redução PL);</w:t>
      </w:r>
    </w:p>
    <w:p w:rsidR="00DC0DAE" w:rsidRPr="00DC0DAE" w:rsidRDefault="00DC0DAE" w:rsidP="00DC0DAE">
      <w:pPr>
        <w:pStyle w:val="textojustificado"/>
        <w:jc w:val="both"/>
        <w:rPr>
          <w:rFonts w:asciiTheme="minorHAnsi" w:hAnsiTheme="minorHAnsi" w:cstheme="minorHAnsi"/>
        </w:rPr>
      </w:pPr>
      <w:r w:rsidRPr="00DC0DAE">
        <w:rPr>
          <w:rFonts w:asciiTheme="minorHAnsi" w:hAnsiTheme="minorHAnsi" w:cstheme="minorHAnsi"/>
        </w:rPr>
        <w:t>(g) Ajustes de exercícios anteriores de aproximadamente R$ 2 bilhões na Universidade Federal do Rio Grande do Sul – UFRGS, relativo a Provisão conforme a Portaria Conjunta PGF/STN nº 8/2015 e Ofício nº 28/2016/DEPCONT/PGF/AGU.</w:t>
      </w:r>
    </w:p>
    <w:p w:rsidR="00DC0DAE" w:rsidRPr="00DC0DAE" w:rsidRDefault="00DC0DAE" w:rsidP="00DC0DAE">
      <w:pPr>
        <w:pStyle w:val="textojustificado"/>
        <w:ind w:firstLine="709"/>
        <w:jc w:val="both"/>
        <w:rPr>
          <w:rFonts w:asciiTheme="minorHAnsi" w:hAnsiTheme="minorHAnsi" w:cstheme="minorHAnsi"/>
        </w:rPr>
      </w:pPr>
      <w:r w:rsidRPr="00DC0DAE">
        <w:rPr>
          <w:rFonts w:asciiTheme="minorHAnsi" w:hAnsiTheme="minorHAnsi" w:cstheme="minorHAnsi"/>
        </w:rPr>
        <w:t>No exercício de 2017, a variação total do PL representou uma redução de aproximadamente R$ 398 bilhões negativos. As principais movimentações foram:</w:t>
      </w:r>
    </w:p>
    <w:p w:rsidR="00DC0DAE" w:rsidRPr="00DC0DAE" w:rsidRDefault="00DC0DAE" w:rsidP="00DC0DAE">
      <w:pPr>
        <w:pStyle w:val="textojustificado"/>
        <w:jc w:val="both"/>
        <w:rPr>
          <w:rFonts w:asciiTheme="minorHAnsi" w:hAnsiTheme="minorHAnsi" w:cstheme="minorHAnsi"/>
        </w:rPr>
      </w:pPr>
      <w:r w:rsidRPr="00DC0DAE">
        <w:rPr>
          <w:rFonts w:asciiTheme="minorHAnsi" w:hAnsiTheme="minorHAnsi" w:cstheme="minorHAnsi"/>
        </w:rPr>
        <w:t>(a) Apuração do resultado patrimonial do exercício, cerca de R$ 154 bilhões negativos (redução do PL);</w:t>
      </w:r>
    </w:p>
    <w:p w:rsidR="00DC0DAE" w:rsidRPr="00DC0DAE" w:rsidRDefault="00DC0DAE" w:rsidP="00DC0DAE">
      <w:pPr>
        <w:pStyle w:val="textojustificado"/>
        <w:jc w:val="both"/>
        <w:rPr>
          <w:rFonts w:asciiTheme="minorHAnsi" w:hAnsiTheme="minorHAnsi" w:cstheme="minorHAnsi"/>
        </w:rPr>
      </w:pPr>
      <w:r w:rsidRPr="00DC0DAE">
        <w:rPr>
          <w:rFonts w:asciiTheme="minorHAnsi" w:hAnsiTheme="minorHAnsi" w:cstheme="minorHAnsi"/>
        </w:rPr>
        <w:t>(b) Ajustes de exercícios anteriores, de aproximadamente R$143,1 bilhões, afetando positivamente, referente à incorporação de bens dominicais, efetuada pela Subsecretaria Extraordinária de Regularização Fundiária da Amazônia Legal (</w:t>
      </w:r>
      <w:proofErr w:type="spellStart"/>
      <w:r w:rsidRPr="00DC0DAE">
        <w:rPr>
          <w:rFonts w:asciiTheme="minorHAnsi" w:hAnsiTheme="minorHAnsi" w:cstheme="minorHAnsi"/>
        </w:rPr>
        <w:t>Serfal</w:t>
      </w:r>
      <w:proofErr w:type="spellEnd"/>
      <w:r w:rsidRPr="00DC0DAE">
        <w:rPr>
          <w:rFonts w:asciiTheme="minorHAnsi" w:hAnsiTheme="minorHAnsi" w:cstheme="minorHAnsi"/>
        </w:rPr>
        <w:t>).</w:t>
      </w:r>
    </w:p>
    <w:p w:rsidR="00DC0DAE" w:rsidRPr="00DC0DAE" w:rsidRDefault="00DC0DAE" w:rsidP="00DC0DAE">
      <w:pPr>
        <w:pStyle w:val="textojustificado"/>
        <w:jc w:val="both"/>
        <w:rPr>
          <w:rFonts w:asciiTheme="minorHAnsi" w:hAnsiTheme="minorHAnsi" w:cstheme="minorHAnsi"/>
        </w:rPr>
      </w:pPr>
      <w:r w:rsidRPr="00DC0DAE">
        <w:rPr>
          <w:rFonts w:asciiTheme="minorHAnsi" w:hAnsiTheme="minorHAnsi" w:cstheme="minorHAnsi"/>
        </w:rPr>
        <w:t xml:space="preserve">(c) Ajustes de exercícios anteriores de R$ 44 bilhões, afetando positivamente, referentes à contrapartida da baixa de provisões a longo prazo referentes a ações judiciais com alta probabilidade de perda, de acordo com os valores mensurados na Nota Técnica </w:t>
      </w:r>
      <w:r>
        <w:rPr>
          <w:rFonts w:asciiTheme="minorHAnsi" w:hAnsiTheme="minorHAnsi" w:cstheme="minorHAnsi"/>
        </w:rPr>
        <w:br/>
      </w:r>
      <w:r w:rsidRPr="00DC0DAE">
        <w:rPr>
          <w:rFonts w:asciiTheme="minorHAnsi" w:hAnsiTheme="minorHAnsi" w:cstheme="minorHAnsi"/>
        </w:rPr>
        <w:t>nº 72/2017/PGU/AGU;</w:t>
      </w:r>
    </w:p>
    <w:p w:rsidR="00DC0DAE" w:rsidRPr="00DC0DAE" w:rsidRDefault="00DC0DAE" w:rsidP="00DC0DAE">
      <w:pPr>
        <w:pStyle w:val="textojustificado"/>
        <w:jc w:val="both"/>
        <w:rPr>
          <w:rFonts w:asciiTheme="minorHAnsi" w:hAnsiTheme="minorHAnsi" w:cstheme="minorHAnsi"/>
        </w:rPr>
      </w:pPr>
      <w:r w:rsidRPr="00DC0DAE">
        <w:rPr>
          <w:rFonts w:asciiTheme="minorHAnsi" w:hAnsiTheme="minorHAnsi" w:cstheme="minorHAnsi"/>
        </w:rPr>
        <w:t>(d) Ajuste de exercícios anteriores referentes ao reconhecimento de passivos contingentes classificados como risco provável pela Portaria AGU nº 40/15, no valor de R$ 153 bilhões, afetando negativamente;</w:t>
      </w:r>
    </w:p>
    <w:p w:rsidR="00DC0DAE" w:rsidRPr="00DC0DAE" w:rsidRDefault="00DC0DAE" w:rsidP="00DC0DAE">
      <w:pPr>
        <w:pStyle w:val="textojustificado"/>
        <w:jc w:val="both"/>
        <w:rPr>
          <w:rFonts w:asciiTheme="minorHAnsi" w:hAnsiTheme="minorHAnsi" w:cstheme="minorHAnsi"/>
        </w:rPr>
      </w:pPr>
      <w:r w:rsidRPr="00DC0DAE">
        <w:rPr>
          <w:rFonts w:asciiTheme="minorHAnsi" w:hAnsiTheme="minorHAnsi" w:cstheme="minorHAnsi"/>
        </w:rPr>
        <w:t>(e) Ajustes de exercícios anteriores referentes à atualização dos ajustes para perdas prováveis referentes a créditos tributários de curto prazo, no valor de R$ 23 bilhões, afetando negativamente;</w:t>
      </w:r>
    </w:p>
    <w:p w:rsidR="00DC0DAE" w:rsidRPr="00DC0DAE" w:rsidRDefault="00DC0DAE" w:rsidP="00DC0DAE">
      <w:pPr>
        <w:pStyle w:val="textojustificado"/>
        <w:jc w:val="both"/>
        <w:rPr>
          <w:rFonts w:asciiTheme="minorHAnsi" w:hAnsiTheme="minorHAnsi" w:cstheme="minorHAnsi"/>
        </w:rPr>
      </w:pPr>
      <w:r w:rsidRPr="00DC0DAE">
        <w:rPr>
          <w:rFonts w:asciiTheme="minorHAnsi" w:hAnsiTheme="minorHAnsi" w:cstheme="minorHAnsi"/>
        </w:rPr>
        <w:lastRenderedPageBreak/>
        <w:t>(f) Ajustes de exercícios anteriores, afetando positivamente no valor de R$ 42 bilhões, referentes à baixa de saldo de depósitos compulsórios;</w:t>
      </w:r>
    </w:p>
    <w:p w:rsidR="00DC0DAE" w:rsidRPr="00DC0DAE" w:rsidRDefault="00DC0DAE" w:rsidP="00DC0DAE">
      <w:pPr>
        <w:pStyle w:val="textojustificado"/>
        <w:jc w:val="both"/>
        <w:rPr>
          <w:rFonts w:asciiTheme="minorHAnsi" w:hAnsiTheme="minorHAnsi" w:cstheme="minorHAnsi"/>
        </w:rPr>
      </w:pPr>
      <w:r w:rsidRPr="00DC0DAE">
        <w:rPr>
          <w:rFonts w:asciiTheme="minorHAnsi" w:hAnsiTheme="minorHAnsi" w:cstheme="minorHAnsi"/>
        </w:rPr>
        <w:t>(g) Ajustes de exercícios anteriores no valor de R$ 118 bilhões referentes ao reconhecimento do passivo atuarial relacionado às pensões dos militares, afetando negativamente; e</w:t>
      </w:r>
    </w:p>
    <w:p w:rsidR="008C5234" w:rsidRPr="00DC0DAE" w:rsidRDefault="00DC0DAE" w:rsidP="00DC0DAE">
      <w:pPr>
        <w:pStyle w:val="textojustificado"/>
        <w:jc w:val="both"/>
        <w:rPr>
          <w:rFonts w:asciiTheme="minorHAnsi" w:hAnsiTheme="minorHAnsi" w:cstheme="minorHAnsi"/>
        </w:rPr>
      </w:pPr>
      <w:r w:rsidRPr="00DC0DAE">
        <w:rPr>
          <w:rFonts w:asciiTheme="minorHAnsi" w:hAnsiTheme="minorHAnsi" w:cstheme="minorHAnsi"/>
        </w:rPr>
        <w:t>(h) Ajustes de exercícios anteriores no valor de R$ 131 bilhões referentes à baixa dos adiantamentos de transferências voluntárias e R$ 23 bilhões de baixa de créditos por danos ao patrimônio, afetando negativamente</w:t>
      </w:r>
      <w:bookmarkStart w:id="0" w:name="_GoBack"/>
      <w:bookmarkEnd w:id="0"/>
      <w:r w:rsidRPr="00DC0DAE">
        <w:rPr>
          <w:rFonts w:asciiTheme="minorHAnsi" w:hAnsiTheme="minorHAnsi" w:cstheme="minorHAnsi"/>
        </w:rPr>
        <w:t>.</w:t>
      </w:r>
    </w:p>
    <w:sectPr w:rsidR="008C5234" w:rsidRPr="00DC0DAE" w:rsidSect="00395AED">
      <w:headerReference w:type="default" r:id="rId8"/>
      <w:footerReference w:type="default" r:id="rId9"/>
      <w:headerReference w:type="first" r:id="rId10"/>
      <w:pgSz w:w="11907" w:h="16840" w:code="9"/>
      <w:pgMar w:top="1837" w:right="1134" w:bottom="992" w:left="1701" w:header="1185" w:footer="552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D2BA2" w:rsidRDefault="001D2BA2" w:rsidP="00281B42">
      <w:r>
        <w:separator/>
      </w:r>
    </w:p>
  </w:endnote>
  <w:endnote w:type="continuationSeparator" w:id="0">
    <w:p w:rsidR="001D2BA2" w:rsidRDefault="001D2BA2" w:rsidP="00281B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4701F" w:rsidRPr="00887CAB" w:rsidRDefault="0094701F" w:rsidP="00A60066">
    <w:pPr>
      <w:pStyle w:val="Rodap"/>
      <w:tabs>
        <w:tab w:val="clear" w:pos="8640"/>
        <w:tab w:val="left" w:pos="7767"/>
      </w:tabs>
      <w:rPr>
        <w:rFonts w:ascii="Times New Roman" w:hAnsi="Times New Roman"/>
        <w:sz w:val="12"/>
        <w:szCs w:val="1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D2BA2" w:rsidRDefault="001D2BA2" w:rsidP="00281B42">
      <w:r>
        <w:separator/>
      </w:r>
    </w:p>
  </w:footnote>
  <w:footnote w:type="continuationSeparator" w:id="0">
    <w:p w:rsidR="001D2BA2" w:rsidRDefault="001D2BA2" w:rsidP="00281B4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4701F" w:rsidRPr="001816A6" w:rsidRDefault="006D3D3D" w:rsidP="003C1874">
    <w:pPr>
      <w:tabs>
        <w:tab w:val="center" w:pos="4680"/>
        <w:tab w:val="right" w:pos="9360"/>
      </w:tabs>
      <w:rPr>
        <w:rFonts w:ascii="Times New Roman" w:eastAsiaTheme="minorEastAsia" w:hAnsi="Times New Roman"/>
        <w:i/>
        <w:sz w:val="18"/>
        <w:szCs w:val="18"/>
      </w:rPr>
    </w:pPr>
    <w:r w:rsidRPr="00DC0DAE">
      <w:rPr>
        <w:rFonts w:asciiTheme="minorHAnsi" w:hAnsiTheme="minorHAnsi" w:cstheme="minorHAnsi"/>
        <w:i/>
        <w:sz w:val="18"/>
        <w:szCs w:val="18"/>
        <w:shd w:val="clear" w:color="auto" w:fill="FFFFFF"/>
      </w:rPr>
      <w:t xml:space="preserve">Continuação da </w:t>
    </w:r>
    <w:r w:rsidR="00DC0DAE" w:rsidRPr="00DC0DAE">
      <w:rPr>
        <w:rFonts w:asciiTheme="minorHAnsi" w:hAnsiTheme="minorHAnsi" w:cstheme="minorHAnsi"/>
        <w:i/>
        <w:sz w:val="18"/>
        <w:szCs w:val="18"/>
        <w:shd w:val="clear" w:color="auto" w:fill="FFFFFF"/>
      </w:rPr>
      <w:t>Nota T</w:t>
    </w:r>
    <w:r w:rsidR="00DC0DAE" w:rsidRPr="00DC0DAE">
      <w:rPr>
        <w:rFonts w:asciiTheme="minorHAnsi" w:hAnsiTheme="minorHAnsi" w:cstheme="minorHAnsi"/>
        <w:i/>
        <w:sz w:val="18"/>
        <w:szCs w:val="18"/>
        <w:shd w:val="clear" w:color="auto" w:fill="FFFFFF"/>
      </w:rPr>
      <w:t>écnica SEI nº 3/2018/NUPEF/COPEF/SUPEF/STN-MF</w:t>
    </w:r>
    <w:r w:rsidRPr="00DC0DAE">
      <w:rPr>
        <w:rFonts w:asciiTheme="minorHAnsi" w:eastAsia="Arial" w:hAnsiTheme="minorHAnsi" w:cstheme="minorHAnsi"/>
        <w:i/>
        <w:sz w:val="18"/>
        <w:szCs w:val="18"/>
      </w:rPr>
      <w:t xml:space="preserve">                                                            </w:t>
    </w:r>
    <w:r w:rsidR="0094701F" w:rsidRPr="00DC0DAE">
      <w:rPr>
        <w:rFonts w:asciiTheme="minorHAnsi" w:eastAsiaTheme="minorEastAsia" w:hAnsiTheme="minorHAnsi" w:cstheme="minorHAnsi"/>
        <w:i/>
        <w:sz w:val="18"/>
        <w:szCs w:val="18"/>
      </w:rPr>
      <w:t xml:space="preserve">Página </w:t>
    </w:r>
    <w:r w:rsidR="0094701F" w:rsidRPr="00DC0DAE">
      <w:rPr>
        <w:rFonts w:asciiTheme="minorHAnsi" w:eastAsiaTheme="minorEastAsia" w:hAnsiTheme="minorHAnsi" w:cstheme="minorHAnsi"/>
        <w:i/>
        <w:sz w:val="18"/>
        <w:szCs w:val="18"/>
      </w:rPr>
      <w:fldChar w:fldCharType="begin"/>
    </w:r>
    <w:r w:rsidR="0094701F" w:rsidRPr="00DC0DAE">
      <w:rPr>
        <w:rFonts w:asciiTheme="minorHAnsi" w:eastAsiaTheme="minorEastAsia" w:hAnsiTheme="minorHAnsi" w:cstheme="minorHAnsi"/>
        <w:i/>
        <w:sz w:val="18"/>
        <w:szCs w:val="18"/>
      </w:rPr>
      <w:instrText>PAGE   \* MERGEFORMAT</w:instrText>
    </w:r>
    <w:r w:rsidR="0094701F" w:rsidRPr="00DC0DAE">
      <w:rPr>
        <w:rFonts w:asciiTheme="minorHAnsi" w:eastAsiaTheme="minorEastAsia" w:hAnsiTheme="minorHAnsi" w:cstheme="minorHAnsi"/>
        <w:i/>
        <w:sz w:val="18"/>
        <w:szCs w:val="18"/>
      </w:rPr>
      <w:fldChar w:fldCharType="separate"/>
    </w:r>
    <w:r w:rsidR="00DC0DAE">
      <w:rPr>
        <w:rFonts w:asciiTheme="minorHAnsi" w:eastAsiaTheme="minorEastAsia" w:hAnsiTheme="minorHAnsi" w:cstheme="minorHAnsi"/>
        <w:i/>
        <w:noProof/>
        <w:sz w:val="18"/>
        <w:szCs w:val="18"/>
      </w:rPr>
      <w:t>2</w:t>
    </w:r>
    <w:r w:rsidR="0094701F" w:rsidRPr="00DC0DAE">
      <w:rPr>
        <w:rFonts w:asciiTheme="minorHAnsi" w:eastAsiaTheme="minorEastAsia" w:hAnsiTheme="minorHAnsi" w:cstheme="minorHAnsi"/>
        <w:i/>
        <w:sz w:val="18"/>
        <w:szCs w:val="18"/>
      </w:rPr>
      <w:fldChar w:fldCharType="end"/>
    </w:r>
    <w:r w:rsidR="0094701F" w:rsidRPr="00DC0DAE">
      <w:rPr>
        <w:rFonts w:asciiTheme="minorHAnsi" w:eastAsiaTheme="minorEastAsia" w:hAnsiTheme="minorHAnsi" w:cstheme="minorHAnsi"/>
        <w:i/>
        <w:sz w:val="18"/>
        <w:szCs w:val="18"/>
      </w:rPr>
      <w:t xml:space="preserve"> de </w:t>
    </w:r>
    <w:r w:rsidR="0094701F" w:rsidRPr="00DC0DAE">
      <w:rPr>
        <w:rFonts w:asciiTheme="minorHAnsi" w:eastAsiaTheme="minorEastAsia" w:hAnsiTheme="minorHAnsi" w:cstheme="minorHAnsi"/>
        <w:i/>
        <w:sz w:val="18"/>
        <w:szCs w:val="18"/>
      </w:rPr>
      <w:fldChar w:fldCharType="begin"/>
    </w:r>
    <w:r w:rsidR="0094701F" w:rsidRPr="00DC0DAE">
      <w:rPr>
        <w:rFonts w:asciiTheme="minorHAnsi" w:eastAsiaTheme="minorEastAsia" w:hAnsiTheme="minorHAnsi" w:cstheme="minorHAnsi"/>
        <w:i/>
        <w:sz w:val="18"/>
        <w:szCs w:val="18"/>
      </w:rPr>
      <w:instrText xml:space="preserve"> NUMPAGES   \* MERGEFORMAT </w:instrText>
    </w:r>
    <w:r w:rsidR="0094701F" w:rsidRPr="00DC0DAE">
      <w:rPr>
        <w:rFonts w:asciiTheme="minorHAnsi" w:eastAsiaTheme="minorEastAsia" w:hAnsiTheme="minorHAnsi" w:cstheme="minorHAnsi"/>
        <w:i/>
        <w:sz w:val="18"/>
        <w:szCs w:val="18"/>
      </w:rPr>
      <w:fldChar w:fldCharType="separate"/>
    </w:r>
    <w:r w:rsidR="00DC0DAE">
      <w:rPr>
        <w:rFonts w:asciiTheme="minorHAnsi" w:eastAsiaTheme="minorEastAsia" w:hAnsiTheme="minorHAnsi" w:cstheme="minorHAnsi"/>
        <w:i/>
        <w:noProof/>
        <w:sz w:val="18"/>
        <w:szCs w:val="18"/>
      </w:rPr>
      <w:t>4</w:t>
    </w:r>
    <w:r w:rsidR="0094701F" w:rsidRPr="00DC0DAE">
      <w:rPr>
        <w:rFonts w:asciiTheme="minorHAnsi" w:eastAsiaTheme="minorEastAsia" w:hAnsiTheme="minorHAnsi" w:cstheme="minorHAnsi"/>
        <w:i/>
        <w:sz w:val="18"/>
        <w:szCs w:val="18"/>
      </w:rPr>
      <w:fldChar w:fldCharType="end"/>
    </w:r>
    <w:r w:rsidR="0094701F" w:rsidRPr="00DC0DAE">
      <w:rPr>
        <w:rFonts w:asciiTheme="minorHAnsi" w:eastAsia="Arial" w:hAnsiTheme="minorHAnsi" w:cstheme="minorHAnsi"/>
        <w:i/>
        <w:sz w:val="18"/>
        <w:szCs w:val="18"/>
      </w:rPr>
      <w:t xml:space="preserve">                                                           </w:t>
    </w:r>
    <w:r w:rsidR="0094701F" w:rsidRPr="00DC0DAE">
      <w:rPr>
        <w:rFonts w:asciiTheme="minorHAnsi" w:eastAsiaTheme="minorEastAsia" w:hAnsiTheme="minorHAnsi" w:cstheme="minorHAnsi"/>
        <w:i/>
        <w:sz w:val="18"/>
        <w:szCs w:val="18"/>
      </w:rPr>
      <w:t xml:space="preserve">       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4701F" w:rsidRPr="003C1874" w:rsidRDefault="0094701F" w:rsidP="004E1B05">
    <w:pPr>
      <w:pStyle w:val="Ttulo4"/>
      <w:tabs>
        <w:tab w:val="right" w:pos="9639"/>
      </w:tabs>
      <w:spacing w:line="240" w:lineRule="auto"/>
      <w:rPr>
        <w:rFonts w:ascii="Times New Roman" w:hAnsi="Times New Roman"/>
        <w:b w:val="0"/>
        <w:bCs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476297"/>
    <w:multiLevelType w:val="multilevel"/>
    <w:tmpl w:val="52445DEE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>
    <w:nsid w:val="141804EF"/>
    <w:multiLevelType w:val="hybridMultilevel"/>
    <w:tmpl w:val="0A7236A6"/>
    <w:lvl w:ilvl="0" w:tplc="B87626C6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8A65160"/>
    <w:multiLevelType w:val="hybridMultilevel"/>
    <w:tmpl w:val="4C1A086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EAD793B"/>
    <w:multiLevelType w:val="hybridMultilevel"/>
    <w:tmpl w:val="2A9267B2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01D3BB0"/>
    <w:multiLevelType w:val="hybridMultilevel"/>
    <w:tmpl w:val="39608894"/>
    <w:lvl w:ilvl="0" w:tplc="6CE632EE">
      <w:start w:val="1"/>
      <w:numFmt w:val="decimal"/>
      <w:lvlText w:val="Tabela %1 - 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10C7BA9"/>
    <w:multiLevelType w:val="hybridMultilevel"/>
    <w:tmpl w:val="A734E98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1EC070E"/>
    <w:multiLevelType w:val="multilevel"/>
    <w:tmpl w:val="415CDD08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5543EDF"/>
    <w:multiLevelType w:val="hybridMultilevel"/>
    <w:tmpl w:val="76FC4456"/>
    <w:lvl w:ilvl="0" w:tplc="164017B4">
      <w:start w:val="1"/>
      <w:numFmt w:val="decimal"/>
      <w:lvlText w:val="Tabela %1 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58E76CE"/>
    <w:multiLevelType w:val="hybridMultilevel"/>
    <w:tmpl w:val="88827AA8"/>
    <w:lvl w:ilvl="0" w:tplc="3584918A">
      <w:start w:val="1"/>
      <w:numFmt w:val="decimal"/>
      <w:lvlText w:val="Tabela %1"/>
      <w:lvlJc w:val="center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C457BAD"/>
    <w:multiLevelType w:val="hybridMultilevel"/>
    <w:tmpl w:val="E38ABB6C"/>
    <w:lvl w:ilvl="0" w:tplc="D850F344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 w:val="0"/>
        <w:sz w:val="24"/>
        <w:szCs w:val="24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D9F5D04"/>
    <w:multiLevelType w:val="hybridMultilevel"/>
    <w:tmpl w:val="455C2C58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 w:val="0"/>
        <w:sz w:val="24"/>
        <w:szCs w:val="24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12F27D7"/>
    <w:multiLevelType w:val="multilevel"/>
    <w:tmpl w:val="375C5532"/>
    <w:lvl w:ilvl="0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2">
    <w:nsid w:val="365F0F76"/>
    <w:multiLevelType w:val="hybridMultilevel"/>
    <w:tmpl w:val="9958426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288014A"/>
    <w:multiLevelType w:val="hybridMultilevel"/>
    <w:tmpl w:val="3684D32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A244EBF"/>
    <w:multiLevelType w:val="hybridMultilevel"/>
    <w:tmpl w:val="6C0680F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0BF3C12"/>
    <w:multiLevelType w:val="hybridMultilevel"/>
    <w:tmpl w:val="9A6CA1CC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19B40D5"/>
    <w:multiLevelType w:val="hybridMultilevel"/>
    <w:tmpl w:val="CD38733E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7">
    <w:nsid w:val="64E914AE"/>
    <w:multiLevelType w:val="hybridMultilevel"/>
    <w:tmpl w:val="F1F4B09C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8930DC9"/>
    <w:multiLevelType w:val="hybridMultilevel"/>
    <w:tmpl w:val="906AC612"/>
    <w:lvl w:ilvl="0" w:tplc="5646312A">
      <w:start w:val="20"/>
      <w:numFmt w:val="decimal"/>
      <w:lvlText w:val="%1."/>
      <w:lvlJc w:val="left"/>
      <w:pPr>
        <w:ind w:left="720" w:hanging="360"/>
      </w:pPr>
      <w:rPr>
        <w:rFonts w:eastAsiaTheme="minorHAnsi" w:hint="default"/>
        <w:b w:val="0"/>
        <w:color w:val="auto"/>
        <w:sz w:val="24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54D5659"/>
    <w:multiLevelType w:val="hybridMultilevel"/>
    <w:tmpl w:val="DC6E274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67C4DBF"/>
    <w:multiLevelType w:val="hybridMultilevel"/>
    <w:tmpl w:val="C25E3482"/>
    <w:lvl w:ilvl="0" w:tplc="164017B4">
      <w:start w:val="1"/>
      <w:numFmt w:val="decimal"/>
      <w:lvlText w:val="Tabela %1 -"/>
      <w:lvlJc w:val="left"/>
      <w:pPr>
        <w:ind w:left="14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>
    <w:nsid w:val="78C335CC"/>
    <w:multiLevelType w:val="hybridMultilevel"/>
    <w:tmpl w:val="13F85CAA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A3A569A"/>
    <w:multiLevelType w:val="hybridMultilevel"/>
    <w:tmpl w:val="57CCBB0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CBC1E82"/>
    <w:multiLevelType w:val="hybridMultilevel"/>
    <w:tmpl w:val="1576B2FE"/>
    <w:lvl w:ilvl="0" w:tplc="3584918A">
      <w:start w:val="1"/>
      <w:numFmt w:val="decimal"/>
      <w:lvlText w:val="Tabela %1"/>
      <w:lvlJc w:val="center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CF47AA3"/>
    <w:multiLevelType w:val="hybridMultilevel"/>
    <w:tmpl w:val="57CCBB06"/>
    <w:lvl w:ilvl="0" w:tplc="0416000F">
      <w:start w:val="1"/>
      <w:numFmt w:val="decimal"/>
      <w:lvlText w:val="%1."/>
      <w:lvlJc w:val="left"/>
      <w:pPr>
        <w:ind w:left="107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E7A6CC4"/>
    <w:multiLevelType w:val="hybridMultilevel"/>
    <w:tmpl w:val="D850FED6"/>
    <w:lvl w:ilvl="0" w:tplc="B87626C6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1"/>
  </w:num>
  <w:num w:numId="2">
    <w:abstractNumId w:val="12"/>
  </w:num>
  <w:num w:numId="3">
    <w:abstractNumId w:val="6"/>
  </w:num>
  <w:num w:numId="4">
    <w:abstractNumId w:val="22"/>
  </w:num>
  <w:num w:numId="5">
    <w:abstractNumId w:val="24"/>
  </w:num>
  <w:num w:numId="6">
    <w:abstractNumId w:val="9"/>
  </w:num>
  <w:num w:numId="7">
    <w:abstractNumId w:val="11"/>
  </w:num>
  <w:num w:numId="8">
    <w:abstractNumId w:val="0"/>
  </w:num>
  <w:num w:numId="9">
    <w:abstractNumId w:val="13"/>
  </w:num>
  <w:num w:numId="10">
    <w:abstractNumId w:val="19"/>
  </w:num>
  <w:num w:numId="11">
    <w:abstractNumId w:val="17"/>
  </w:num>
  <w:num w:numId="12">
    <w:abstractNumId w:val="16"/>
  </w:num>
  <w:num w:numId="13">
    <w:abstractNumId w:val="3"/>
  </w:num>
  <w:num w:numId="14">
    <w:abstractNumId w:val="14"/>
  </w:num>
  <w:num w:numId="15">
    <w:abstractNumId w:val="18"/>
  </w:num>
  <w:num w:numId="16">
    <w:abstractNumId w:val="10"/>
  </w:num>
  <w:num w:numId="17">
    <w:abstractNumId w:val="4"/>
  </w:num>
  <w:num w:numId="18">
    <w:abstractNumId w:val="7"/>
  </w:num>
  <w:num w:numId="19">
    <w:abstractNumId w:val="20"/>
  </w:num>
  <w:num w:numId="20">
    <w:abstractNumId w:val="23"/>
  </w:num>
  <w:num w:numId="21">
    <w:abstractNumId w:val="8"/>
  </w:num>
  <w:num w:numId="22">
    <w:abstractNumId w:val="25"/>
  </w:num>
  <w:num w:numId="23">
    <w:abstractNumId w:val="1"/>
  </w:num>
  <w:num w:numId="24">
    <w:abstractNumId w:val="15"/>
  </w:num>
  <w:num w:numId="25">
    <w:abstractNumId w:val="5"/>
  </w:num>
  <w:num w:numId="26">
    <w:abstractNumId w:val="2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pt-BR" w:vendorID="64" w:dllVersion="131078" w:nlCheck="1" w:checkStyle="0"/>
  <w:activeWritingStyle w:appName="MSWord" w:lang="en-US" w:vendorID="64" w:dllVersion="131078" w:nlCheck="1" w:checkStyle="1"/>
  <w:proofState w:spelling="clean" w:grammar="clean"/>
  <w:defaultTabStop w:val="709"/>
  <w:hyphenationZone w:val="425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280C"/>
    <w:rsid w:val="00000B5A"/>
    <w:rsid w:val="0000180D"/>
    <w:rsid w:val="000027DE"/>
    <w:rsid w:val="00004C27"/>
    <w:rsid w:val="000052CD"/>
    <w:rsid w:val="000053FE"/>
    <w:rsid w:val="0000702A"/>
    <w:rsid w:val="00011964"/>
    <w:rsid w:val="00012AEF"/>
    <w:rsid w:val="0001474B"/>
    <w:rsid w:val="00015E8F"/>
    <w:rsid w:val="00015F88"/>
    <w:rsid w:val="00016036"/>
    <w:rsid w:val="00016D08"/>
    <w:rsid w:val="00017A80"/>
    <w:rsid w:val="0002007A"/>
    <w:rsid w:val="0002036C"/>
    <w:rsid w:val="00020D3D"/>
    <w:rsid w:val="00020F29"/>
    <w:rsid w:val="000228A3"/>
    <w:rsid w:val="00024735"/>
    <w:rsid w:val="000250C0"/>
    <w:rsid w:val="00032039"/>
    <w:rsid w:val="00032103"/>
    <w:rsid w:val="000326A1"/>
    <w:rsid w:val="00032CA1"/>
    <w:rsid w:val="00033337"/>
    <w:rsid w:val="000342D3"/>
    <w:rsid w:val="0003536C"/>
    <w:rsid w:val="000371C2"/>
    <w:rsid w:val="00041551"/>
    <w:rsid w:val="00041806"/>
    <w:rsid w:val="0004379E"/>
    <w:rsid w:val="000460EB"/>
    <w:rsid w:val="00054785"/>
    <w:rsid w:val="000606FC"/>
    <w:rsid w:val="00062759"/>
    <w:rsid w:val="00064EC2"/>
    <w:rsid w:val="00064F33"/>
    <w:rsid w:val="0006680F"/>
    <w:rsid w:val="00070F47"/>
    <w:rsid w:val="00072515"/>
    <w:rsid w:val="00072BA9"/>
    <w:rsid w:val="000754AA"/>
    <w:rsid w:val="00080328"/>
    <w:rsid w:val="0008121C"/>
    <w:rsid w:val="00081974"/>
    <w:rsid w:val="000829D0"/>
    <w:rsid w:val="00083A58"/>
    <w:rsid w:val="00083CE9"/>
    <w:rsid w:val="00083D14"/>
    <w:rsid w:val="00083DA2"/>
    <w:rsid w:val="0009041F"/>
    <w:rsid w:val="00090D84"/>
    <w:rsid w:val="00090F26"/>
    <w:rsid w:val="000934BC"/>
    <w:rsid w:val="00095154"/>
    <w:rsid w:val="00096848"/>
    <w:rsid w:val="000A36BB"/>
    <w:rsid w:val="000A4089"/>
    <w:rsid w:val="000A68C6"/>
    <w:rsid w:val="000A6ADA"/>
    <w:rsid w:val="000A7D28"/>
    <w:rsid w:val="000B038B"/>
    <w:rsid w:val="000B0858"/>
    <w:rsid w:val="000B1439"/>
    <w:rsid w:val="000B29B4"/>
    <w:rsid w:val="000B3208"/>
    <w:rsid w:val="000B43A4"/>
    <w:rsid w:val="000B5C9B"/>
    <w:rsid w:val="000B713B"/>
    <w:rsid w:val="000C06C1"/>
    <w:rsid w:val="000C209A"/>
    <w:rsid w:val="000C2D4B"/>
    <w:rsid w:val="000C3A47"/>
    <w:rsid w:val="000C3E15"/>
    <w:rsid w:val="000C4CB4"/>
    <w:rsid w:val="000C6CE2"/>
    <w:rsid w:val="000D1A96"/>
    <w:rsid w:val="000D302A"/>
    <w:rsid w:val="000D35F8"/>
    <w:rsid w:val="000D5855"/>
    <w:rsid w:val="000D7B21"/>
    <w:rsid w:val="000E15A6"/>
    <w:rsid w:val="000E1AAB"/>
    <w:rsid w:val="000E233B"/>
    <w:rsid w:val="000E2DF0"/>
    <w:rsid w:val="000E34BE"/>
    <w:rsid w:val="000E61A0"/>
    <w:rsid w:val="000E77E9"/>
    <w:rsid w:val="000E7DF9"/>
    <w:rsid w:val="000F0230"/>
    <w:rsid w:val="000F0C5B"/>
    <w:rsid w:val="000F128A"/>
    <w:rsid w:val="000F1ADE"/>
    <w:rsid w:val="000F3011"/>
    <w:rsid w:val="000F3A84"/>
    <w:rsid w:val="000F3E20"/>
    <w:rsid w:val="000F5CF5"/>
    <w:rsid w:val="000F727F"/>
    <w:rsid w:val="000F762A"/>
    <w:rsid w:val="00101CEF"/>
    <w:rsid w:val="001050AB"/>
    <w:rsid w:val="0010526F"/>
    <w:rsid w:val="0010557A"/>
    <w:rsid w:val="001057B3"/>
    <w:rsid w:val="00105A1D"/>
    <w:rsid w:val="001065D1"/>
    <w:rsid w:val="001067B3"/>
    <w:rsid w:val="001076CB"/>
    <w:rsid w:val="00107AC2"/>
    <w:rsid w:val="001104A7"/>
    <w:rsid w:val="00111591"/>
    <w:rsid w:val="00112F52"/>
    <w:rsid w:val="00114B64"/>
    <w:rsid w:val="0011544C"/>
    <w:rsid w:val="001154A0"/>
    <w:rsid w:val="001207F1"/>
    <w:rsid w:val="00121965"/>
    <w:rsid w:val="00122191"/>
    <w:rsid w:val="00124CF2"/>
    <w:rsid w:val="00124F52"/>
    <w:rsid w:val="00127ADE"/>
    <w:rsid w:val="001312A1"/>
    <w:rsid w:val="0013133F"/>
    <w:rsid w:val="00133097"/>
    <w:rsid w:val="00133BD2"/>
    <w:rsid w:val="00134146"/>
    <w:rsid w:val="001359B1"/>
    <w:rsid w:val="00135AD5"/>
    <w:rsid w:val="00137476"/>
    <w:rsid w:val="00137588"/>
    <w:rsid w:val="0013799E"/>
    <w:rsid w:val="00142674"/>
    <w:rsid w:val="001427D2"/>
    <w:rsid w:val="00144D87"/>
    <w:rsid w:val="00145F77"/>
    <w:rsid w:val="0014646B"/>
    <w:rsid w:val="0014773F"/>
    <w:rsid w:val="0014785A"/>
    <w:rsid w:val="00147B37"/>
    <w:rsid w:val="00151286"/>
    <w:rsid w:val="0015137E"/>
    <w:rsid w:val="00151BE2"/>
    <w:rsid w:val="0015360B"/>
    <w:rsid w:val="00153A9B"/>
    <w:rsid w:val="00154AB9"/>
    <w:rsid w:val="00156E71"/>
    <w:rsid w:val="00162732"/>
    <w:rsid w:val="001639E6"/>
    <w:rsid w:val="001656B7"/>
    <w:rsid w:val="00165796"/>
    <w:rsid w:val="00165A43"/>
    <w:rsid w:val="00165E84"/>
    <w:rsid w:val="00165FA4"/>
    <w:rsid w:val="00170897"/>
    <w:rsid w:val="001719E8"/>
    <w:rsid w:val="001721C6"/>
    <w:rsid w:val="00173CE0"/>
    <w:rsid w:val="001741DD"/>
    <w:rsid w:val="001752E4"/>
    <w:rsid w:val="00175F70"/>
    <w:rsid w:val="0017670E"/>
    <w:rsid w:val="00177F0F"/>
    <w:rsid w:val="001802E2"/>
    <w:rsid w:val="00180531"/>
    <w:rsid w:val="0018157C"/>
    <w:rsid w:val="00184632"/>
    <w:rsid w:val="00184DBA"/>
    <w:rsid w:val="00191431"/>
    <w:rsid w:val="00193314"/>
    <w:rsid w:val="00194BD9"/>
    <w:rsid w:val="0019506F"/>
    <w:rsid w:val="00195EF5"/>
    <w:rsid w:val="0019698D"/>
    <w:rsid w:val="001A0046"/>
    <w:rsid w:val="001A08CD"/>
    <w:rsid w:val="001A136A"/>
    <w:rsid w:val="001A18F6"/>
    <w:rsid w:val="001A4A56"/>
    <w:rsid w:val="001A6CED"/>
    <w:rsid w:val="001A7B0A"/>
    <w:rsid w:val="001B465C"/>
    <w:rsid w:val="001B661B"/>
    <w:rsid w:val="001B6B54"/>
    <w:rsid w:val="001C014C"/>
    <w:rsid w:val="001C06D8"/>
    <w:rsid w:val="001C3596"/>
    <w:rsid w:val="001C3FCC"/>
    <w:rsid w:val="001C40F3"/>
    <w:rsid w:val="001C67D0"/>
    <w:rsid w:val="001C7FDE"/>
    <w:rsid w:val="001D0AED"/>
    <w:rsid w:val="001D1129"/>
    <w:rsid w:val="001D139D"/>
    <w:rsid w:val="001D153B"/>
    <w:rsid w:val="001D29AE"/>
    <w:rsid w:val="001D2BA2"/>
    <w:rsid w:val="001D362E"/>
    <w:rsid w:val="001D3973"/>
    <w:rsid w:val="001D494A"/>
    <w:rsid w:val="001D5EA5"/>
    <w:rsid w:val="001D79B0"/>
    <w:rsid w:val="001E0677"/>
    <w:rsid w:val="001E07D2"/>
    <w:rsid w:val="001E20FD"/>
    <w:rsid w:val="001E4B66"/>
    <w:rsid w:val="001E5249"/>
    <w:rsid w:val="001E67A7"/>
    <w:rsid w:val="001E6E45"/>
    <w:rsid w:val="001F0593"/>
    <w:rsid w:val="001F0C0D"/>
    <w:rsid w:val="001F1473"/>
    <w:rsid w:val="001F24CD"/>
    <w:rsid w:val="001F268C"/>
    <w:rsid w:val="001F36DA"/>
    <w:rsid w:val="001F461F"/>
    <w:rsid w:val="001F4ED6"/>
    <w:rsid w:val="001F5A2D"/>
    <w:rsid w:val="001F6126"/>
    <w:rsid w:val="001F6210"/>
    <w:rsid w:val="001F787C"/>
    <w:rsid w:val="001F7CB2"/>
    <w:rsid w:val="00200694"/>
    <w:rsid w:val="002032F6"/>
    <w:rsid w:val="002033E8"/>
    <w:rsid w:val="00204EE7"/>
    <w:rsid w:val="002055BC"/>
    <w:rsid w:val="00211C09"/>
    <w:rsid w:val="00211DD7"/>
    <w:rsid w:val="00212B6B"/>
    <w:rsid w:val="00213135"/>
    <w:rsid w:val="0021344C"/>
    <w:rsid w:val="00215452"/>
    <w:rsid w:val="0021738D"/>
    <w:rsid w:val="00220635"/>
    <w:rsid w:val="00220D6F"/>
    <w:rsid w:val="002217CB"/>
    <w:rsid w:val="00222E5D"/>
    <w:rsid w:val="00224DD1"/>
    <w:rsid w:val="00225097"/>
    <w:rsid w:val="00225956"/>
    <w:rsid w:val="00225BDC"/>
    <w:rsid w:val="00225DE8"/>
    <w:rsid w:val="00225EA3"/>
    <w:rsid w:val="00226EA3"/>
    <w:rsid w:val="0023076F"/>
    <w:rsid w:val="0023492E"/>
    <w:rsid w:val="00234C52"/>
    <w:rsid w:val="00234C73"/>
    <w:rsid w:val="00235B00"/>
    <w:rsid w:val="0023629A"/>
    <w:rsid w:val="00240868"/>
    <w:rsid w:val="00241311"/>
    <w:rsid w:val="0024278C"/>
    <w:rsid w:val="00245B93"/>
    <w:rsid w:val="00245EFC"/>
    <w:rsid w:val="002462B1"/>
    <w:rsid w:val="00247F2D"/>
    <w:rsid w:val="0025074F"/>
    <w:rsid w:val="00251AA2"/>
    <w:rsid w:val="00252C57"/>
    <w:rsid w:val="00254944"/>
    <w:rsid w:val="00254BF4"/>
    <w:rsid w:val="00254FA5"/>
    <w:rsid w:val="00260BB6"/>
    <w:rsid w:val="00261EC6"/>
    <w:rsid w:val="00262138"/>
    <w:rsid w:val="00262CA6"/>
    <w:rsid w:val="00262F22"/>
    <w:rsid w:val="002630A7"/>
    <w:rsid w:val="00263553"/>
    <w:rsid w:val="00265E5D"/>
    <w:rsid w:val="002666DF"/>
    <w:rsid w:val="00270BA3"/>
    <w:rsid w:val="0027195F"/>
    <w:rsid w:val="00271D7C"/>
    <w:rsid w:val="00273D0A"/>
    <w:rsid w:val="00273DB3"/>
    <w:rsid w:val="00276FAD"/>
    <w:rsid w:val="00277E0B"/>
    <w:rsid w:val="002803FA"/>
    <w:rsid w:val="00281B42"/>
    <w:rsid w:val="002820D7"/>
    <w:rsid w:val="00282B08"/>
    <w:rsid w:val="00283C9F"/>
    <w:rsid w:val="00283F37"/>
    <w:rsid w:val="00284853"/>
    <w:rsid w:val="0029021B"/>
    <w:rsid w:val="00290B20"/>
    <w:rsid w:val="002915D0"/>
    <w:rsid w:val="00291BC8"/>
    <w:rsid w:val="00292374"/>
    <w:rsid w:val="002944B4"/>
    <w:rsid w:val="002A09E6"/>
    <w:rsid w:val="002A13A4"/>
    <w:rsid w:val="002A1C4F"/>
    <w:rsid w:val="002A3350"/>
    <w:rsid w:val="002A6335"/>
    <w:rsid w:val="002A7560"/>
    <w:rsid w:val="002A764C"/>
    <w:rsid w:val="002A7A37"/>
    <w:rsid w:val="002B28F0"/>
    <w:rsid w:val="002C02B7"/>
    <w:rsid w:val="002C1177"/>
    <w:rsid w:val="002C4DDA"/>
    <w:rsid w:val="002C648B"/>
    <w:rsid w:val="002C6882"/>
    <w:rsid w:val="002D0941"/>
    <w:rsid w:val="002D0C4E"/>
    <w:rsid w:val="002D27D0"/>
    <w:rsid w:val="002D2B23"/>
    <w:rsid w:val="002D5880"/>
    <w:rsid w:val="002D58DB"/>
    <w:rsid w:val="002D5D25"/>
    <w:rsid w:val="002D6263"/>
    <w:rsid w:val="002D6881"/>
    <w:rsid w:val="002E0FDC"/>
    <w:rsid w:val="002E519A"/>
    <w:rsid w:val="002E5863"/>
    <w:rsid w:val="002E5A96"/>
    <w:rsid w:val="002E5F3C"/>
    <w:rsid w:val="002E7567"/>
    <w:rsid w:val="002E7CE8"/>
    <w:rsid w:val="002F169B"/>
    <w:rsid w:val="002F176A"/>
    <w:rsid w:val="002F2960"/>
    <w:rsid w:val="002F2993"/>
    <w:rsid w:val="002F4C6F"/>
    <w:rsid w:val="002F5586"/>
    <w:rsid w:val="002F63CD"/>
    <w:rsid w:val="002F6A40"/>
    <w:rsid w:val="0030070D"/>
    <w:rsid w:val="0030127E"/>
    <w:rsid w:val="00304540"/>
    <w:rsid w:val="00305DCF"/>
    <w:rsid w:val="0031464B"/>
    <w:rsid w:val="00321347"/>
    <w:rsid w:val="00322EFF"/>
    <w:rsid w:val="003238B2"/>
    <w:rsid w:val="003243D3"/>
    <w:rsid w:val="0032533B"/>
    <w:rsid w:val="00326758"/>
    <w:rsid w:val="003300F8"/>
    <w:rsid w:val="003303CF"/>
    <w:rsid w:val="00330663"/>
    <w:rsid w:val="00330C98"/>
    <w:rsid w:val="00330DBE"/>
    <w:rsid w:val="003364E1"/>
    <w:rsid w:val="00340CC6"/>
    <w:rsid w:val="0034727D"/>
    <w:rsid w:val="003505E8"/>
    <w:rsid w:val="00351233"/>
    <w:rsid w:val="00351B4E"/>
    <w:rsid w:val="0035323A"/>
    <w:rsid w:val="00353BBD"/>
    <w:rsid w:val="00355DD9"/>
    <w:rsid w:val="003563F1"/>
    <w:rsid w:val="003567E1"/>
    <w:rsid w:val="003600EE"/>
    <w:rsid w:val="00360AC5"/>
    <w:rsid w:val="00360AF2"/>
    <w:rsid w:val="00362D8F"/>
    <w:rsid w:val="0037074A"/>
    <w:rsid w:val="00371A9A"/>
    <w:rsid w:val="003729FD"/>
    <w:rsid w:val="003741CF"/>
    <w:rsid w:val="00374AAF"/>
    <w:rsid w:val="00375E48"/>
    <w:rsid w:val="00375E87"/>
    <w:rsid w:val="00377990"/>
    <w:rsid w:val="003800A8"/>
    <w:rsid w:val="00381F0A"/>
    <w:rsid w:val="00382610"/>
    <w:rsid w:val="00382711"/>
    <w:rsid w:val="00383C3C"/>
    <w:rsid w:val="00385449"/>
    <w:rsid w:val="003869A8"/>
    <w:rsid w:val="00387EE8"/>
    <w:rsid w:val="00390D93"/>
    <w:rsid w:val="00394985"/>
    <w:rsid w:val="00395AED"/>
    <w:rsid w:val="003961CD"/>
    <w:rsid w:val="003967B2"/>
    <w:rsid w:val="003A2C72"/>
    <w:rsid w:val="003A368F"/>
    <w:rsid w:val="003A54E0"/>
    <w:rsid w:val="003A7285"/>
    <w:rsid w:val="003B0946"/>
    <w:rsid w:val="003B0B4D"/>
    <w:rsid w:val="003B0D82"/>
    <w:rsid w:val="003B1561"/>
    <w:rsid w:val="003B1ECA"/>
    <w:rsid w:val="003B4408"/>
    <w:rsid w:val="003B5EC4"/>
    <w:rsid w:val="003B67B8"/>
    <w:rsid w:val="003C0D1D"/>
    <w:rsid w:val="003C0D72"/>
    <w:rsid w:val="003C12CA"/>
    <w:rsid w:val="003C1874"/>
    <w:rsid w:val="003C1C0E"/>
    <w:rsid w:val="003C2A63"/>
    <w:rsid w:val="003C4862"/>
    <w:rsid w:val="003C4C1E"/>
    <w:rsid w:val="003D209C"/>
    <w:rsid w:val="003D37A1"/>
    <w:rsid w:val="003D44E4"/>
    <w:rsid w:val="003D4903"/>
    <w:rsid w:val="003D4DF0"/>
    <w:rsid w:val="003D613E"/>
    <w:rsid w:val="003D6D1D"/>
    <w:rsid w:val="003D7D72"/>
    <w:rsid w:val="003E0BC2"/>
    <w:rsid w:val="003E137B"/>
    <w:rsid w:val="003E143D"/>
    <w:rsid w:val="003E201F"/>
    <w:rsid w:val="003E265E"/>
    <w:rsid w:val="003E371F"/>
    <w:rsid w:val="003E5B1F"/>
    <w:rsid w:val="003E6CC0"/>
    <w:rsid w:val="003E7D95"/>
    <w:rsid w:val="003F4E18"/>
    <w:rsid w:val="003F571E"/>
    <w:rsid w:val="003F5DB8"/>
    <w:rsid w:val="00400754"/>
    <w:rsid w:val="0041024D"/>
    <w:rsid w:val="004109B8"/>
    <w:rsid w:val="00411A3C"/>
    <w:rsid w:val="0041254A"/>
    <w:rsid w:val="00412B9B"/>
    <w:rsid w:val="00412FF7"/>
    <w:rsid w:val="00413376"/>
    <w:rsid w:val="0041353D"/>
    <w:rsid w:val="00413579"/>
    <w:rsid w:val="004147F6"/>
    <w:rsid w:val="00415559"/>
    <w:rsid w:val="0041601F"/>
    <w:rsid w:val="004169EA"/>
    <w:rsid w:val="00417067"/>
    <w:rsid w:val="004170B0"/>
    <w:rsid w:val="004175A4"/>
    <w:rsid w:val="00422B1F"/>
    <w:rsid w:val="004233F6"/>
    <w:rsid w:val="0042507F"/>
    <w:rsid w:val="004257BF"/>
    <w:rsid w:val="00427688"/>
    <w:rsid w:val="0042793E"/>
    <w:rsid w:val="00430078"/>
    <w:rsid w:val="00430568"/>
    <w:rsid w:val="0043242A"/>
    <w:rsid w:val="00432BF7"/>
    <w:rsid w:val="00433E64"/>
    <w:rsid w:val="0043459F"/>
    <w:rsid w:val="004370E0"/>
    <w:rsid w:val="00437387"/>
    <w:rsid w:val="0043795D"/>
    <w:rsid w:val="00440ED5"/>
    <w:rsid w:val="004426FE"/>
    <w:rsid w:val="004465C8"/>
    <w:rsid w:val="00446841"/>
    <w:rsid w:val="00447D5E"/>
    <w:rsid w:val="00450278"/>
    <w:rsid w:val="0045077D"/>
    <w:rsid w:val="00454A4C"/>
    <w:rsid w:val="0045514A"/>
    <w:rsid w:val="0045630D"/>
    <w:rsid w:val="00460EF9"/>
    <w:rsid w:val="0046160D"/>
    <w:rsid w:val="00461717"/>
    <w:rsid w:val="00461C14"/>
    <w:rsid w:val="0046225F"/>
    <w:rsid w:val="004627EE"/>
    <w:rsid w:val="00462C2F"/>
    <w:rsid w:val="00463E07"/>
    <w:rsid w:val="0046400C"/>
    <w:rsid w:val="0046447F"/>
    <w:rsid w:val="00464C07"/>
    <w:rsid w:val="00465856"/>
    <w:rsid w:val="00466231"/>
    <w:rsid w:val="004668BC"/>
    <w:rsid w:val="00467DA2"/>
    <w:rsid w:val="00470D3A"/>
    <w:rsid w:val="00471461"/>
    <w:rsid w:val="00471AD1"/>
    <w:rsid w:val="00473C7E"/>
    <w:rsid w:val="00475644"/>
    <w:rsid w:val="00477373"/>
    <w:rsid w:val="00477581"/>
    <w:rsid w:val="00480486"/>
    <w:rsid w:val="00481C67"/>
    <w:rsid w:val="00482903"/>
    <w:rsid w:val="00483109"/>
    <w:rsid w:val="0048668F"/>
    <w:rsid w:val="00486CBC"/>
    <w:rsid w:val="00487FF1"/>
    <w:rsid w:val="004904B2"/>
    <w:rsid w:val="0049072A"/>
    <w:rsid w:val="004918B6"/>
    <w:rsid w:val="00493B40"/>
    <w:rsid w:val="00493C6E"/>
    <w:rsid w:val="0049430D"/>
    <w:rsid w:val="004967DE"/>
    <w:rsid w:val="004A08FC"/>
    <w:rsid w:val="004A1F83"/>
    <w:rsid w:val="004A211C"/>
    <w:rsid w:val="004A3893"/>
    <w:rsid w:val="004A578D"/>
    <w:rsid w:val="004A59CE"/>
    <w:rsid w:val="004A7E9D"/>
    <w:rsid w:val="004B1955"/>
    <w:rsid w:val="004B2BD9"/>
    <w:rsid w:val="004B4F08"/>
    <w:rsid w:val="004B5ACD"/>
    <w:rsid w:val="004B5F9A"/>
    <w:rsid w:val="004C05F5"/>
    <w:rsid w:val="004C08F0"/>
    <w:rsid w:val="004C155F"/>
    <w:rsid w:val="004C210C"/>
    <w:rsid w:val="004C2135"/>
    <w:rsid w:val="004C69E1"/>
    <w:rsid w:val="004C6CE5"/>
    <w:rsid w:val="004C6EFD"/>
    <w:rsid w:val="004D0AC2"/>
    <w:rsid w:val="004D4D4A"/>
    <w:rsid w:val="004D4D6A"/>
    <w:rsid w:val="004D617A"/>
    <w:rsid w:val="004E0CFC"/>
    <w:rsid w:val="004E0DBC"/>
    <w:rsid w:val="004E0FB1"/>
    <w:rsid w:val="004E1773"/>
    <w:rsid w:val="004E1B05"/>
    <w:rsid w:val="004E203A"/>
    <w:rsid w:val="004E5554"/>
    <w:rsid w:val="004E71B7"/>
    <w:rsid w:val="004E78CF"/>
    <w:rsid w:val="004F04E3"/>
    <w:rsid w:val="004F1DD7"/>
    <w:rsid w:val="004F2074"/>
    <w:rsid w:val="004F3346"/>
    <w:rsid w:val="004F341F"/>
    <w:rsid w:val="0050205B"/>
    <w:rsid w:val="00502C44"/>
    <w:rsid w:val="00502E9D"/>
    <w:rsid w:val="005034E2"/>
    <w:rsid w:val="00504126"/>
    <w:rsid w:val="005066B2"/>
    <w:rsid w:val="00510237"/>
    <w:rsid w:val="00513484"/>
    <w:rsid w:val="005144A0"/>
    <w:rsid w:val="005157B8"/>
    <w:rsid w:val="0052043D"/>
    <w:rsid w:val="005208A5"/>
    <w:rsid w:val="00521925"/>
    <w:rsid w:val="00521E9B"/>
    <w:rsid w:val="0052275F"/>
    <w:rsid w:val="005258BC"/>
    <w:rsid w:val="00525B25"/>
    <w:rsid w:val="005263C7"/>
    <w:rsid w:val="00527205"/>
    <w:rsid w:val="005328D3"/>
    <w:rsid w:val="00532D7E"/>
    <w:rsid w:val="00534730"/>
    <w:rsid w:val="00536D13"/>
    <w:rsid w:val="00537EF1"/>
    <w:rsid w:val="00537F99"/>
    <w:rsid w:val="005449B1"/>
    <w:rsid w:val="00551413"/>
    <w:rsid w:val="00551E9E"/>
    <w:rsid w:val="00553CC2"/>
    <w:rsid w:val="00555430"/>
    <w:rsid w:val="00556E67"/>
    <w:rsid w:val="00557500"/>
    <w:rsid w:val="00557D33"/>
    <w:rsid w:val="00560AB1"/>
    <w:rsid w:val="00562320"/>
    <w:rsid w:val="0057050C"/>
    <w:rsid w:val="00572DA9"/>
    <w:rsid w:val="00573805"/>
    <w:rsid w:val="00573B9A"/>
    <w:rsid w:val="00577AFD"/>
    <w:rsid w:val="005801AD"/>
    <w:rsid w:val="0058023C"/>
    <w:rsid w:val="00584CAB"/>
    <w:rsid w:val="0058555C"/>
    <w:rsid w:val="005869F7"/>
    <w:rsid w:val="00586CDC"/>
    <w:rsid w:val="00590E46"/>
    <w:rsid w:val="00591CDC"/>
    <w:rsid w:val="00591FD5"/>
    <w:rsid w:val="00592ED6"/>
    <w:rsid w:val="00593EB8"/>
    <w:rsid w:val="005A3873"/>
    <w:rsid w:val="005A65A1"/>
    <w:rsid w:val="005A670D"/>
    <w:rsid w:val="005B0AFA"/>
    <w:rsid w:val="005B0B30"/>
    <w:rsid w:val="005B0D2E"/>
    <w:rsid w:val="005B407F"/>
    <w:rsid w:val="005B41B1"/>
    <w:rsid w:val="005B4DDE"/>
    <w:rsid w:val="005B5D8D"/>
    <w:rsid w:val="005B6463"/>
    <w:rsid w:val="005B7817"/>
    <w:rsid w:val="005B7C7D"/>
    <w:rsid w:val="005C0323"/>
    <w:rsid w:val="005C0348"/>
    <w:rsid w:val="005C492E"/>
    <w:rsid w:val="005C5BA7"/>
    <w:rsid w:val="005C5E79"/>
    <w:rsid w:val="005C604D"/>
    <w:rsid w:val="005D0B1D"/>
    <w:rsid w:val="005D3D18"/>
    <w:rsid w:val="005D4586"/>
    <w:rsid w:val="005E1013"/>
    <w:rsid w:val="005E1CA5"/>
    <w:rsid w:val="005E2420"/>
    <w:rsid w:val="005E2DE3"/>
    <w:rsid w:val="005E37A3"/>
    <w:rsid w:val="005E3D85"/>
    <w:rsid w:val="005E67A4"/>
    <w:rsid w:val="005E71E3"/>
    <w:rsid w:val="005F0116"/>
    <w:rsid w:val="005F0376"/>
    <w:rsid w:val="005F38D0"/>
    <w:rsid w:val="005F48FA"/>
    <w:rsid w:val="005F6D9F"/>
    <w:rsid w:val="005F73EB"/>
    <w:rsid w:val="006009F2"/>
    <w:rsid w:val="006023E9"/>
    <w:rsid w:val="00603474"/>
    <w:rsid w:val="00605763"/>
    <w:rsid w:val="00606ED2"/>
    <w:rsid w:val="006077E3"/>
    <w:rsid w:val="00607F55"/>
    <w:rsid w:val="006101C3"/>
    <w:rsid w:val="00610923"/>
    <w:rsid w:val="006113EE"/>
    <w:rsid w:val="0061438A"/>
    <w:rsid w:val="00615AB2"/>
    <w:rsid w:val="00616595"/>
    <w:rsid w:val="00616757"/>
    <w:rsid w:val="00616FF1"/>
    <w:rsid w:val="00617856"/>
    <w:rsid w:val="00617B39"/>
    <w:rsid w:val="00625963"/>
    <w:rsid w:val="00626F08"/>
    <w:rsid w:val="00627B52"/>
    <w:rsid w:val="00635515"/>
    <w:rsid w:val="00636DF3"/>
    <w:rsid w:val="00637EB9"/>
    <w:rsid w:val="00643236"/>
    <w:rsid w:val="0064350B"/>
    <w:rsid w:val="0064468E"/>
    <w:rsid w:val="00646633"/>
    <w:rsid w:val="00654593"/>
    <w:rsid w:val="006552DD"/>
    <w:rsid w:val="00655713"/>
    <w:rsid w:val="00660220"/>
    <w:rsid w:val="006612D7"/>
    <w:rsid w:val="006615F3"/>
    <w:rsid w:val="00661C7F"/>
    <w:rsid w:val="00664F28"/>
    <w:rsid w:val="00665737"/>
    <w:rsid w:val="0067074D"/>
    <w:rsid w:val="00672A1B"/>
    <w:rsid w:val="006731A6"/>
    <w:rsid w:val="0067371A"/>
    <w:rsid w:val="00673B34"/>
    <w:rsid w:val="00674607"/>
    <w:rsid w:val="0067580B"/>
    <w:rsid w:val="0067605B"/>
    <w:rsid w:val="006765E1"/>
    <w:rsid w:val="00682986"/>
    <w:rsid w:val="0068353C"/>
    <w:rsid w:val="006845CA"/>
    <w:rsid w:val="006845FE"/>
    <w:rsid w:val="0068611A"/>
    <w:rsid w:val="00686709"/>
    <w:rsid w:val="00691B29"/>
    <w:rsid w:val="00691BA5"/>
    <w:rsid w:val="00692F94"/>
    <w:rsid w:val="00694E59"/>
    <w:rsid w:val="00696BBC"/>
    <w:rsid w:val="00696BCE"/>
    <w:rsid w:val="006A1477"/>
    <w:rsid w:val="006A1868"/>
    <w:rsid w:val="006A7079"/>
    <w:rsid w:val="006A7392"/>
    <w:rsid w:val="006B0E40"/>
    <w:rsid w:val="006B0F6C"/>
    <w:rsid w:val="006B2355"/>
    <w:rsid w:val="006B4579"/>
    <w:rsid w:val="006B48C8"/>
    <w:rsid w:val="006C3931"/>
    <w:rsid w:val="006C53F1"/>
    <w:rsid w:val="006C5E93"/>
    <w:rsid w:val="006C5F32"/>
    <w:rsid w:val="006C613F"/>
    <w:rsid w:val="006C6F72"/>
    <w:rsid w:val="006C7152"/>
    <w:rsid w:val="006D03EB"/>
    <w:rsid w:val="006D121B"/>
    <w:rsid w:val="006D1A65"/>
    <w:rsid w:val="006D38CB"/>
    <w:rsid w:val="006D3BB2"/>
    <w:rsid w:val="006D3D3D"/>
    <w:rsid w:val="006D7AC5"/>
    <w:rsid w:val="006E0DFB"/>
    <w:rsid w:val="006E4436"/>
    <w:rsid w:val="006E5922"/>
    <w:rsid w:val="006E5A34"/>
    <w:rsid w:val="006E7BBA"/>
    <w:rsid w:val="006F08F2"/>
    <w:rsid w:val="006F1A07"/>
    <w:rsid w:val="006F2004"/>
    <w:rsid w:val="006F2CC1"/>
    <w:rsid w:val="006F3547"/>
    <w:rsid w:val="006F60E3"/>
    <w:rsid w:val="006F7A5D"/>
    <w:rsid w:val="00700065"/>
    <w:rsid w:val="007019E6"/>
    <w:rsid w:val="00701B22"/>
    <w:rsid w:val="00702F81"/>
    <w:rsid w:val="0070429E"/>
    <w:rsid w:val="0070433E"/>
    <w:rsid w:val="007047EE"/>
    <w:rsid w:val="0070673F"/>
    <w:rsid w:val="00711390"/>
    <w:rsid w:val="0071242A"/>
    <w:rsid w:val="00716458"/>
    <w:rsid w:val="00717608"/>
    <w:rsid w:val="007211BD"/>
    <w:rsid w:val="00722410"/>
    <w:rsid w:val="00722E80"/>
    <w:rsid w:val="0073138D"/>
    <w:rsid w:val="00731EFB"/>
    <w:rsid w:val="007325E4"/>
    <w:rsid w:val="0073327F"/>
    <w:rsid w:val="00737156"/>
    <w:rsid w:val="00746943"/>
    <w:rsid w:val="00747017"/>
    <w:rsid w:val="0075074C"/>
    <w:rsid w:val="00750D95"/>
    <w:rsid w:val="00751577"/>
    <w:rsid w:val="00755731"/>
    <w:rsid w:val="00756A5E"/>
    <w:rsid w:val="00756BBC"/>
    <w:rsid w:val="00756DF7"/>
    <w:rsid w:val="0076083D"/>
    <w:rsid w:val="00762560"/>
    <w:rsid w:val="00762626"/>
    <w:rsid w:val="00764006"/>
    <w:rsid w:val="007654E9"/>
    <w:rsid w:val="00765A7A"/>
    <w:rsid w:val="00765CA6"/>
    <w:rsid w:val="00766448"/>
    <w:rsid w:val="007670C5"/>
    <w:rsid w:val="007673A9"/>
    <w:rsid w:val="007673AF"/>
    <w:rsid w:val="00767C19"/>
    <w:rsid w:val="007711E1"/>
    <w:rsid w:val="0077135F"/>
    <w:rsid w:val="00772279"/>
    <w:rsid w:val="007773BD"/>
    <w:rsid w:val="007811C9"/>
    <w:rsid w:val="00783C3C"/>
    <w:rsid w:val="00785139"/>
    <w:rsid w:val="00785164"/>
    <w:rsid w:val="007873C1"/>
    <w:rsid w:val="00787561"/>
    <w:rsid w:val="00787649"/>
    <w:rsid w:val="00787A3E"/>
    <w:rsid w:val="0079042A"/>
    <w:rsid w:val="00791458"/>
    <w:rsid w:val="0079322D"/>
    <w:rsid w:val="007941F1"/>
    <w:rsid w:val="00794CA5"/>
    <w:rsid w:val="0079594D"/>
    <w:rsid w:val="007A03A8"/>
    <w:rsid w:val="007A2664"/>
    <w:rsid w:val="007A5AF2"/>
    <w:rsid w:val="007B2CBC"/>
    <w:rsid w:val="007B5568"/>
    <w:rsid w:val="007B6B64"/>
    <w:rsid w:val="007C06E7"/>
    <w:rsid w:val="007C0852"/>
    <w:rsid w:val="007C111D"/>
    <w:rsid w:val="007C2D21"/>
    <w:rsid w:val="007C2E26"/>
    <w:rsid w:val="007C305D"/>
    <w:rsid w:val="007C3B67"/>
    <w:rsid w:val="007C4834"/>
    <w:rsid w:val="007C5A80"/>
    <w:rsid w:val="007C5AA5"/>
    <w:rsid w:val="007D297F"/>
    <w:rsid w:val="007D3F07"/>
    <w:rsid w:val="007D5A82"/>
    <w:rsid w:val="007D5D5B"/>
    <w:rsid w:val="007D666B"/>
    <w:rsid w:val="007D66E9"/>
    <w:rsid w:val="007D76F9"/>
    <w:rsid w:val="007D77DB"/>
    <w:rsid w:val="007E0063"/>
    <w:rsid w:val="007E2F33"/>
    <w:rsid w:val="007E3153"/>
    <w:rsid w:val="007E5326"/>
    <w:rsid w:val="007E7B16"/>
    <w:rsid w:val="007F4E50"/>
    <w:rsid w:val="007F52CA"/>
    <w:rsid w:val="007F53C9"/>
    <w:rsid w:val="007F5E0C"/>
    <w:rsid w:val="008009CE"/>
    <w:rsid w:val="00802105"/>
    <w:rsid w:val="00802C74"/>
    <w:rsid w:val="00802CD2"/>
    <w:rsid w:val="0080346A"/>
    <w:rsid w:val="00805031"/>
    <w:rsid w:val="008055F2"/>
    <w:rsid w:val="008076B4"/>
    <w:rsid w:val="0081131A"/>
    <w:rsid w:val="00811E77"/>
    <w:rsid w:val="00815157"/>
    <w:rsid w:val="00817143"/>
    <w:rsid w:val="00817C81"/>
    <w:rsid w:val="008212EA"/>
    <w:rsid w:val="0082235D"/>
    <w:rsid w:val="00823084"/>
    <w:rsid w:val="008261E3"/>
    <w:rsid w:val="0082680E"/>
    <w:rsid w:val="00827C6E"/>
    <w:rsid w:val="00832912"/>
    <w:rsid w:val="008336D0"/>
    <w:rsid w:val="00834D76"/>
    <w:rsid w:val="00835557"/>
    <w:rsid w:val="008364EF"/>
    <w:rsid w:val="00837653"/>
    <w:rsid w:val="0084179D"/>
    <w:rsid w:val="008417D8"/>
    <w:rsid w:val="00841B84"/>
    <w:rsid w:val="00841C07"/>
    <w:rsid w:val="008424E7"/>
    <w:rsid w:val="00843D73"/>
    <w:rsid w:val="00843DDA"/>
    <w:rsid w:val="008472E4"/>
    <w:rsid w:val="00847796"/>
    <w:rsid w:val="00851582"/>
    <w:rsid w:val="00851662"/>
    <w:rsid w:val="00851B79"/>
    <w:rsid w:val="00852207"/>
    <w:rsid w:val="00852A16"/>
    <w:rsid w:val="0086668C"/>
    <w:rsid w:val="008679C5"/>
    <w:rsid w:val="00867C28"/>
    <w:rsid w:val="00867FAC"/>
    <w:rsid w:val="00871ECF"/>
    <w:rsid w:val="0087378B"/>
    <w:rsid w:val="008751BF"/>
    <w:rsid w:val="008758AD"/>
    <w:rsid w:val="008764B8"/>
    <w:rsid w:val="008779DE"/>
    <w:rsid w:val="00881DE6"/>
    <w:rsid w:val="00882200"/>
    <w:rsid w:val="008831BC"/>
    <w:rsid w:val="00883A26"/>
    <w:rsid w:val="008841F3"/>
    <w:rsid w:val="008872D0"/>
    <w:rsid w:val="0088747A"/>
    <w:rsid w:val="00887514"/>
    <w:rsid w:val="00887CAB"/>
    <w:rsid w:val="00890120"/>
    <w:rsid w:val="008921B2"/>
    <w:rsid w:val="008940EE"/>
    <w:rsid w:val="00894CFE"/>
    <w:rsid w:val="00895451"/>
    <w:rsid w:val="00895AC5"/>
    <w:rsid w:val="008A2582"/>
    <w:rsid w:val="008A2F9A"/>
    <w:rsid w:val="008A2FBF"/>
    <w:rsid w:val="008A31A3"/>
    <w:rsid w:val="008A5939"/>
    <w:rsid w:val="008A597E"/>
    <w:rsid w:val="008B0AF1"/>
    <w:rsid w:val="008B157D"/>
    <w:rsid w:val="008B188C"/>
    <w:rsid w:val="008B52AA"/>
    <w:rsid w:val="008B7F72"/>
    <w:rsid w:val="008C1F92"/>
    <w:rsid w:val="008C2533"/>
    <w:rsid w:val="008C5234"/>
    <w:rsid w:val="008C632D"/>
    <w:rsid w:val="008C6C05"/>
    <w:rsid w:val="008D0969"/>
    <w:rsid w:val="008D1470"/>
    <w:rsid w:val="008D166F"/>
    <w:rsid w:val="008D4A35"/>
    <w:rsid w:val="008D4BC6"/>
    <w:rsid w:val="008D6A7A"/>
    <w:rsid w:val="008D7A50"/>
    <w:rsid w:val="008D7AB9"/>
    <w:rsid w:val="008E02D2"/>
    <w:rsid w:val="008E1CB3"/>
    <w:rsid w:val="008E1DF9"/>
    <w:rsid w:val="008E2831"/>
    <w:rsid w:val="008E2FDD"/>
    <w:rsid w:val="008E3B89"/>
    <w:rsid w:val="008E4F8A"/>
    <w:rsid w:val="008F109D"/>
    <w:rsid w:val="008F58CB"/>
    <w:rsid w:val="008F6045"/>
    <w:rsid w:val="009001BB"/>
    <w:rsid w:val="00902B7C"/>
    <w:rsid w:val="009065BE"/>
    <w:rsid w:val="009078F2"/>
    <w:rsid w:val="00907984"/>
    <w:rsid w:val="00907C7D"/>
    <w:rsid w:val="00912781"/>
    <w:rsid w:val="00912787"/>
    <w:rsid w:val="00912FA3"/>
    <w:rsid w:val="00913749"/>
    <w:rsid w:val="0091400E"/>
    <w:rsid w:val="00915723"/>
    <w:rsid w:val="00915BFD"/>
    <w:rsid w:val="00916AC3"/>
    <w:rsid w:val="00917501"/>
    <w:rsid w:val="00917D08"/>
    <w:rsid w:val="00920B01"/>
    <w:rsid w:val="00920DEC"/>
    <w:rsid w:val="0092107D"/>
    <w:rsid w:val="00921C55"/>
    <w:rsid w:val="00925191"/>
    <w:rsid w:val="0092530D"/>
    <w:rsid w:val="009264F6"/>
    <w:rsid w:val="00931466"/>
    <w:rsid w:val="00933221"/>
    <w:rsid w:val="00934304"/>
    <w:rsid w:val="00934D0C"/>
    <w:rsid w:val="0094019C"/>
    <w:rsid w:val="0094156D"/>
    <w:rsid w:val="009422AA"/>
    <w:rsid w:val="00942E9D"/>
    <w:rsid w:val="00944CB8"/>
    <w:rsid w:val="00945DF4"/>
    <w:rsid w:val="00946947"/>
    <w:rsid w:val="00946A17"/>
    <w:rsid w:val="0094701F"/>
    <w:rsid w:val="0095068A"/>
    <w:rsid w:val="009516CA"/>
    <w:rsid w:val="009522A2"/>
    <w:rsid w:val="00953863"/>
    <w:rsid w:val="009538B9"/>
    <w:rsid w:val="0095649C"/>
    <w:rsid w:val="00956CD5"/>
    <w:rsid w:val="00961ED7"/>
    <w:rsid w:val="00963415"/>
    <w:rsid w:val="0096543D"/>
    <w:rsid w:val="00966BBE"/>
    <w:rsid w:val="009700C7"/>
    <w:rsid w:val="00970B6B"/>
    <w:rsid w:val="00972861"/>
    <w:rsid w:val="00972952"/>
    <w:rsid w:val="009747FA"/>
    <w:rsid w:val="00976AF7"/>
    <w:rsid w:val="00980703"/>
    <w:rsid w:val="00981523"/>
    <w:rsid w:val="009821BC"/>
    <w:rsid w:val="00985D37"/>
    <w:rsid w:val="0098713B"/>
    <w:rsid w:val="00987388"/>
    <w:rsid w:val="00990B9C"/>
    <w:rsid w:val="00993909"/>
    <w:rsid w:val="00995A88"/>
    <w:rsid w:val="009973D6"/>
    <w:rsid w:val="00997528"/>
    <w:rsid w:val="00997DEE"/>
    <w:rsid w:val="009A0ECF"/>
    <w:rsid w:val="009A120F"/>
    <w:rsid w:val="009A3688"/>
    <w:rsid w:val="009A3883"/>
    <w:rsid w:val="009A6247"/>
    <w:rsid w:val="009A67D0"/>
    <w:rsid w:val="009A6E4A"/>
    <w:rsid w:val="009A7080"/>
    <w:rsid w:val="009A7B2E"/>
    <w:rsid w:val="009B0626"/>
    <w:rsid w:val="009B11AA"/>
    <w:rsid w:val="009B213F"/>
    <w:rsid w:val="009B286E"/>
    <w:rsid w:val="009B2B13"/>
    <w:rsid w:val="009B323A"/>
    <w:rsid w:val="009B4008"/>
    <w:rsid w:val="009B47B6"/>
    <w:rsid w:val="009B5645"/>
    <w:rsid w:val="009B714D"/>
    <w:rsid w:val="009B7C55"/>
    <w:rsid w:val="009C009C"/>
    <w:rsid w:val="009C37FD"/>
    <w:rsid w:val="009C3926"/>
    <w:rsid w:val="009C3BDF"/>
    <w:rsid w:val="009C431A"/>
    <w:rsid w:val="009C4FE5"/>
    <w:rsid w:val="009C5473"/>
    <w:rsid w:val="009C666C"/>
    <w:rsid w:val="009D2FBD"/>
    <w:rsid w:val="009D3FDC"/>
    <w:rsid w:val="009D4614"/>
    <w:rsid w:val="009D4B0B"/>
    <w:rsid w:val="009D4F8C"/>
    <w:rsid w:val="009D6B36"/>
    <w:rsid w:val="009E0A54"/>
    <w:rsid w:val="009E2A65"/>
    <w:rsid w:val="009E2B48"/>
    <w:rsid w:val="009E2C70"/>
    <w:rsid w:val="009E3D43"/>
    <w:rsid w:val="009E5942"/>
    <w:rsid w:val="009F1702"/>
    <w:rsid w:val="009F240B"/>
    <w:rsid w:val="009F33FD"/>
    <w:rsid w:val="009F36BD"/>
    <w:rsid w:val="009F4E60"/>
    <w:rsid w:val="009F6C7D"/>
    <w:rsid w:val="009F6D09"/>
    <w:rsid w:val="00A00A34"/>
    <w:rsid w:val="00A01AD6"/>
    <w:rsid w:val="00A024B8"/>
    <w:rsid w:val="00A05496"/>
    <w:rsid w:val="00A05BEF"/>
    <w:rsid w:val="00A05EB9"/>
    <w:rsid w:val="00A065F9"/>
    <w:rsid w:val="00A06EFE"/>
    <w:rsid w:val="00A079C2"/>
    <w:rsid w:val="00A11E9A"/>
    <w:rsid w:val="00A13179"/>
    <w:rsid w:val="00A135C5"/>
    <w:rsid w:val="00A13D4E"/>
    <w:rsid w:val="00A153A1"/>
    <w:rsid w:val="00A161BC"/>
    <w:rsid w:val="00A246BA"/>
    <w:rsid w:val="00A24710"/>
    <w:rsid w:val="00A277E4"/>
    <w:rsid w:val="00A3166C"/>
    <w:rsid w:val="00A319C8"/>
    <w:rsid w:val="00A32074"/>
    <w:rsid w:val="00A3377F"/>
    <w:rsid w:val="00A35D98"/>
    <w:rsid w:val="00A3652C"/>
    <w:rsid w:val="00A3692B"/>
    <w:rsid w:val="00A40589"/>
    <w:rsid w:val="00A410A2"/>
    <w:rsid w:val="00A42551"/>
    <w:rsid w:val="00A42D59"/>
    <w:rsid w:val="00A4325A"/>
    <w:rsid w:val="00A43AE7"/>
    <w:rsid w:val="00A43F91"/>
    <w:rsid w:val="00A44A27"/>
    <w:rsid w:val="00A47E36"/>
    <w:rsid w:val="00A509CC"/>
    <w:rsid w:val="00A51844"/>
    <w:rsid w:val="00A518BF"/>
    <w:rsid w:val="00A51D56"/>
    <w:rsid w:val="00A534BF"/>
    <w:rsid w:val="00A554A8"/>
    <w:rsid w:val="00A55C02"/>
    <w:rsid w:val="00A563BF"/>
    <w:rsid w:val="00A56876"/>
    <w:rsid w:val="00A60066"/>
    <w:rsid w:val="00A609F4"/>
    <w:rsid w:val="00A60D2F"/>
    <w:rsid w:val="00A61EC9"/>
    <w:rsid w:val="00A63812"/>
    <w:rsid w:val="00A64F6E"/>
    <w:rsid w:val="00A651F4"/>
    <w:rsid w:val="00A66E72"/>
    <w:rsid w:val="00A72852"/>
    <w:rsid w:val="00A73E17"/>
    <w:rsid w:val="00A73FC6"/>
    <w:rsid w:val="00A7571F"/>
    <w:rsid w:val="00A76BD7"/>
    <w:rsid w:val="00A77212"/>
    <w:rsid w:val="00A77669"/>
    <w:rsid w:val="00A80266"/>
    <w:rsid w:val="00A84167"/>
    <w:rsid w:val="00A857DC"/>
    <w:rsid w:val="00A85CCA"/>
    <w:rsid w:val="00A87D22"/>
    <w:rsid w:val="00A909A5"/>
    <w:rsid w:val="00A928CF"/>
    <w:rsid w:val="00A95043"/>
    <w:rsid w:val="00A9727D"/>
    <w:rsid w:val="00A97C09"/>
    <w:rsid w:val="00AA0E24"/>
    <w:rsid w:val="00AA3B88"/>
    <w:rsid w:val="00AA4961"/>
    <w:rsid w:val="00AA4E38"/>
    <w:rsid w:val="00AB03AE"/>
    <w:rsid w:val="00AB113A"/>
    <w:rsid w:val="00AB28C5"/>
    <w:rsid w:val="00AB33F0"/>
    <w:rsid w:val="00AB4D69"/>
    <w:rsid w:val="00AB4E20"/>
    <w:rsid w:val="00AB74A4"/>
    <w:rsid w:val="00AC05BF"/>
    <w:rsid w:val="00AC19B4"/>
    <w:rsid w:val="00AC1BC6"/>
    <w:rsid w:val="00AC26E2"/>
    <w:rsid w:val="00AC537D"/>
    <w:rsid w:val="00AD1A87"/>
    <w:rsid w:val="00AD2896"/>
    <w:rsid w:val="00AD2C2E"/>
    <w:rsid w:val="00AD3B10"/>
    <w:rsid w:val="00AD5023"/>
    <w:rsid w:val="00AD62D6"/>
    <w:rsid w:val="00AD79E6"/>
    <w:rsid w:val="00AE157C"/>
    <w:rsid w:val="00AE1856"/>
    <w:rsid w:val="00AE3106"/>
    <w:rsid w:val="00AE32DB"/>
    <w:rsid w:val="00AE4263"/>
    <w:rsid w:val="00AE4EDC"/>
    <w:rsid w:val="00AE4EF0"/>
    <w:rsid w:val="00AE6407"/>
    <w:rsid w:val="00AE641A"/>
    <w:rsid w:val="00AE65F8"/>
    <w:rsid w:val="00AF0163"/>
    <w:rsid w:val="00AF09C9"/>
    <w:rsid w:val="00AF1753"/>
    <w:rsid w:val="00AF2005"/>
    <w:rsid w:val="00AF24AC"/>
    <w:rsid w:val="00AF2620"/>
    <w:rsid w:val="00AF2AF9"/>
    <w:rsid w:val="00AF3D8A"/>
    <w:rsid w:val="00AF49EC"/>
    <w:rsid w:val="00AF4F84"/>
    <w:rsid w:val="00AF50F3"/>
    <w:rsid w:val="00AF51A4"/>
    <w:rsid w:val="00AF55FB"/>
    <w:rsid w:val="00B00F27"/>
    <w:rsid w:val="00B01586"/>
    <w:rsid w:val="00B0255C"/>
    <w:rsid w:val="00B02884"/>
    <w:rsid w:val="00B02DF2"/>
    <w:rsid w:val="00B03848"/>
    <w:rsid w:val="00B0432E"/>
    <w:rsid w:val="00B04916"/>
    <w:rsid w:val="00B07456"/>
    <w:rsid w:val="00B07A7E"/>
    <w:rsid w:val="00B07F5B"/>
    <w:rsid w:val="00B10988"/>
    <w:rsid w:val="00B12B67"/>
    <w:rsid w:val="00B13571"/>
    <w:rsid w:val="00B13A30"/>
    <w:rsid w:val="00B14F00"/>
    <w:rsid w:val="00B151EE"/>
    <w:rsid w:val="00B1531D"/>
    <w:rsid w:val="00B169C4"/>
    <w:rsid w:val="00B17114"/>
    <w:rsid w:val="00B17152"/>
    <w:rsid w:val="00B17191"/>
    <w:rsid w:val="00B1742B"/>
    <w:rsid w:val="00B22CE3"/>
    <w:rsid w:val="00B25287"/>
    <w:rsid w:val="00B271B4"/>
    <w:rsid w:val="00B272ED"/>
    <w:rsid w:val="00B30682"/>
    <w:rsid w:val="00B312EB"/>
    <w:rsid w:val="00B3154C"/>
    <w:rsid w:val="00B3311D"/>
    <w:rsid w:val="00B36393"/>
    <w:rsid w:val="00B3664A"/>
    <w:rsid w:val="00B36D85"/>
    <w:rsid w:val="00B42A6D"/>
    <w:rsid w:val="00B43591"/>
    <w:rsid w:val="00B45B9B"/>
    <w:rsid w:val="00B46E6E"/>
    <w:rsid w:val="00B52725"/>
    <w:rsid w:val="00B533D4"/>
    <w:rsid w:val="00B5444D"/>
    <w:rsid w:val="00B565AE"/>
    <w:rsid w:val="00B64A3E"/>
    <w:rsid w:val="00B651F3"/>
    <w:rsid w:val="00B65746"/>
    <w:rsid w:val="00B65E84"/>
    <w:rsid w:val="00B67124"/>
    <w:rsid w:val="00B67C7B"/>
    <w:rsid w:val="00B67C8D"/>
    <w:rsid w:val="00B67F95"/>
    <w:rsid w:val="00B70C28"/>
    <w:rsid w:val="00B70EBE"/>
    <w:rsid w:val="00B71E83"/>
    <w:rsid w:val="00B72DF3"/>
    <w:rsid w:val="00B73682"/>
    <w:rsid w:val="00B74293"/>
    <w:rsid w:val="00B759A1"/>
    <w:rsid w:val="00B81672"/>
    <w:rsid w:val="00B819C8"/>
    <w:rsid w:val="00B82BAD"/>
    <w:rsid w:val="00B8422B"/>
    <w:rsid w:val="00B869C5"/>
    <w:rsid w:val="00B86EF2"/>
    <w:rsid w:val="00B8788C"/>
    <w:rsid w:val="00B9078E"/>
    <w:rsid w:val="00B90FA4"/>
    <w:rsid w:val="00B9144C"/>
    <w:rsid w:val="00B92261"/>
    <w:rsid w:val="00B93DAB"/>
    <w:rsid w:val="00B955E6"/>
    <w:rsid w:val="00B96467"/>
    <w:rsid w:val="00B977C8"/>
    <w:rsid w:val="00BA11E9"/>
    <w:rsid w:val="00BA30A8"/>
    <w:rsid w:val="00BA31C7"/>
    <w:rsid w:val="00BA3509"/>
    <w:rsid w:val="00BA3EF6"/>
    <w:rsid w:val="00BA44C1"/>
    <w:rsid w:val="00BA62DA"/>
    <w:rsid w:val="00BA6317"/>
    <w:rsid w:val="00BA7055"/>
    <w:rsid w:val="00BB13EA"/>
    <w:rsid w:val="00BB1661"/>
    <w:rsid w:val="00BB192D"/>
    <w:rsid w:val="00BB4ED4"/>
    <w:rsid w:val="00BB58BA"/>
    <w:rsid w:val="00BB590E"/>
    <w:rsid w:val="00BB776B"/>
    <w:rsid w:val="00BB7EB3"/>
    <w:rsid w:val="00BC02F3"/>
    <w:rsid w:val="00BC0562"/>
    <w:rsid w:val="00BC0750"/>
    <w:rsid w:val="00BC0A0B"/>
    <w:rsid w:val="00BC7B11"/>
    <w:rsid w:val="00BD139D"/>
    <w:rsid w:val="00BD1F95"/>
    <w:rsid w:val="00BD4908"/>
    <w:rsid w:val="00BE36AF"/>
    <w:rsid w:val="00BE3899"/>
    <w:rsid w:val="00BE4119"/>
    <w:rsid w:val="00BE48B1"/>
    <w:rsid w:val="00BE6A11"/>
    <w:rsid w:val="00BE6FF2"/>
    <w:rsid w:val="00BE77F1"/>
    <w:rsid w:val="00BF03DA"/>
    <w:rsid w:val="00BF2EAB"/>
    <w:rsid w:val="00BF38D5"/>
    <w:rsid w:val="00BF4233"/>
    <w:rsid w:val="00BF4371"/>
    <w:rsid w:val="00BF4CAB"/>
    <w:rsid w:val="00BF597E"/>
    <w:rsid w:val="00BF68CD"/>
    <w:rsid w:val="00C01C6C"/>
    <w:rsid w:val="00C0365C"/>
    <w:rsid w:val="00C04334"/>
    <w:rsid w:val="00C0526C"/>
    <w:rsid w:val="00C072B6"/>
    <w:rsid w:val="00C076D2"/>
    <w:rsid w:val="00C10813"/>
    <w:rsid w:val="00C1243E"/>
    <w:rsid w:val="00C1280C"/>
    <w:rsid w:val="00C1400C"/>
    <w:rsid w:val="00C17B7B"/>
    <w:rsid w:val="00C2039F"/>
    <w:rsid w:val="00C22876"/>
    <w:rsid w:val="00C22EA8"/>
    <w:rsid w:val="00C236D6"/>
    <w:rsid w:val="00C247AC"/>
    <w:rsid w:val="00C252FF"/>
    <w:rsid w:val="00C25F66"/>
    <w:rsid w:val="00C30F18"/>
    <w:rsid w:val="00C31F5B"/>
    <w:rsid w:val="00C34ED9"/>
    <w:rsid w:val="00C3550C"/>
    <w:rsid w:val="00C358F0"/>
    <w:rsid w:val="00C364E7"/>
    <w:rsid w:val="00C40BBF"/>
    <w:rsid w:val="00C4124A"/>
    <w:rsid w:val="00C422A9"/>
    <w:rsid w:val="00C43EE4"/>
    <w:rsid w:val="00C44289"/>
    <w:rsid w:val="00C461EC"/>
    <w:rsid w:val="00C4769B"/>
    <w:rsid w:val="00C518DE"/>
    <w:rsid w:val="00C528B0"/>
    <w:rsid w:val="00C55A0C"/>
    <w:rsid w:val="00C566E5"/>
    <w:rsid w:val="00C61092"/>
    <w:rsid w:val="00C6168F"/>
    <w:rsid w:val="00C61EA9"/>
    <w:rsid w:val="00C62F2A"/>
    <w:rsid w:val="00C636B5"/>
    <w:rsid w:val="00C646CA"/>
    <w:rsid w:val="00C64F44"/>
    <w:rsid w:val="00C65010"/>
    <w:rsid w:val="00C70B51"/>
    <w:rsid w:val="00C713B9"/>
    <w:rsid w:val="00C72936"/>
    <w:rsid w:val="00C730CA"/>
    <w:rsid w:val="00C735AF"/>
    <w:rsid w:val="00C75C6C"/>
    <w:rsid w:val="00C807E0"/>
    <w:rsid w:val="00C80B0E"/>
    <w:rsid w:val="00C823F6"/>
    <w:rsid w:val="00C83C31"/>
    <w:rsid w:val="00C83F9E"/>
    <w:rsid w:val="00C8581F"/>
    <w:rsid w:val="00C878F8"/>
    <w:rsid w:val="00C8795C"/>
    <w:rsid w:val="00C87CF0"/>
    <w:rsid w:val="00C91EE3"/>
    <w:rsid w:val="00CA1540"/>
    <w:rsid w:val="00CA2CBC"/>
    <w:rsid w:val="00CA3989"/>
    <w:rsid w:val="00CA4238"/>
    <w:rsid w:val="00CA4A3C"/>
    <w:rsid w:val="00CA4CFA"/>
    <w:rsid w:val="00CA5656"/>
    <w:rsid w:val="00CA6C56"/>
    <w:rsid w:val="00CB012E"/>
    <w:rsid w:val="00CB075B"/>
    <w:rsid w:val="00CB0777"/>
    <w:rsid w:val="00CB41F5"/>
    <w:rsid w:val="00CB6323"/>
    <w:rsid w:val="00CB65E4"/>
    <w:rsid w:val="00CB6C02"/>
    <w:rsid w:val="00CB7553"/>
    <w:rsid w:val="00CB7564"/>
    <w:rsid w:val="00CC12D9"/>
    <w:rsid w:val="00CC1D9B"/>
    <w:rsid w:val="00CC35F5"/>
    <w:rsid w:val="00CC63AE"/>
    <w:rsid w:val="00CC671C"/>
    <w:rsid w:val="00CC6EF2"/>
    <w:rsid w:val="00CC7B05"/>
    <w:rsid w:val="00CD0383"/>
    <w:rsid w:val="00CD03B0"/>
    <w:rsid w:val="00CD117D"/>
    <w:rsid w:val="00CD27A3"/>
    <w:rsid w:val="00CD27A7"/>
    <w:rsid w:val="00CD37BD"/>
    <w:rsid w:val="00CD5480"/>
    <w:rsid w:val="00CD5894"/>
    <w:rsid w:val="00CD58EE"/>
    <w:rsid w:val="00CD7E24"/>
    <w:rsid w:val="00CE0272"/>
    <w:rsid w:val="00CE291D"/>
    <w:rsid w:val="00CE2E9A"/>
    <w:rsid w:val="00CE3C60"/>
    <w:rsid w:val="00CE5699"/>
    <w:rsid w:val="00CE7022"/>
    <w:rsid w:val="00CF085A"/>
    <w:rsid w:val="00CF12AA"/>
    <w:rsid w:val="00CF1E0C"/>
    <w:rsid w:val="00CF2E92"/>
    <w:rsid w:val="00CF39B6"/>
    <w:rsid w:val="00CF67F7"/>
    <w:rsid w:val="00CF7408"/>
    <w:rsid w:val="00D01414"/>
    <w:rsid w:val="00D03EF2"/>
    <w:rsid w:val="00D0519C"/>
    <w:rsid w:val="00D10E32"/>
    <w:rsid w:val="00D1293E"/>
    <w:rsid w:val="00D20296"/>
    <w:rsid w:val="00D22582"/>
    <w:rsid w:val="00D22B2B"/>
    <w:rsid w:val="00D22EBF"/>
    <w:rsid w:val="00D23B91"/>
    <w:rsid w:val="00D245FB"/>
    <w:rsid w:val="00D25D70"/>
    <w:rsid w:val="00D2637B"/>
    <w:rsid w:val="00D26B43"/>
    <w:rsid w:val="00D26BDF"/>
    <w:rsid w:val="00D3149E"/>
    <w:rsid w:val="00D314F8"/>
    <w:rsid w:val="00D32B29"/>
    <w:rsid w:val="00D34150"/>
    <w:rsid w:val="00D3524E"/>
    <w:rsid w:val="00D35CA6"/>
    <w:rsid w:val="00D3708F"/>
    <w:rsid w:val="00D37CFF"/>
    <w:rsid w:val="00D41397"/>
    <w:rsid w:val="00D44D76"/>
    <w:rsid w:val="00D468D0"/>
    <w:rsid w:val="00D46D05"/>
    <w:rsid w:val="00D513B9"/>
    <w:rsid w:val="00D5550A"/>
    <w:rsid w:val="00D57B6E"/>
    <w:rsid w:val="00D60A09"/>
    <w:rsid w:val="00D60DB4"/>
    <w:rsid w:val="00D654DE"/>
    <w:rsid w:val="00D72778"/>
    <w:rsid w:val="00D72E28"/>
    <w:rsid w:val="00D72EF2"/>
    <w:rsid w:val="00D7380F"/>
    <w:rsid w:val="00D74C75"/>
    <w:rsid w:val="00D74CE9"/>
    <w:rsid w:val="00D75445"/>
    <w:rsid w:val="00D75EEF"/>
    <w:rsid w:val="00D761B6"/>
    <w:rsid w:val="00D764B9"/>
    <w:rsid w:val="00D81FF5"/>
    <w:rsid w:val="00D82FFD"/>
    <w:rsid w:val="00D83119"/>
    <w:rsid w:val="00D83999"/>
    <w:rsid w:val="00D84397"/>
    <w:rsid w:val="00D853A3"/>
    <w:rsid w:val="00D86615"/>
    <w:rsid w:val="00D87A7A"/>
    <w:rsid w:val="00D90659"/>
    <w:rsid w:val="00D90ACC"/>
    <w:rsid w:val="00D90DC3"/>
    <w:rsid w:val="00D91A6D"/>
    <w:rsid w:val="00D93AD6"/>
    <w:rsid w:val="00D94BFA"/>
    <w:rsid w:val="00DA1409"/>
    <w:rsid w:val="00DA268D"/>
    <w:rsid w:val="00DA2B93"/>
    <w:rsid w:val="00DA2FD1"/>
    <w:rsid w:val="00DA383E"/>
    <w:rsid w:val="00DA57B5"/>
    <w:rsid w:val="00DA6BD7"/>
    <w:rsid w:val="00DA7E44"/>
    <w:rsid w:val="00DB25ED"/>
    <w:rsid w:val="00DB309B"/>
    <w:rsid w:val="00DB384B"/>
    <w:rsid w:val="00DB422B"/>
    <w:rsid w:val="00DB5175"/>
    <w:rsid w:val="00DB6CED"/>
    <w:rsid w:val="00DB7817"/>
    <w:rsid w:val="00DC0DAE"/>
    <w:rsid w:val="00DC1D34"/>
    <w:rsid w:val="00DC1D80"/>
    <w:rsid w:val="00DC2BAB"/>
    <w:rsid w:val="00DC34B5"/>
    <w:rsid w:val="00DC3CEC"/>
    <w:rsid w:val="00DC4233"/>
    <w:rsid w:val="00DC44CF"/>
    <w:rsid w:val="00DC47D4"/>
    <w:rsid w:val="00DC4B37"/>
    <w:rsid w:val="00DC4D86"/>
    <w:rsid w:val="00DC6341"/>
    <w:rsid w:val="00DC6741"/>
    <w:rsid w:val="00DD03D8"/>
    <w:rsid w:val="00DD1DFB"/>
    <w:rsid w:val="00DD3C48"/>
    <w:rsid w:val="00DD4430"/>
    <w:rsid w:val="00DD513A"/>
    <w:rsid w:val="00DD5696"/>
    <w:rsid w:val="00DD7021"/>
    <w:rsid w:val="00DD7C12"/>
    <w:rsid w:val="00DE0723"/>
    <w:rsid w:val="00DE20CC"/>
    <w:rsid w:val="00DE2D97"/>
    <w:rsid w:val="00DE40B4"/>
    <w:rsid w:val="00DE58E6"/>
    <w:rsid w:val="00DF2D7C"/>
    <w:rsid w:val="00DF4972"/>
    <w:rsid w:val="00DF7760"/>
    <w:rsid w:val="00E00A56"/>
    <w:rsid w:val="00E00CA7"/>
    <w:rsid w:val="00E02245"/>
    <w:rsid w:val="00E02F6D"/>
    <w:rsid w:val="00E0648F"/>
    <w:rsid w:val="00E0795A"/>
    <w:rsid w:val="00E115A8"/>
    <w:rsid w:val="00E1221E"/>
    <w:rsid w:val="00E14665"/>
    <w:rsid w:val="00E1644F"/>
    <w:rsid w:val="00E17328"/>
    <w:rsid w:val="00E217C6"/>
    <w:rsid w:val="00E22054"/>
    <w:rsid w:val="00E220DA"/>
    <w:rsid w:val="00E22A64"/>
    <w:rsid w:val="00E25078"/>
    <w:rsid w:val="00E258DD"/>
    <w:rsid w:val="00E30E41"/>
    <w:rsid w:val="00E32BD6"/>
    <w:rsid w:val="00E33799"/>
    <w:rsid w:val="00E34D57"/>
    <w:rsid w:val="00E34F60"/>
    <w:rsid w:val="00E367AC"/>
    <w:rsid w:val="00E37FAD"/>
    <w:rsid w:val="00E446F1"/>
    <w:rsid w:val="00E451FD"/>
    <w:rsid w:val="00E4538C"/>
    <w:rsid w:val="00E45CFB"/>
    <w:rsid w:val="00E45FE6"/>
    <w:rsid w:val="00E478DF"/>
    <w:rsid w:val="00E47C11"/>
    <w:rsid w:val="00E50B2A"/>
    <w:rsid w:val="00E50BB1"/>
    <w:rsid w:val="00E5219B"/>
    <w:rsid w:val="00E52310"/>
    <w:rsid w:val="00E543E5"/>
    <w:rsid w:val="00E55C7E"/>
    <w:rsid w:val="00E60C35"/>
    <w:rsid w:val="00E60D0D"/>
    <w:rsid w:val="00E63E82"/>
    <w:rsid w:val="00E640C4"/>
    <w:rsid w:val="00E6431D"/>
    <w:rsid w:val="00E65747"/>
    <w:rsid w:val="00E66706"/>
    <w:rsid w:val="00E71D11"/>
    <w:rsid w:val="00E75F5D"/>
    <w:rsid w:val="00E77B8F"/>
    <w:rsid w:val="00E77D5B"/>
    <w:rsid w:val="00E77E3F"/>
    <w:rsid w:val="00E83678"/>
    <w:rsid w:val="00E85E17"/>
    <w:rsid w:val="00E86A59"/>
    <w:rsid w:val="00E86D31"/>
    <w:rsid w:val="00E8738E"/>
    <w:rsid w:val="00E87B3C"/>
    <w:rsid w:val="00E87CA7"/>
    <w:rsid w:val="00E903F9"/>
    <w:rsid w:val="00E90D3B"/>
    <w:rsid w:val="00E91274"/>
    <w:rsid w:val="00E91C22"/>
    <w:rsid w:val="00E92D3B"/>
    <w:rsid w:val="00E93B16"/>
    <w:rsid w:val="00E9584C"/>
    <w:rsid w:val="00E962BE"/>
    <w:rsid w:val="00EA0905"/>
    <w:rsid w:val="00EA097D"/>
    <w:rsid w:val="00EA1EE1"/>
    <w:rsid w:val="00EA3176"/>
    <w:rsid w:val="00EA561D"/>
    <w:rsid w:val="00EA5D66"/>
    <w:rsid w:val="00EA703D"/>
    <w:rsid w:val="00EA787F"/>
    <w:rsid w:val="00EB0B14"/>
    <w:rsid w:val="00EB3D7E"/>
    <w:rsid w:val="00EB4DD0"/>
    <w:rsid w:val="00EB547D"/>
    <w:rsid w:val="00EB7253"/>
    <w:rsid w:val="00EC13F4"/>
    <w:rsid w:val="00EC1FD6"/>
    <w:rsid w:val="00EC2F4A"/>
    <w:rsid w:val="00EC3CDA"/>
    <w:rsid w:val="00EC3F82"/>
    <w:rsid w:val="00EC52A5"/>
    <w:rsid w:val="00EC7B3D"/>
    <w:rsid w:val="00ED1928"/>
    <w:rsid w:val="00ED1AF6"/>
    <w:rsid w:val="00ED353F"/>
    <w:rsid w:val="00ED3D3E"/>
    <w:rsid w:val="00ED3D9E"/>
    <w:rsid w:val="00ED4643"/>
    <w:rsid w:val="00ED77F7"/>
    <w:rsid w:val="00EE2009"/>
    <w:rsid w:val="00EE25B3"/>
    <w:rsid w:val="00EE449D"/>
    <w:rsid w:val="00EE4E27"/>
    <w:rsid w:val="00EE660A"/>
    <w:rsid w:val="00EE7A74"/>
    <w:rsid w:val="00EF0347"/>
    <w:rsid w:val="00EF15B0"/>
    <w:rsid w:val="00EF237D"/>
    <w:rsid w:val="00EF39B6"/>
    <w:rsid w:val="00EF3E2B"/>
    <w:rsid w:val="00EF5B4B"/>
    <w:rsid w:val="00EF7C85"/>
    <w:rsid w:val="00F001CD"/>
    <w:rsid w:val="00F0252B"/>
    <w:rsid w:val="00F02959"/>
    <w:rsid w:val="00F03793"/>
    <w:rsid w:val="00F07CDA"/>
    <w:rsid w:val="00F111C0"/>
    <w:rsid w:val="00F22697"/>
    <w:rsid w:val="00F238C2"/>
    <w:rsid w:val="00F25540"/>
    <w:rsid w:val="00F26C21"/>
    <w:rsid w:val="00F302E7"/>
    <w:rsid w:val="00F30D94"/>
    <w:rsid w:val="00F32FF1"/>
    <w:rsid w:val="00F34226"/>
    <w:rsid w:val="00F36454"/>
    <w:rsid w:val="00F3665F"/>
    <w:rsid w:val="00F36E4B"/>
    <w:rsid w:val="00F36E54"/>
    <w:rsid w:val="00F42AF7"/>
    <w:rsid w:val="00F448E9"/>
    <w:rsid w:val="00F47DC6"/>
    <w:rsid w:val="00F51475"/>
    <w:rsid w:val="00F52E71"/>
    <w:rsid w:val="00F53C11"/>
    <w:rsid w:val="00F5524E"/>
    <w:rsid w:val="00F55423"/>
    <w:rsid w:val="00F5669F"/>
    <w:rsid w:val="00F56CCF"/>
    <w:rsid w:val="00F61309"/>
    <w:rsid w:val="00F620F9"/>
    <w:rsid w:val="00F6246D"/>
    <w:rsid w:val="00F6574A"/>
    <w:rsid w:val="00F659A6"/>
    <w:rsid w:val="00F66D6E"/>
    <w:rsid w:val="00F714D1"/>
    <w:rsid w:val="00F716F7"/>
    <w:rsid w:val="00F7209A"/>
    <w:rsid w:val="00F7268D"/>
    <w:rsid w:val="00F72F22"/>
    <w:rsid w:val="00F755ED"/>
    <w:rsid w:val="00F75CC5"/>
    <w:rsid w:val="00F76CED"/>
    <w:rsid w:val="00F77C19"/>
    <w:rsid w:val="00F80CB7"/>
    <w:rsid w:val="00F814F3"/>
    <w:rsid w:val="00F82113"/>
    <w:rsid w:val="00F821EA"/>
    <w:rsid w:val="00F82EF6"/>
    <w:rsid w:val="00F83D89"/>
    <w:rsid w:val="00F84577"/>
    <w:rsid w:val="00F85F9E"/>
    <w:rsid w:val="00F87168"/>
    <w:rsid w:val="00F92B8A"/>
    <w:rsid w:val="00F93137"/>
    <w:rsid w:val="00F9398A"/>
    <w:rsid w:val="00F9515E"/>
    <w:rsid w:val="00F97B22"/>
    <w:rsid w:val="00FA01B1"/>
    <w:rsid w:val="00FA028E"/>
    <w:rsid w:val="00FA0E9C"/>
    <w:rsid w:val="00FA1574"/>
    <w:rsid w:val="00FA193B"/>
    <w:rsid w:val="00FA2B72"/>
    <w:rsid w:val="00FA2E2E"/>
    <w:rsid w:val="00FA309F"/>
    <w:rsid w:val="00FA5174"/>
    <w:rsid w:val="00FA5FE2"/>
    <w:rsid w:val="00FB0FA3"/>
    <w:rsid w:val="00FB17CE"/>
    <w:rsid w:val="00FB2289"/>
    <w:rsid w:val="00FB47BC"/>
    <w:rsid w:val="00FB4CEF"/>
    <w:rsid w:val="00FB6E3A"/>
    <w:rsid w:val="00FB7AAF"/>
    <w:rsid w:val="00FC55F5"/>
    <w:rsid w:val="00FC63B9"/>
    <w:rsid w:val="00FC6F88"/>
    <w:rsid w:val="00FC7DA1"/>
    <w:rsid w:val="00FD0391"/>
    <w:rsid w:val="00FD1027"/>
    <w:rsid w:val="00FD190E"/>
    <w:rsid w:val="00FD3F32"/>
    <w:rsid w:val="00FD7470"/>
    <w:rsid w:val="00FD76BE"/>
    <w:rsid w:val="00FE0977"/>
    <w:rsid w:val="00FE0B5F"/>
    <w:rsid w:val="00FE11B4"/>
    <w:rsid w:val="00FE1B50"/>
    <w:rsid w:val="00FE2E7B"/>
    <w:rsid w:val="00FE642D"/>
    <w:rsid w:val="00FF0F89"/>
    <w:rsid w:val="00FF38A4"/>
    <w:rsid w:val="00FF6629"/>
    <w:rsid w:val="00FF77D9"/>
    <w:rsid w:val="00FF7F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75A8D173-ACC0-4C23-915F-920959CC94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D117D"/>
    <w:pPr>
      <w:spacing w:after="0" w:line="240" w:lineRule="auto"/>
    </w:pPr>
    <w:rPr>
      <w:rFonts w:ascii="Arial" w:eastAsia="Times New Roman" w:hAnsi="Arial" w:cs="Times New Roman"/>
      <w:sz w:val="24"/>
      <w:szCs w:val="20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3B67B8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1A6CED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tulo4">
    <w:name w:val="heading 4"/>
    <w:basedOn w:val="Normal"/>
    <w:next w:val="Normal"/>
    <w:link w:val="Ttulo4Char"/>
    <w:qFormat/>
    <w:rsid w:val="00CD58EE"/>
    <w:pPr>
      <w:keepNext/>
      <w:spacing w:line="26" w:lineRule="atLeast"/>
      <w:jc w:val="both"/>
      <w:outlineLvl w:val="3"/>
    </w:pPr>
    <w:rPr>
      <w:b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4Char">
    <w:name w:val="Título 4 Char"/>
    <w:basedOn w:val="Fontepargpadro"/>
    <w:link w:val="Ttulo4"/>
    <w:rsid w:val="00CD58EE"/>
    <w:rPr>
      <w:rFonts w:ascii="Arial" w:eastAsia="Times New Roman" w:hAnsi="Arial" w:cs="Times New Roman"/>
      <w:b/>
      <w:sz w:val="24"/>
      <w:szCs w:val="20"/>
      <w:lang w:eastAsia="pt-BR"/>
    </w:rPr>
  </w:style>
  <w:style w:type="paragraph" w:styleId="Cabealho">
    <w:name w:val="header"/>
    <w:basedOn w:val="Normal"/>
    <w:link w:val="CabealhoChar"/>
    <w:rsid w:val="00CD58EE"/>
    <w:pPr>
      <w:tabs>
        <w:tab w:val="center" w:pos="4320"/>
        <w:tab w:val="right" w:pos="8640"/>
      </w:tabs>
    </w:pPr>
  </w:style>
  <w:style w:type="character" w:customStyle="1" w:styleId="CabealhoChar">
    <w:name w:val="Cabeçalho Char"/>
    <w:basedOn w:val="Fontepargpadro"/>
    <w:link w:val="Cabealho"/>
    <w:rsid w:val="00CD58EE"/>
    <w:rPr>
      <w:rFonts w:ascii="Arial" w:eastAsia="Times New Roman" w:hAnsi="Arial" w:cs="Times New Roman"/>
      <w:sz w:val="24"/>
      <w:szCs w:val="20"/>
      <w:lang w:eastAsia="pt-BR"/>
    </w:rPr>
  </w:style>
  <w:style w:type="paragraph" w:styleId="Rodap">
    <w:name w:val="footer"/>
    <w:basedOn w:val="Normal"/>
    <w:link w:val="RodapChar"/>
    <w:rsid w:val="00CD58EE"/>
    <w:pPr>
      <w:tabs>
        <w:tab w:val="center" w:pos="4320"/>
        <w:tab w:val="right" w:pos="8640"/>
      </w:tabs>
    </w:pPr>
  </w:style>
  <w:style w:type="character" w:customStyle="1" w:styleId="RodapChar">
    <w:name w:val="Rodapé Char"/>
    <w:basedOn w:val="Fontepargpadro"/>
    <w:link w:val="Rodap"/>
    <w:rsid w:val="00CD58EE"/>
    <w:rPr>
      <w:rFonts w:ascii="Arial" w:eastAsia="Times New Roman" w:hAnsi="Arial" w:cs="Times New Roman"/>
      <w:sz w:val="24"/>
      <w:szCs w:val="20"/>
      <w:lang w:eastAsia="pt-BR"/>
    </w:rPr>
  </w:style>
  <w:style w:type="character" w:styleId="Nmerodepgina">
    <w:name w:val="page number"/>
    <w:basedOn w:val="Fontepargpadro"/>
    <w:rsid w:val="00CD58EE"/>
  </w:style>
  <w:style w:type="paragraph" w:styleId="Corpodetexto">
    <w:name w:val="Body Text"/>
    <w:basedOn w:val="Normal"/>
    <w:link w:val="CorpodetextoChar"/>
    <w:rsid w:val="00CD58EE"/>
    <w:pPr>
      <w:jc w:val="both"/>
    </w:pPr>
  </w:style>
  <w:style w:type="character" w:customStyle="1" w:styleId="CorpodetextoChar">
    <w:name w:val="Corpo de texto Char"/>
    <w:basedOn w:val="Fontepargpadro"/>
    <w:link w:val="Corpodetexto"/>
    <w:rsid w:val="00CD58EE"/>
    <w:rPr>
      <w:rFonts w:ascii="Arial" w:eastAsia="Times New Roman" w:hAnsi="Arial" w:cs="Times New Roman"/>
      <w:sz w:val="24"/>
      <w:szCs w:val="20"/>
      <w:lang w:eastAsia="pt-BR"/>
    </w:rPr>
  </w:style>
  <w:style w:type="paragraph" w:styleId="Recuodecorpodetexto">
    <w:name w:val="Body Text Indent"/>
    <w:basedOn w:val="Normal"/>
    <w:link w:val="RecuodecorpodetextoChar"/>
    <w:rsid w:val="00CD58EE"/>
    <w:pPr>
      <w:ind w:firstLine="1418"/>
      <w:jc w:val="both"/>
    </w:pPr>
  </w:style>
  <w:style w:type="character" w:customStyle="1" w:styleId="RecuodecorpodetextoChar">
    <w:name w:val="Recuo de corpo de texto Char"/>
    <w:basedOn w:val="Fontepargpadro"/>
    <w:link w:val="Recuodecorpodetexto"/>
    <w:rsid w:val="00CD58EE"/>
    <w:rPr>
      <w:rFonts w:ascii="Arial" w:eastAsia="Times New Roman" w:hAnsi="Arial" w:cs="Times New Roman"/>
      <w:sz w:val="24"/>
      <w:szCs w:val="20"/>
      <w:lang w:eastAsia="pt-BR"/>
    </w:rPr>
  </w:style>
  <w:style w:type="paragraph" w:customStyle="1" w:styleId="Assunto">
    <w:name w:val="Assunto"/>
    <w:basedOn w:val="Normal"/>
    <w:rsid w:val="00CD58EE"/>
    <w:pPr>
      <w:ind w:left="5387" w:firstLine="11"/>
      <w:jc w:val="both"/>
    </w:pPr>
    <w:rPr>
      <w:rFonts w:cs="Arial"/>
      <w:sz w:val="22"/>
      <w:szCs w:val="24"/>
    </w:rPr>
  </w:style>
  <w:style w:type="paragraph" w:customStyle="1" w:styleId="Assinatura-nome">
    <w:name w:val="Assinatura - nome"/>
    <w:basedOn w:val="Normal"/>
    <w:next w:val="Assinatura-cargo"/>
    <w:rsid w:val="00CD58EE"/>
    <w:pPr>
      <w:spacing w:line="240" w:lineRule="exact"/>
      <w:jc w:val="center"/>
    </w:pPr>
    <w:rPr>
      <w:rFonts w:cs="Arial"/>
      <w:b/>
      <w:bCs/>
      <w:caps/>
      <w:szCs w:val="24"/>
    </w:rPr>
  </w:style>
  <w:style w:type="paragraph" w:customStyle="1" w:styleId="Assinatura-cargo">
    <w:name w:val="Assinatura - cargo"/>
    <w:basedOn w:val="Assinatura-nome"/>
    <w:next w:val="Normal"/>
    <w:rsid w:val="00CD58EE"/>
    <w:rPr>
      <w:b w:val="0"/>
      <w:sz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87168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87168"/>
    <w:rPr>
      <w:rFonts w:ascii="Tahoma" w:eastAsia="Times New Roman" w:hAnsi="Tahoma" w:cs="Tahoma"/>
      <w:sz w:val="16"/>
      <w:szCs w:val="16"/>
      <w:lang w:eastAsia="pt-BR"/>
    </w:rPr>
  </w:style>
  <w:style w:type="paragraph" w:styleId="PargrafodaLista">
    <w:name w:val="List Paragraph"/>
    <w:basedOn w:val="Normal"/>
    <w:link w:val="PargrafodaListaChar"/>
    <w:uiPriority w:val="34"/>
    <w:qFormat/>
    <w:rsid w:val="007D76F9"/>
    <w:pPr>
      <w:ind w:left="720"/>
      <w:contextualSpacing/>
    </w:pPr>
  </w:style>
  <w:style w:type="character" w:styleId="Refdecomentrio">
    <w:name w:val="annotation reference"/>
    <w:basedOn w:val="Fontepargpadro"/>
    <w:uiPriority w:val="99"/>
    <w:semiHidden/>
    <w:unhideWhenUsed/>
    <w:rsid w:val="00997528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997528"/>
    <w:rPr>
      <w:sz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997528"/>
    <w:rPr>
      <w:rFonts w:ascii="Arial" w:eastAsia="Times New Roman" w:hAnsi="Arial" w:cs="Times New Roman"/>
      <w:sz w:val="20"/>
      <w:szCs w:val="20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997528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997528"/>
    <w:rPr>
      <w:rFonts w:ascii="Arial" w:eastAsia="Times New Roman" w:hAnsi="Arial" w:cs="Times New Roman"/>
      <w:b/>
      <w:bCs/>
      <w:sz w:val="20"/>
      <w:szCs w:val="20"/>
      <w:lang w:eastAsia="pt-BR"/>
    </w:rPr>
  </w:style>
  <w:style w:type="paragraph" w:styleId="Reviso">
    <w:name w:val="Revision"/>
    <w:hidden/>
    <w:uiPriority w:val="99"/>
    <w:semiHidden/>
    <w:rsid w:val="00BA7055"/>
    <w:pPr>
      <w:spacing w:after="0" w:line="240" w:lineRule="auto"/>
    </w:pPr>
    <w:rPr>
      <w:rFonts w:ascii="Arial" w:eastAsia="Times New Roman" w:hAnsi="Arial" w:cs="Times New Roman"/>
      <w:sz w:val="24"/>
      <w:szCs w:val="20"/>
      <w:lang w:eastAsia="pt-BR"/>
    </w:rPr>
  </w:style>
  <w:style w:type="paragraph" w:styleId="NormalWeb">
    <w:name w:val="Normal (Web)"/>
    <w:basedOn w:val="Normal"/>
    <w:uiPriority w:val="99"/>
    <w:unhideWhenUsed/>
    <w:rsid w:val="00D764B9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styleId="Hyperlink">
    <w:name w:val="Hyperlink"/>
    <w:basedOn w:val="Fontepargpadro"/>
    <w:uiPriority w:val="99"/>
    <w:unhideWhenUsed/>
    <w:rsid w:val="00D764B9"/>
    <w:rPr>
      <w:color w:val="0080C0"/>
      <w:u w:val="single"/>
    </w:rPr>
  </w:style>
  <w:style w:type="paragraph" w:styleId="Textodenotaderodap">
    <w:name w:val="footnote text"/>
    <w:basedOn w:val="Normal"/>
    <w:link w:val="TextodenotaderodapChar"/>
    <w:uiPriority w:val="99"/>
    <w:unhideWhenUsed/>
    <w:rsid w:val="00F5669F"/>
    <w:rPr>
      <w:sz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rsid w:val="00F5669F"/>
    <w:rPr>
      <w:rFonts w:ascii="Arial" w:eastAsia="Times New Roman" w:hAnsi="Arial" w:cs="Times New Roman"/>
      <w:sz w:val="20"/>
      <w:szCs w:val="20"/>
      <w:lang w:eastAsia="pt-BR"/>
    </w:rPr>
  </w:style>
  <w:style w:type="character" w:styleId="Refdenotaderodap">
    <w:name w:val="footnote reference"/>
    <w:basedOn w:val="Fontepargpadro"/>
    <w:uiPriority w:val="99"/>
    <w:semiHidden/>
    <w:unhideWhenUsed/>
    <w:rsid w:val="00F5669F"/>
    <w:rPr>
      <w:vertAlign w:val="superscript"/>
    </w:rPr>
  </w:style>
  <w:style w:type="paragraph" w:styleId="Textodenotadefim">
    <w:name w:val="endnote text"/>
    <w:basedOn w:val="Normal"/>
    <w:link w:val="TextodenotadefimChar"/>
    <w:uiPriority w:val="99"/>
    <w:semiHidden/>
    <w:unhideWhenUsed/>
    <w:rsid w:val="003F571E"/>
    <w:rPr>
      <w:sz w:val="20"/>
    </w:rPr>
  </w:style>
  <w:style w:type="character" w:customStyle="1" w:styleId="TextodenotadefimChar">
    <w:name w:val="Texto de nota de fim Char"/>
    <w:basedOn w:val="Fontepargpadro"/>
    <w:link w:val="Textodenotadefim"/>
    <w:uiPriority w:val="99"/>
    <w:semiHidden/>
    <w:rsid w:val="003F571E"/>
    <w:rPr>
      <w:rFonts w:ascii="Arial" w:eastAsia="Times New Roman" w:hAnsi="Arial" w:cs="Times New Roman"/>
      <w:sz w:val="20"/>
      <w:szCs w:val="20"/>
      <w:lang w:eastAsia="pt-BR"/>
    </w:rPr>
  </w:style>
  <w:style w:type="character" w:styleId="Refdenotadefim">
    <w:name w:val="endnote reference"/>
    <w:basedOn w:val="Fontepargpadro"/>
    <w:uiPriority w:val="99"/>
    <w:semiHidden/>
    <w:unhideWhenUsed/>
    <w:rsid w:val="003F571E"/>
    <w:rPr>
      <w:vertAlign w:val="superscript"/>
    </w:rPr>
  </w:style>
  <w:style w:type="table" w:styleId="Tabelacomgrade">
    <w:name w:val="Table Grid"/>
    <w:basedOn w:val="Tabelanormal"/>
    <w:uiPriority w:val="39"/>
    <w:rsid w:val="00B1719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nfase">
    <w:name w:val="Emphasis"/>
    <w:basedOn w:val="Fontepargpadro"/>
    <w:uiPriority w:val="20"/>
    <w:qFormat/>
    <w:rsid w:val="005C0323"/>
    <w:rPr>
      <w:i/>
      <w:iCs/>
    </w:rPr>
  </w:style>
  <w:style w:type="character" w:customStyle="1" w:styleId="highlightedsearchterm">
    <w:name w:val="highlightedsearchterm"/>
    <w:basedOn w:val="Fontepargpadro"/>
    <w:rsid w:val="00162732"/>
  </w:style>
  <w:style w:type="character" w:styleId="Forte">
    <w:name w:val="Strong"/>
    <w:basedOn w:val="Fontepargpadro"/>
    <w:uiPriority w:val="22"/>
    <w:qFormat/>
    <w:rsid w:val="00811E77"/>
    <w:rPr>
      <w:b/>
      <w:bCs/>
    </w:rPr>
  </w:style>
  <w:style w:type="character" w:customStyle="1" w:styleId="apple-tab-span">
    <w:name w:val="apple-tab-span"/>
    <w:basedOn w:val="Fontepargpadro"/>
    <w:rsid w:val="00AF0163"/>
  </w:style>
  <w:style w:type="paragraph" w:customStyle="1" w:styleId="western">
    <w:name w:val="western"/>
    <w:basedOn w:val="Normal"/>
    <w:rsid w:val="00883A26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section1">
    <w:name w:val="section1"/>
    <w:basedOn w:val="Normal"/>
    <w:rsid w:val="0002036C"/>
    <w:pPr>
      <w:spacing w:before="100" w:beforeAutospacing="1" w:after="100" w:afterAutospacing="1"/>
    </w:pPr>
    <w:rPr>
      <w:rFonts w:ascii="Times New Roman" w:eastAsiaTheme="minorHAnsi" w:hAnsi="Times New Roman"/>
      <w:szCs w:val="24"/>
    </w:rPr>
  </w:style>
  <w:style w:type="paragraph" w:customStyle="1" w:styleId="texto1">
    <w:name w:val="texto1"/>
    <w:basedOn w:val="Normal"/>
    <w:rsid w:val="00F9515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Ttulo1Char">
    <w:name w:val="Título 1 Char"/>
    <w:basedOn w:val="Fontepargpadro"/>
    <w:link w:val="Ttulo1"/>
    <w:uiPriority w:val="9"/>
    <w:rsid w:val="003B67B8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pt-BR"/>
    </w:rPr>
  </w:style>
  <w:style w:type="paragraph" w:customStyle="1" w:styleId="T1">
    <w:name w:val="T1"/>
    <w:basedOn w:val="PargrafodaLista"/>
    <w:link w:val="T1Char"/>
    <w:qFormat/>
    <w:rsid w:val="00F07CDA"/>
    <w:pPr>
      <w:autoSpaceDE w:val="0"/>
      <w:autoSpaceDN w:val="0"/>
      <w:adjustRightInd w:val="0"/>
      <w:spacing w:before="120" w:after="240" w:line="360" w:lineRule="auto"/>
      <w:ind w:left="0"/>
      <w:jc w:val="both"/>
    </w:pPr>
    <w:rPr>
      <w:rFonts w:ascii="Times New Roman" w:hAnsi="Times New Roman"/>
      <w:b/>
      <w:szCs w:val="24"/>
    </w:rPr>
  </w:style>
  <w:style w:type="paragraph" w:customStyle="1" w:styleId="T2">
    <w:name w:val="T2"/>
    <w:basedOn w:val="PargrafodaLista"/>
    <w:link w:val="T2Char"/>
    <w:qFormat/>
    <w:rsid w:val="00F07CDA"/>
    <w:pPr>
      <w:autoSpaceDE w:val="0"/>
      <w:autoSpaceDN w:val="0"/>
      <w:adjustRightInd w:val="0"/>
      <w:spacing w:before="120" w:after="240" w:line="360" w:lineRule="auto"/>
      <w:ind w:left="397"/>
      <w:jc w:val="both"/>
    </w:pPr>
    <w:rPr>
      <w:rFonts w:ascii="Times New Roman" w:hAnsi="Times New Roman"/>
      <w:b/>
      <w:szCs w:val="24"/>
    </w:rPr>
  </w:style>
  <w:style w:type="character" w:customStyle="1" w:styleId="PargrafodaListaChar">
    <w:name w:val="Parágrafo da Lista Char"/>
    <w:basedOn w:val="Fontepargpadro"/>
    <w:link w:val="PargrafodaLista"/>
    <w:uiPriority w:val="34"/>
    <w:rsid w:val="00F07CDA"/>
    <w:rPr>
      <w:rFonts w:ascii="Arial" w:eastAsia="Times New Roman" w:hAnsi="Arial" w:cs="Times New Roman"/>
      <w:sz w:val="24"/>
      <w:szCs w:val="20"/>
      <w:lang w:eastAsia="pt-BR"/>
    </w:rPr>
  </w:style>
  <w:style w:type="character" w:customStyle="1" w:styleId="T1Char">
    <w:name w:val="T1 Char"/>
    <w:basedOn w:val="PargrafodaListaChar"/>
    <w:link w:val="T1"/>
    <w:rsid w:val="00F07CDA"/>
    <w:rPr>
      <w:rFonts w:ascii="Times New Roman" w:eastAsia="Times New Roman" w:hAnsi="Times New Roman" w:cs="Times New Roman"/>
      <w:b/>
      <w:sz w:val="24"/>
      <w:szCs w:val="24"/>
      <w:lang w:eastAsia="pt-BR"/>
    </w:rPr>
  </w:style>
  <w:style w:type="paragraph" w:customStyle="1" w:styleId="Texto10">
    <w:name w:val="Texto 1"/>
    <w:basedOn w:val="Normal"/>
    <w:link w:val="Texto1Char"/>
    <w:qFormat/>
    <w:rsid w:val="00F07CDA"/>
    <w:pPr>
      <w:autoSpaceDE w:val="0"/>
      <w:autoSpaceDN w:val="0"/>
      <w:adjustRightInd w:val="0"/>
      <w:spacing w:before="120" w:after="240" w:line="360" w:lineRule="auto"/>
      <w:jc w:val="both"/>
    </w:pPr>
    <w:rPr>
      <w:rFonts w:ascii="Times New Roman" w:hAnsi="Times New Roman"/>
      <w:szCs w:val="24"/>
    </w:rPr>
  </w:style>
  <w:style w:type="character" w:customStyle="1" w:styleId="T2Char">
    <w:name w:val="T2 Char"/>
    <w:basedOn w:val="PargrafodaListaChar"/>
    <w:link w:val="T2"/>
    <w:rsid w:val="00F07CDA"/>
    <w:rPr>
      <w:rFonts w:ascii="Times New Roman" w:eastAsia="Times New Roman" w:hAnsi="Times New Roman" w:cs="Times New Roman"/>
      <w:b/>
      <w:sz w:val="24"/>
      <w:szCs w:val="24"/>
      <w:lang w:eastAsia="pt-BR"/>
    </w:rPr>
  </w:style>
  <w:style w:type="character" w:customStyle="1" w:styleId="Texto1Char">
    <w:name w:val="Texto 1 Char"/>
    <w:basedOn w:val="Fontepargpadro"/>
    <w:link w:val="Texto10"/>
    <w:rsid w:val="00F07CDA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1A6CED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pt-BR"/>
    </w:rPr>
  </w:style>
  <w:style w:type="paragraph" w:styleId="Recuodecorpodetexto2">
    <w:name w:val="Body Text Indent 2"/>
    <w:basedOn w:val="Normal"/>
    <w:link w:val="Recuodecorpodetexto2Char"/>
    <w:uiPriority w:val="99"/>
    <w:semiHidden/>
    <w:unhideWhenUsed/>
    <w:rsid w:val="001A6CED"/>
    <w:pPr>
      <w:spacing w:after="120" w:line="480" w:lineRule="auto"/>
      <w:ind w:left="283"/>
    </w:pPr>
  </w:style>
  <w:style w:type="character" w:customStyle="1" w:styleId="Recuodecorpodetexto2Char">
    <w:name w:val="Recuo de corpo de texto 2 Char"/>
    <w:basedOn w:val="Fontepargpadro"/>
    <w:link w:val="Recuodecorpodetexto2"/>
    <w:uiPriority w:val="99"/>
    <w:semiHidden/>
    <w:rsid w:val="001A6CED"/>
    <w:rPr>
      <w:rFonts w:ascii="Arial" w:eastAsia="Times New Roman" w:hAnsi="Arial" w:cs="Times New Roman"/>
      <w:sz w:val="24"/>
      <w:szCs w:val="20"/>
      <w:lang w:eastAsia="pt-BR"/>
    </w:rPr>
  </w:style>
  <w:style w:type="paragraph" w:styleId="Corpodetexto3">
    <w:name w:val="Body Text 3"/>
    <w:basedOn w:val="Normal"/>
    <w:link w:val="Corpodetexto3Char"/>
    <w:rsid w:val="004F2074"/>
    <w:pPr>
      <w:spacing w:after="120"/>
    </w:pPr>
    <w:rPr>
      <w:rFonts w:ascii="Times New Roman" w:hAnsi="Times New Roman"/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rsid w:val="004F2074"/>
    <w:rPr>
      <w:rFonts w:ascii="Times New Roman" w:eastAsia="Times New Roman" w:hAnsi="Times New Roman" w:cs="Times New Roman"/>
      <w:sz w:val="16"/>
      <w:szCs w:val="16"/>
      <w:lang w:eastAsia="pt-BR"/>
    </w:rPr>
  </w:style>
  <w:style w:type="paragraph" w:customStyle="1" w:styleId="PAFTexto1">
    <w:name w:val="PAF Texto1"/>
    <w:basedOn w:val="Normal"/>
    <w:link w:val="PAFTexto1Char"/>
    <w:qFormat/>
    <w:rsid w:val="00412B9B"/>
    <w:pPr>
      <w:spacing w:after="240" w:line="360" w:lineRule="auto"/>
      <w:jc w:val="both"/>
    </w:pPr>
    <w:rPr>
      <w:rFonts w:ascii="Trebuchet MS" w:eastAsiaTheme="minorHAnsi" w:hAnsi="Trebuchet MS" w:cstheme="minorBidi"/>
      <w:sz w:val="20"/>
      <w:lang w:eastAsia="en-US"/>
    </w:rPr>
  </w:style>
  <w:style w:type="character" w:customStyle="1" w:styleId="PAFTexto1Char">
    <w:name w:val="PAF Texto1 Char"/>
    <w:basedOn w:val="Fontepargpadro"/>
    <w:link w:val="PAFTexto1"/>
    <w:rsid w:val="00412B9B"/>
    <w:rPr>
      <w:rFonts w:ascii="Trebuchet MS" w:hAnsi="Trebuchet MS"/>
      <w:sz w:val="20"/>
      <w:szCs w:val="20"/>
    </w:rPr>
  </w:style>
  <w:style w:type="paragraph" w:customStyle="1" w:styleId="PAF-notas">
    <w:name w:val="PAF-notas"/>
    <w:basedOn w:val="Textodenotaderodap"/>
    <w:link w:val="PAF-notasChar"/>
    <w:qFormat/>
    <w:rsid w:val="00412B9B"/>
    <w:pPr>
      <w:spacing w:after="120"/>
      <w:jc w:val="both"/>
    </w:pPr>
    <w:rPr>
      <w:sz w:val="16"/>
      <w:szCs w:val="16"/>
    </w:rPr>
  </w:style>
  <w:style w:type="character" w:customStyle="1" w:styleId="PAF-notasChar">
    <w:name w:val="PAF-notas Char"/>
    <w:basedOn w:val="TextodenotaderodapChar"/>
    <w:link w:val="PAF-notas"/>
    <w:rsid w:val="00412B9B"/>
    <w:rPr>
      <w:rFonts w:ascii="Arial" w:eastAsia="Times New Roman" w:hAnsi="Arial" w:cs="Times New Roman"/>
      <w:sz w:val="16"/>
      <w:szCs w:val="16"/>
      <w:lang w:eastAsia="pt-BR"/>
    </w:rPr>
  </w:style>
  <w:style w:type="character" w:customStyle="1" w:styleId="apple-converted-space">
    <w:name w:val="apple-converted-space"/>
    <w:basedOn w:val="Fontepargpadro"/>
    <w:rsid w:val="00787561"/>
  </w:style>
  <w:style w:type="paragraph" w:customStyle="1" w:styleId="Tabela1">
    <w:name w:val="Tabela 1"/>
    <w:basedOn w:val="Texto10"/>
    <w:link w:val="Tabela1Char"/>
    <w:qFormat/>
    <w:rsid w:val="00C75C6C"/>
    <w:pPr>
      <w:tabs>
        <w:tab w:val="left" w:pos="851"/>
      </w:tabs>
      <w:jc w:val="center"/>
    </w:pPr>
    <w:rPr>
      <w:b/>
    </w:rPr>
  </w:style>
  <w:style w:type="character" w:customStyle="1" w:styleId="Tabela1Char">
    <w:name w:val="Tabela 1 Char"/>
    <w:basedOn w:val="Texto1Char"/>
    <w:link w:val="Tabela1"/>
    <w:rsid w:val="00C75C6C"/>
    <w:rPr>
      <w:rFonts w:ascii="Times New Roman" w:eastAsia="Times New Roman" w:hAnsi="Times New Roman" w:cs="Times New Roman"/>
      <w:b/>
      <w:sz w:val="24"/>
      <w:szCs w:val="24"/>
      <w:lang w:eastAsia="pt-BR"/>
    </w:rPr>
  </w:style>
  <w:style w:type="paragraph" w:styleId="Ttulo">
    <w:name w:val="Title"/>
    <w:basedOn w:val="Normal"/>
    <w:link w:val="TtuloChar"/>
    <w:uiPriority w:val="99"/>
    <w:qFormat/>
    <w:rsid w:val="00395AED"/>
    <w:pPr>
      <w:jc w:val="center"/>
    </w:pPr>
    <w:rPr>
      <w:rFonts w:ascii="Times New Roman" w:eastAsiaTheme="minorEastAsia" w:hAnsi="Times New Roman"/>
      <w:b/>
      <w:bCs/>
      <w:szCs w:val="24"/>
    </w:rPr>
  </w:style>
  <w:style w:type="character" w:customStyle="1" w:styleId="TtuloChar">
    <w:name w:val="Título Char"/>
    <w:basedOn w:val="Fontepargpadro"/>
    <w:link w:val="Ttulo"/>
    <w:uiPriority w:val="99"/>
    <w:rsid w:val="00395AED"/>
    <w:rPr>
      <w:rFonts w:ascii="Times New Roman" w:eastAsiaTheme="minorEastAsia" w:hAnsi="Times New Roman" w:cs="Times New Roman"/>
      <w:b/>
      <w:bCs/>
      <w:sz w:val="24"/>
      <w:szCs w:val="24"/>
      <w:lang w:eastAsia="pt-BR"/>
    </w:rPr>
  </w:style>
  <w:style w:type="paragraph" w:customStyle="1" w:styleId="textoalinhadoesquerdaespacamentosimples">
    <w:name w:val="texto_alinhado_esquerda_espacamento_simples"/>
    <w:basedOn w:val="Normal"/>
    <w:rsid w:val="00DC0DAE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textojustificado">
    <w:name w:val="texto_justificado"/>
    <w:basedOn w:val="Normal"/>
    <w:rsid w:val="00DC0DAE"/>
    <w:pPr>
      <w:spacing w:before="100" w:beforeAutospacing="1" w:after="100" w:afterAutospacing="1"/>
    </w:pPr>
    <w:rPr>
      <w:rFonts w:ascii="Times New Roman" w:hAnsi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69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1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37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0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27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830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259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375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767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742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187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55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10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1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864101">
          <w:marLeft w:val="9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2570036">
              <w:marLeft w:val="18"/>
              <w:marRight w:val="0"/>
              <w:marTop w:val="2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864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639793">
                      <w:marLeft w:val="45"/>
                      <w:marRight w:val="45"/>
                      <w:marTop w:val="90"/>
                      <w:marBottom w:val="9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02797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480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3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3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43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18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382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62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8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66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41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07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750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53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44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296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74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37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15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52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320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02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291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33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20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59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36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317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59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658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97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02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425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842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32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32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98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98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926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65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3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700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9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9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30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33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69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75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34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63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81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59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1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26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63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20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11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42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13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69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960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02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96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437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631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74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19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849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40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07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57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648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66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553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00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63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85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195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45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0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44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34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05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05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42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080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60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22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781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5B36BC-EF52-4796-87AD-BAEBC11307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4</Pages>
  <Words>1270</Words>
  <Characters>6863</Characters>
  <Application>Microsoft Office Word</Application>
  <DocSecurity>0</DocSecurity>
  <Lines>57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Secretaria do Tesouro Nacional</Company>
  <LinksUpToDate>false</LinksUpToDate>
  <CharactersWithSpaces>8117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Marcos Aurélio Santos de Souza</dc:creator>
  <cp:lastModifiedBy>Carolina Magalhães Tenorio Brito</cp:lastModifiedBy>
  <cp:revision>8</cp:revision>
  <cp:lastPrinted>2016-04-07T18:35:00Z</cp:lastPrinted>
  <dcterms:created xsi:type="dcterms:W3CDTF">2016-04-08T15:55:00Z</dcterms:created>
  <dcterms:modified xsi:type="dcterms:W3CDTF">2018-04-02T17:29:00Z</dcterms:modified>
</cp:coreProperties>
</file>